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Times New Roman" w:hAnsi="Times New Roman" w:eastAsia="黑体"/>
          <w:b/>
          <w:sz w:val="24"/>
        </w:rPr>
        <w:t>2026年第十四届全国大学生数字媒体科技作品及创意竞赛</w:t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sz w:val="32"/>
        </w:rPr>
        <w:t>人工智能工具使用情况说明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宋体"/>
          <w:b/>
          <w:sz w:val="22"/>
        </w:rPr>
        <w:t>作品《灯影山海》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（按赛事匿名化要求编制，不填写学校、团队成员与指导教师信息）</w:t>
      </w:r>
    </w:p>
    <w:p>
      <w:pPr>
        <w:keepNext/>
        <w:spacing w:before="160" w:after="100" w:line="360" w:lineRule="auto"/>
        <w:jc w:val="left"/>
      </w:pPr>
      <w:r>
        <w:rPr>
          <w:rFonts w:ascii="Times New Roman" w:hAnsi="Times New Roman" w:eastAsia="黑体"/>
          <w:b/>
          <w:sz w:val="24"/>
        </w:rPr>
        <w:t>一、作品基本信息与AI使用状态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</w:trPr>
        <w:tc>
          <w:tcPr>
            <w:tcW w:type="dxa" w:w="2041"/>
            <w:shd w:val="clear" w:color="auto" w:fill="EDE9E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6917"/>
            <w:shd w:val="clear" w:color="auto" w:fill="EDE9E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填写内容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作品名称</w:t>
            </w:r>
          </w:p>
        </w:tc>
        <w:tc>
          <w:tcPr>
            <w:tcW w:type="dxa" w:w="6917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灯影山海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作品编号（如有）</w:t>
            </w:r>
          </w:p>
        </w:tc>
        <w:tc>
          <w:tcPr>
            <w:tcW w:type="dxa" w:w="6917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以报名系统分配编号为准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参赛赛道／赛项</w:t>
            </w:r>
          </w:p>
        </w:tc>
        <w:tc>
          <w:tcPr>
            <w:tcW w:type="dxa" w:w="6917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虚幻引擎（UE）作品创作赛项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作品形态</w:t>
            </w:r>
          </w:p>
        </w:tc>
        <w:tc>
          <w:tcPr>
            <w:tcW w:type="dxa" w:w="6917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Unreal Engine 5.8 实时影戏解谜 Demo，单主地图，Windows 平台可执行程序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AI使用情况</w:t>
            </w:r>
          </w:p>
        </w:tc>
        <w:tc>
          <w:tcPr>
            <w:tcW w:type="dxa" w:w="6917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已使用（编程与建模辅助、文档与脚本起草；创意、玩法判定、关卡与美术定稿由学生完成）</w:t>
            </w:r>
          </w:p>
        </w:tc>
      </w:tr>
    </w:tbl>
    <w:p>
      <w:pPr>
        <w:keepNext/>
        <w:spacing w:before="160" w:after="100" w:line="360" w:lineRule="auto"/>
        <w:jc w:val="left"/>
      </w:pPr>
      <w:r>
        <w:rPr>
          <w:rFonts w:ascii="Times New Roman" w:hAnsi="Times New Roman" w:eastAsia="黑体"/>
          <w:b/>
          <w:sz w:val="24"/>
        </w:rPr>
        <w:t>二、主要AI工具及使用情况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/>
          <w:b w:val="0"/>
          <w:color w:val="595959"/>
          <w:sz w:val="18"/>
        </w:rPr>
        <w:t>仅列对最终成果具有实际影响的主要工具；日常资料查询不在此列。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</w:trPr>
        <w:tc>
          <w:tcPr>
            <w:tcW w:type="dxa" w:w="1928"/>
            <w:shd w:val="clear" w:color="auto" w:fill="EDE9E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工具／模型</w:t>
            </w:r>
          </w:p>
        </w:tc>
        <w:tc>
          <w:tcPr>
            <w:tcW w:type="dxa" w:w="1928"/>
            <w:shd w:val="clear" w:color="auto" w:fill="EDE9E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使用环节</w:t>
            </w:r>
          </w:p>
        </w:tc>
        <w:tc>
          <w:tcPr>
            <w:tcW w:type="dxa" w:w="3061"/>
            <w:shd w:val="clear" w:color="auto" w:fill="EDE9E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AI主要用途或产出</w:t>
            </w:r>
          </w:p>
        </w:tc>
        <w:tc>
          <w:tcPr>
            <w:tcW w:type="dxa" w:w="2041"/>
            <w:shd w:val="clear" w:color="auto" w:fill="EDE9E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学生后续处理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编程与建模助手</w:t>
            </w:r>
          </w:p>
          <w:p>
            <w:pPr>
              <w:keepNext/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（Codex 客户端环境，GPT 系列代码模型）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Blender 程序化建模、材质与贴图生成、工具脚本</w:t>
            </w:r>
          </w:p>
        </w:tc>
        <w:tc>
          <w:tcPr>
            <w:tcW w:type="dxa" w:w="3061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三具影偶的分件提取、真实镂空与 0.65 cm 皮厚网格、骨骼与姿态导出脚本；材质贴图与预览渲染脚本；FBX 往返自检脚本</w:t>
            </w:r>
          </w:p>
        </w:tc>
        <w:tc>
          <w:tcPr>
            <w:tcW w:type="dxa" w:w="2041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逐图人工检查（标注残留、轮廓毛边、孔洞），删除失败版本并保留回退；模型比例、关节与材质最终由人工审定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编程与审查助手</w:t>
            </w:r>
          </w:p>
          <w:p>
            <w:pPr>
              <w:spacing w:before="0" w:after="2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（DeepSeek Harness 客户端环境，DeepSeek 系列模型）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C++ 逻辑修复、整体审查、打包与验证脚本</w:t>
            </w:r>
          </w:p>
        </w:tc>
        <w:tc>
          <w:tcPr>
            <w:tcW w:type="dxa" w:w="3061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换偶与昼夜眼睑逻辑补丁草案；HUD 文案与音效去重分析；打包、冷重载、四幕截图与放映胶片段的自动化脚本；文档起草</w:t>
            </w:r>
          </w:p>
        </w:tc>
        <w:tc>
          <w:tcPr>
            <w:tcW w:type="dxa" w:w="2041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逐条在正式关卡与打包版本中实测，核对探针数据后决定采纳或回退；判定参数与体验节奏不改由 AI 决定</w:t>
            </w:r>
          </w:p>
        </w:tc>
      </w:tr>
    </w:tbl>
    <w:p>
      <w:pPr>
        <w:spacing w:before="60" w:after="80" w:line="360" w:lineRule="auto"/>
        <w:jc w:val="left"/>
      </w:pPr>
      <w:r>
        <w:rPr>
          <w:rFonts w:ascii="Times New Roman" w:hAnsi="Times New Roman" w:eastAsia="宋体"/>
          <w:b w:val="0"/>
          <w:color w:val="595959"/>
          <w:sz w:val="18"/>
        </w:rPr>
        <w:t>说明：如团队另使用过图像或语音生成工具，可据实补充一行；本作品未使用语音合成，评审视频为静音版。</w:t>
      </w:r>
    </w:p>
    <w:p>
      <w:pPr>
        <w:keepNext/>
        <w:pageBreakBefore/>
        <w:spacing w:before="160" w:after="100" w:line="360" w:lineRule="auto"/>
        <w:jc w:val="left"/>
      </w:pPr>
      <w:r>
        <w:rPr>
          <w:rFonts w:ascii="Times New Roman" w:hAnsi="Times New Roman" w:eastAsia="黑体"/>
          <w:b/>
          <w:sz w:val="24"/>
        </w:rPr>
        <w:t>三、代表性AI使用过程</w:t>
      </w:r>
    </w:p>
    <w:p>
      <w:pPr>
        <w:keepNext/>
        <w:spacing w:before="80" w:after="60" w:line="360" w:lineRule="auto"/>
        <w:jc w:val="left"/>
      </w:pPr>
      <w:r>
        <w:rPr>
          <w:rFonts w:ascii="Times New Roman" w:hAnsi="Times New Roman" w:eastAsia="宋体"/>
          <w:b/>
          <w:sz w:val="21"/>
        </w:rPr>
        <w:t>（一）三具影偶：从平面概念图到可投影的实体皮影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</w:trPr>
        <w:tc>
          <w:tcPr>
            <w:tcW w:type="dxa" w:w="1928"/>
            <w:shd w:val="clear" w:color="auto" w:fill="EDE9E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说明项目</w:t>
            </w:r>
          </w:p>
        </w:tc>
        <w:tc>
          <w:tcPr>
            <w:tcW w:type="dxa" w:w="7030"/>
            <w:shd w:val="clear" w:color="auto" w:fill="EDE9E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具体内容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使用环节及目的</w:t>
            </w:r>
          </w:p>
        </w:tc>
        <w:tc>
          <w:tcPr>
            <w:tcW w:type="dxa" w:w="7030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为第二至第四幕补充精卫、刑天、烛龙三具影偶，使每幕有独立角色，而非四幕共用同一具皮影。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主要工具／模型</w:t>
            </w:r>
          </w:p>
        </w:tc>
        <w:tc>
          <w:tcPr>
            <w:tcW w:type="dxa" w:w="7030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Codex 环境下的 AI 编程与建模助手；Blender 4.5 无头模式；Python（OpenCV、Shapely、triangle）。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主要输入或素材来源</w:t>
            </w:r>
          </w:p>
        </w:tc>
        <w:tc>
          <w:tcPr>
            <w:tcW w:type="dxa" w:w="7030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团队自绘的三张正交概念图（Jingwei／Xingtian／Zhulong），含分件、关节与杆位标注；无第三方模型或贴图。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AI主要输出</w:t>
            </w:r>
          </w:p>
        </w:tc>
        <w:tc>
          <w:tcPr>
            <w:tcW w:type="dxa" w:w="7030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按概念图像素坐标提取 17／20／6 个分件轮廓，保留 99／33／32 个真实透光孔，挤出 0.65 cm 皮厚并生成 UV、刚性骨骼（17／14／8 根）与三套姿态；导出 FBX 与 2K BaseColor／NormalDX／ORM 贴图。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学生筛选、修改或再创作</w:t>
            </w:r>
          </w:p>
        </w:tc>
        <w:tc>
          <w:tcPr>
            <w:tcW w:type="dxa" w:w="7030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逐张实机图核对：删除混入的尺寸线与箭头、修正翼尖与龙身边缘、补齐烛龙可开合眼睑、按实际翼展修正比例记录；Run1 整批保留为回退，最终采用 Run2。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最终成果中的应用位置</w:t>
            </w:r>
          </w:p>
        </w:tc>
        <w:tc>
          <w:tcPr>
            <w:tcW w:type="dxa" w:w="7030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第二幕精卫、第三幕刑天、第四幕烛龙；资源位于作品 Puppets／Dev 目录，专用检查地图 L_ThreePuppetsReview 保留 12 张 Movable 光源投影核验图。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可核验材料（如有）</w:t>
            </w:r>
          </w:p>
        </w:tc>
        <w:tc>
          <w:tcPr>
            <w:tcW w:type="dxa" w:w="7030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模型验证记录（三角面、骨骼、包围盒、FBX 冷读）、UE 导入记录与 12 张投影截图、冷重载回执。</w:t>
            </w:r>
          </w:p>
        </w:tc>
      </w:tr>
    </w:tbl>
    <w:p>
      <w:pPr>
        <w:keepNext/>
        <w:pageBreakBefore/>
        <w:spacing w:before="160" w:after="60" w:line="360" w:lineRule="auto"/>
        <w:jc w:val="left"/>
      </w:pPr>
      <w:r>
        <w:rPr>
          <w:rFonts w:ascii="Times New Roman" w:hAnsi="Times New Roman" w:eastAsia="宋体"/>
          <w:b/>
          <w:sz w:val="21"/>
        </w:rPr>
        <w:t>（二）四幕换偶与烛龙昼夜：AI 草案经人工实测纠正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</w:trPr>
        <w:tc>
          <w:tcPr>
            <w:tcW w:type="dxa" w:w="1928"/>
            <w:shd w:val="clear" w:color="auto" w:fill="EDE9E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说明项目</w:t>
            </w:r>
          </w:p>
        </w:tc>
        <w:tc>
          <w:tcPr>
            <w:tcW w:type="dxa" w:w="7030"/>
            <w:shd w:val="clear" w:color="auto" w:fill="EDE9E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具体内容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使用环节及目的</w:t>
            </w:r>
          </w:p>
        </w:tc>
        <w:tc>
          <w:tcPr>
            <w:tcW w:type="dxa" w:w="7030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让四幕在正式关卡中真正切换影偶，并使烛龙的眼睑随昼夜变化开合。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主要工具／模型</w:t>
            </w:r>
          </w:p>
        </w:tc>
        <w:tc>
          <w:tcPr>
            <w:tcW w:type="dxa" w:w="7030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编程与审查助手（DeepSeek Harness 环境）；UE 5.8 C++ 与编辑器探针脚本。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主要输入或素材来源</w:t>
            </w:r>
          </w:p>
        </w:tc>
        <w:tc>
          <w:tcPr>
            <w:tcW w:type="dxa" w:w="7030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现有 Puzzle Director、Puppet Actor 源码；正式主地图与打包包；人工记录的探针结果。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AI主要输出</w:t>
            </w:r>
          </w:p>
        </w:tc>
        <w:tc>
          <w:tcPr>
            <w:tcW w:type="dxa" w:w="7030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CastMesh 单节点动画、按章切换显示姿态、眼睑缩放分支等补丁草案；诊断脚本与结论摘要。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学生筛选、修改或再创作</w:t>
            </w:r>
          </w:p>
        </w:tc>
        <w:tc>
          <w:tcPr>
            <w:tcW w:type="dxa" w:w="7030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实测发现草案首版在正式关卡仍停在 Blueprint 动画模式，人工补充探针定位后改为显式切单节点并重设位置；确认夜伏成功时不应提前睁眼，重排昼夜判定；随后重新打包并复测四幕。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最终成果中的应用位置</w:t>
            </w:r>
          </w:p>
        </w:tc>
        <w:tc>
          <w:tcPr>
            <w:tcW w:type="dxa" w:w="7030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四幕换偶与第四幕昼夜表现；正式主地图 L_DY_Main 与 Shipping 包。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可核验材料（如有）</w:t>
            </w:r>
          </w:p>
        </w:tc>
        <w:tc>
          <w:tcPr>
            <w:tcW w:type="dxa" w:w="7030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探针 JSON、打包 identity（源图与可执行文件 SHA256）、四幕实机截图与录屏。</w:t>
            </w:r>
          </w:p>
        </w:tc>
      </w:tr>
    </w:tbl>
    <w:p>
      <w:pPr>
        <w:keepNext/>
        <w:spacing w:before="160" w:after="100" w:line="360" w:lineRule="auto"/>
        <w:jc w:val="left"/>
      </w:pPr>
      <w:r>
        <w:rPr>
          <w:rFonts w:ascii="Times New Roman" w:hAnsi="Times New Roman" w:eastAsia="黑体"/>
          <w:b/>
          <w:sz w:val="24"/>
        </w:rPr>
        <w:t>四、最终成果中的AI生成或辅助内容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</w:trPr>
        <w:tc>
          <w:tcPr>
            <w:tcW w:type="dxa" w:w="2268"/>
            <w:shd w:val="clear" w:color="auto" w:fill="EDE9E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内容／成果</w:t>
            </w:r>
          </w:p>
        </w:tc>
        <w:tc>
          <w:tcPr>
            <w:tcW w:type="dxa" w:w="2494"/>
            <w:shd w:val="clear" w:color="auto" w:fill="EDE9E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AI生成或辅助部分</w:t>
            </w:r>
          </w:p>
        </w:tc>
        <w:tc>
          <w:tcPr>
            <w:tcW w:type="dxa" w:w="2494"/>
            <w:shd w:val="clear" w:color="auto" w:fill="EDE9E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学生修改与整合</w:t>
            </w:r>
          </w:p>
        </w:tc>
        <w:tc>
          <w:tcPr>
            <w:tcW w:type="dxa" w:w="1928"/>
            <w:shd w:val="clear" w:color="auto" w:fill="EDE9E1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最终使用位置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三具影偶的网格、UV、骨骼与贴图</w:t>
            </w:r>
          </w:p>
        </w:tc>
        <w:tc>
          <w:tcPr>
            <w:tcW w:type="dxa" w:w="249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轮廓提取、镂空、挤出、绑骨与贴图烘焙脚本由 AI 生成</w:t>
            </w:r>
          </w:p>
        </w:tc>
        <w:tc>
          <w:tcPr>
            <w:tcW w:type="dxa" w:w="249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人工去掉图稿标注、修轮廓、定厚度与比例、逐张验收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精卫／刑天／烛龙角色资产与三套姿态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部分 C++ 逻辑与工具脚本</w:t>
            </w:r>
          </w:p>
        </w:tc>
        <w:tc>
          <w:tcPr>
            <w:tcW w:type="dxa" w:w="249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补丁与脚本草案</w:t>
            </w:r>
          </w:p>
        </w:tc>
        <w:tc>
          <w:tcPr>
            <w:tcW w:type="dxa" w:w="249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人工复核、编译、打包回归，失败项回退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换偶、眼睑、HUD 文案、音效去重、打包与验证脚本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文字与图示材料</w:t>
            </w:r>
          </w:p>
        </w:tc>
        <w:tc>
          <w:tcPr>
            <w:tcW w:type="dxa" w:w="249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文档初稿、表格与说明文字</w:t>
            </w:r>
          </w:p>
        </w:tc>
        <w:tc>
          <w:tcPr>
            <w:tcW w:type="dxa" w:w="2494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人工核对数据与口径，改写为提交版本</w:t>
            </w:r>
          </w:p>
        </w:tc>
        <w:tc>
          <w:tcPr>
            <w:tcW w:type="dxa" w:w="1928"/>
          </w:tcPr>
          <w:p>
            <w:pPr>
              <w:keepNext/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本说明、交付记录与验证报告（非作品本体）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评审视频的剪辑脚本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分镜与转场脚本、字幕排版脚本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人工挑帧、定稿与复核时长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参赛评审视频（非实时作品本体）</w:t>
            </w:r>
          </w:p>
        </w:tc>
      </w:tr>
    </w:tbl>
    <w:p>
      <w:pPr>
        <w:keepNext/>
        <w:spacing w:before="160" w:after="100" w:line="360" w:lineRule="auto"/>
        <w:jc w:val="left"/>
      </w:pPr>
      <w:r>
        <w:rPr>
          <w:rFonts w:ascii="Times New Roman" w:hAnsi="Times New Roman" w:eastAsia="黑体"/>
          <w:b/>
          <w:sz w:val="24"/>
        </w:rPr>
        <w:t>五、学生原创贡献说明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作品的核心创意与实施方案由学生提出并定稿，AI 承担的是可替换的实现辅助。</w:t>
      </w:r>
    </w:p>
    <w:p>
      <w:pPr>
        <w:spacing w:before="0" w:after="40" w:line="336" w:lineRule="auto"/>
        <w:ind w:left="408" w:hanging="238"/>
        <w:jc w:val="both"/>
      </w:pPr>
      <w:r>
        <w:rPr>
          <w:rFonts w:ascii="Times New Roman" w:hAnsi="Times New Roman" w:eastAsia="宋体"/>
          <w:b w:val="0"/>
          <w:sz w:val="21"/>
        </w:rPr>
        <w:t>·  主题与叙事：确定以《山海经》夸父逐日与弃杖化林为母题的原创改编方向，形成“久未开演—未完逐日—玩家复演”的最小故事，设定四幕（夸父逐日／精卫填海／刑天舞干戚／烛龙昼夜）、题签与字幕文本。</w:t>
      </w:r>
    </w:p>
    <w:p>
      <w:pPr>
        <w:spacing w:before="0" w:after="40" w:line="336" w:lineRule="auto"/>
        <w:ind w:left="408" w:hanging="238"/>
        <w:jc w:val="both"/>
      </w:pPr>
      <w:r>
        <w:rPr>
          <w:rFonts w:ascii="Times New Roman" w:hAnsi="Times New Roman" w:eastAsia="宋体"/>
          <w:b w:val="0"/>
          <w:sz w:val="21"/>
        </w:rPr>
        <w:t>·  玩法与判定：确立“光源即玩法、影子即角色”，以灯位、偶位与保持时间三参数的区间判定作为唯一主判定，视觉阴影与逻辑判定分离；三次互动沿“发现规律—协同控制—综合运用”递进，第三次只组合已学能力。</w:t>
      </w:r>
    </w:p>
    <w:p>
      <w:pPr>
        <w:spacing w:before="0" w:after="40" w:line="336" w:lineRule="auto"/>
        <w:ind w:left="408" w:hanging="238"/>
        <w:jc w:val="both"/>
      </w:pPr>
      <w:r>
        <w:rPr>
          <w:rFonts w:ascii="Times New Roman" w:hAnsi="Times New Roman" w:eastAsia="宋体"/>
          <w:b w:val="0"/>
          <w:sz w:val="21"/>
        </w:rPr>
        <w:t>·  关卡与美术方向：规划单主地图的入场灯径、幕后操作区、左右台翼、简化台前与不可探索远景；确定影窗、台口、壁柱、八字纸灯、锣鼓曲面网格与观众席的构成，并对 AI 产出一项项取舍（如三次树冠重建失败后回滚、门脸格窗方案删除）。</w:t>
      </w:r>
    </w:p>
    <w:p>
      <w:pPr>
        <w:spacing w:before="0" w:after="40" w:line="336" w:lineRule="auto"/>
        <w:ind w:left="408" w:hanging="238"/>
        <w:jc w:val="both"/>
      </w:pPr>
      <w:r>
        <w:rPr>
          <w:rFonts w:ascii="Times New Roman" w:hAnsi="Times New Roman" w:eastAsia="宋体"/>
          <w:b w:val="0"/>
          <w:sz w:val="21"/>
        </w:rPr>
        <w:t>·  工程与验收：完成 UE 项目配置、蓝图接线、灯光与相机布置、打包与发布；对每轮改动做真机冒烟、四幕通关、截图与录屏核验，保留回退基线。</w:t>
      </w:r>
    </w:p>
    <w:p>
      <w:pPr>
        <w:spacing w:before="80" w:after="8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AI 与学生工作边界：AI 不参与创意取舍与验收判定；凡 AI 产出的代码、网格、贴图与文字，均须经学生逐项检查并在正式关卡或打包版本中实测后才进入作品。未通过实测的草案（如首版换偶补丁、程序化树冠、门脸格窗）均已回退，不作为成果保留。</w:t>
      </w:r>
    </w:p>
    <w:p>
      <w:pPr>
        <w:keepNext/>
        <w:spacing w:before="160" w:after="100" w:line="360" w:lineRule="auto"/>
        <w:jc w:val="left"/>
      </w:pPr>
      <w:r>
        <w:rPr>
          <w:rFonts w:ascii="Times New Roman" w:hAnsi="Times New Roman" w:eastAsia="黑体"/>
          <w:b/>
          <w:sz w:val="24"/>
        </w:rPr>
        <w:t>六、代表性过程材料（按需）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按赛事要求，可在参赛打包文件中附 1—3 组必要材料：三具影偶的分件与镂空对比图、换偶探针前后对照、四幕实机截图。材料已脱敏，不含账号与个人信息；不提交完整对话记录。</w:t>
      </w:r>
    </w:p>
    <w:p>
      <w:pPr>
        <w:keepNext/>
        <w:spacing w:before="160" w:after="100" w:line="360" w:lineRule="auto"/>
        <w:jc w:val="left"/>
      </w:pPr>
      <w:r>
        <w:rPr>
          <w:rFonts w:ascii="Times New Roman" w:hAnsi="Times New Roman" w:eastAsia="黑体"/>
          <w:b/>
          <w:sz w:val="24"/>
        </w:rPr>
        <w:t>七、资源来源与合规说明</w:t>
      </w:r>
    </w:p>
    <w:p>
      <w:pPr>
        <w:spacing w:before="0" w:after="40" w:line="336" w:lineRule="auto"/>
        <w:ind w:left="408" w:hanging="238"/>
        <w:jc w:val="both"/>
      </w:pPr>
      <w:r>
        <w:rPr>
          <w:rFonts w:ascii="Times New Roman" w:hAnsi="Times New Roman" w:eastAsia="宋体"/>
          <w:b w:val="0"/>
          <w:sz w:val="21"/>
        </w:rPr>
        <w:t>·  引擎与基础资源：Unreal Engine 5.8.3，按 Epic Games 许可用于本作品；引擎自带基础形状与材质仅作占位与调试。</w:t>
      </w:r>
    </w:p>
    <w:p>
      <w:pPr>
        <w:spacing w:before="0" w:after="40" w:line="336" w:lineRule="auto"/>
        <w:ind w:left="408" w:hanging="238"/>
        <w:jc w:val="both"/>
      </w:pPr>
      <w:r>
        <w:rPr>
          <w:rFonts w:ascii="Times New Roman" w:hAnsi="Times New Roman" w:eastAsia="宋体"/>
          <w:b w:val="0"/>
          <w:sz w:val="21"/>
        </w:rPr>
        <w:t>·  字体：Noto Serif SC、Noto Sans SC，SIL Open Font License 1.1，用于字幕、界面与文档排版。</w:t>
      </w:r>
    </w:p>
    <w:p>
      <w:pPr>
        <w:spacing w:before="0" w:after="40" w:line="336" w:lineRule="auto"/>
        <w:ind w:left="408" w:hanging="238"/>
        <w:jc w:val="both"/>
      </w:pPr>
      <w:r>
        <w:rPr>
          <w:rFonts w:ascii="Times New Roman" w:hAnsi="Times New Roman" w:eastAsia="宋体"/>
          <w:b w:val="0"/>
          <w:sz w:val="21"/>
        </w:rPr>
        <w:t>·  图像与模型：主视觉、概念图与场景资产为团队自绘或团队自制程序化生成；三具影偶基于团队概念图重建，未使用第三方模型库。</w:t>
      </w:r>
    </w:p>
    <w:p>
      <w:pPr>
        <w:spacing w:before="0" w:after="40" w:line="336" w:lineRule="auto"/>
        <w:ind w:left="408" w:hanging="238"/>
        <w:jc w:val="both"/>
      </w:pPr>
      <w:r>
        <w:rPr>
          <w:rFonts w:ascii="Times New Roman" w:hAnsi="Times New Roman" w:eastAsia="宋体"/>
          <w:b w:val="0"/>
          <w:sz w:val="21"/>
        </w:rPr>
        <w:t>·  音频：锣鼓与环境音按项目《第三方资源说明》逐项登记，均为免费／开源许可或团队自制，无付费素材。</w:t>
      </w:r>
    </w:p>
    <w:p>
      <w:pPr>
        <w:spacing w:before="0" w:after="40" w:line="336" w:lineRule="auto"/>
        <w:ind w:left="408" w:hanging="238"/>
        <w:jc w:val="both"/>
      </w:pPr>
      <w:r>
        <w:rPr>
          <w:rFonts w:ascii="Times New Roman" w:hAnsi="Times New Roman" w:eastAsia="宋体"/>
          <w:b w:val="0"/>
          <w:sz w:val="21"/>
        </w:rPr>
        <w:t>·  AI 生成内容：均在人工筛选与修改后使用，未将 AI 输出直接表述为学生独立原创；使用的工具与环节见本说明第二、三节。</w:t>
      </w:r>
    </w:p>
    <w:p>
      <w:pPr>
        <w:keepNext/>
        <w:spacing w:before="160" w:after="100" w:line="360" w:lineRule="auto"/>
        <w:jc w:val="left"/>
      </w:pPr>
      <w:r>
        <w:rPr>
          <w:rFonts w:ascii="Times New Roman" w:hAnsi="Times New Roman" w:eastAsia="黑体"/>
          <w:b/>
          <w:sz w:val="24"/>
        </w:rPr>
        <w:t>八、填写确认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本团队确认：本说明真实反映人工智能工具在《灯影山海》中的使用情况、学生自主完成的工作与最终成果状态；未虚构使用过程，未将 AI 或第三方成果表述为学生独立原创。相关真实性与知识产权承诺按本届《参赛承诺书》执行。</w:t>
      </w:r>
    </w:p>
    <w:p>
      <w:pPr>
        <w:spacing w:before="160" w:after="80" w:line="360" w:lineRule="auto"/>
        <w:jc w:val="right"/>
      </w:pPr>
      <w:r>
        <w:rPr>
          <w:rFonts w:ascii="Times New Roman" w:hAnsi="Times New Roman" w:eastAsia="宋体"/>
          <w:b w:val="0"/>
          <w:sz w:val="21"/>
        </w:rPr>
        <w:t>填表日期：2026 年 10 月 24 日</w:t>
      </w:r>
    </w:p>
    <w:sectPr w:rsidR="00FC693F" w:rsidRPr="0006063C" w:rsidSect="00034616">
      <w:footerReference w:type="default" r:id="rId9"/>
      <w:pgSz w:w="11906" w:h="16838"/>
      <w:pgMar w:top="1247" w:right="1474" w:bottom="1219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r>
      <w:rPr>
        <w:rFonts w:ascii="Times New Roman" w:hAnsi="Times New Roman" w:eastAsia="宋体"/>
        <w:b w:val="0"/>
        <w:sz w:val="18"/>
      </w:rPr>
    </w:r>
    <w:fldSimple w:instr="PAGE">
      <w:r>
        <w:t>1</w:t>
      </w:r>
    </w:fldSimple>
    <w:r>
      <w:rPr>
        <w:rFonts w:ascii="Times New Roman" w:hAnsi="Times New Roman" w:eastAsia="宋体"/>
        <w:b w:val="0"/>
        <w:sz w:val="18"/>
      </w:rPr>
      <w:t xml:space="preserve"> 页 / 共 </w:t>
    </w:r>
    <w:r>
      <w:rPr>
        <w:rFonts w:ascii="Times New Roman" w:hAnsi="Times New Roman" w:eastAsia="宋体"/>
        <w:b w:val="0"/>
        <w:sz w:val="18"/>
      </w:rPr>
    </w:r>
    <w:fldSimple w:instr="NUMPAGES">
      <w:r>
        <w:t>1</w:t>
      </w:r>
    </w:fldSimple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