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"/>
        <w:rPr>
          <w:rFonts w:ascii="Times New Roman"/>
          <w:b w:val="0"/>
          <w:sz w:val="21"/>
        </w:rPr>
        <w:sectPr>
          <w:headerReference r:id="rId3" w:type="default"/>
          <w:type w:val="continuous"/>
          <w:pgSz w:w="11910" w:h="16840"/>
          <w:pgMar w:top="300" w:right="1320" w:bottom="280" w:left="12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6287135</wp:posOffset>
                </wp:positionV>
                <wp:extent cx="1277620" cy="311150"/>
                <wp:effectExtent l="0" t="0" r="1778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6770" y="7255510"/>
                          <a:ext cx="127762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20" w:firstLineChars="1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zk_name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35pt;margin-top:495.05pt;height:24.5pt;width:100.6pt;z-index:251659264;mso-width-relative:page;mso-height-relative:page;" fillcolor="#FFFFFF [3201]" filled="t" stroked="f" coordsize="21600,21600" o:gfxdata="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3rJwK&#10;1wAAAAwBAAAPAAAAAAAAAAEAIAAAACIAAABkcnMvZG93bnJldi54bWxQSwECFAAUAAAACACHTuJA&#10;Enc/kV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1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r>
                        <w:rPr>
                          <w:rFonts w:hint="eastAsia"/>
                          <w:lang w:eastAsia="zh-CN"/>
                        </w:rPr>
                        <w:t>zk_name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6647180</wp:posOffset>
                </wp:positionV>
                <wp:extent cx="1210945" cy="277495"/>
                <wp:effectExtent l="0" t="0" r="825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2970" y="7661910"/>
                          <a:ext cx="121094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zk_id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pt;margin-top:523.4pt;height:21.85pt;width:95.35pt;z-index:251662336;mso-width-relative:page;mso-height-relative:page;" fillcolor="#FFFFFF [3201]" filled="t" stroked="f" coordsize="21600,21600" o:gfxdata="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c66qt&#10;1wAAAA0BAAAPAAAAAAAAAAEAIAAAACIAAABkcnMvZG93bnJldi54bWxQSwECFAAUAAAACACHTuJA&#10;l3sPCl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r>
                        <w:rPr>
                          <w:rFonts w:hint="eastAsia"/>
                          <w:lang w:eastAsia="zh-CN"/>
                        </w:rPr>
                        <w:t>zk_id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smallCaps/>
          <w:color w:val="808080"/>
          <w:sz w:val="96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-981710</wp:posOffset>
            </wp:positionV>
            <wp:extent cx="7559040" cy="10699115"/>
            <wp:effectExtent l="0" t="0" r="0" b="0"/>
            <wp:wrapTight wrapText="bothSides">
              <wp:wrapPolygon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6" name="图片 16" descr="C:\Users\Administrator\Desktop\12121212\高血压个体化用药指导基因检测.jpg高血压个体化用药指导基因检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12121212\高血压个体化用药指导基因检测.jpg高血压个体化用药指导基因检测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" w:after="1"/>
        <w:jc w:val="center"/>
        <w:rPr>
          <w:b/>
          <w:sz w:val="28"/>
          <w:szCs w:val="28"/>
          <w:lang w:val="en-US" w:eastAsia="zh-Hans"/>
        </w:rPr>
      </w:pPr>
    </w:p>
    <w:p>
      <w:pPr>
        <w:spacing w:before="16" w:after="1"/>
        <w:jc w:val="center"/>
        <w:rPr>
          <w:b/>
          <w:sz w:val="32"/>
          <w:szCs w:val="32"/>
          <w:lang w:val="en-US"/>
        </w:rPr>
      </w:pPr>
      <w:r>
        <w:rPr>
          <w:rFonts w:hint="eastAsia"/>
          <w:b/>
          <w:sz w:val="28"/>
          <w:szCs w:val="28"/>
          <w:lang w:val="en-US" w:eastAsia="zh-Hans"/>
        </w:rPr>
        <w:t>基本</w:t>
      </w:r>
      <w:r>
        <w:rPr>
          <w:rFonts w:hint="eastAsia"/>
          <w:b/>
          <w:sz w:val="28"/>
          <w:szCs w:val="28"/>
          <w:lang w:val="en-US"/>
        </w:rPr>
        <w:t>信息</w:t>
      </w:r>
    </w:p>
    <w:p>
      <w:pPr>
        <w:spacing w:before="16" w:after="1"/>
        <w:rPr>
          <w:b/>
          <w:sz w:val="13"/>
          <w:szCs w:val="13"/>
          <w:lang w:val="en-US"/>
        </w:rPr>
      </w:pPr>
    </w:p>
    <w:tbl>
      <w:tblPr>
        <w:tblStyle w:val="6"/>
        <w:tblW w:w="950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1"/>
        <w:gridCol w:w="2850"/>
        <w:gridCol w:w="30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651" w:type="dxa"/>
            <w:tcBorders>
              <w:top w:val="single" w:color="B2A1C7" w:themeColor="accent4" w:themeTint="99" w:sz="1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ind w:left="0"/>
              <w:jc w:val="both"/>
            </w:pPr>
            <w:r>
              <w:t>姓名：</w:t>
            </w:r>
            <w:r>
              <w:rPr>
                <w:rFonts w:hint="eastAsia"/>
              </w:rPr>
              <w:t>{{</w:t>
            </w:r>
            <w:r>
              <w:rPr>
                <w:rFonts w:hint="eastAsia"/>
                <w:lang w:eastAsia="zh-CN"/>
              </w:rPr>
              <w:t>zk_name</w:t>
            </w:r>
            <w:r>
              <w:rPr>
                <w:rFonts w:hint="eastAsia"/>
              </w:rPr>
              <w:t>}}</w:t>
            </w:r>
          </w:p>
        </w:tc>
        <w:tc>
          <w:tcPr>
            <w:tcW w:w="2850" w:type="dxa"/>
            <w:tcBorders>
              <w:top w:val="single" w:color="B2A1C7" w:themeColor="accent4" w:themeTint="99" w:sz="1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ind w:left="0" w:right="1030"/>
              <w:jc w:val="both"/>
              <w:rPr>
                <w:rFonts w:hint="eastAsia" w:eastAsia="微软雅黑"/>
                <w:lang w:val="en-US" w:eastAsia="zh-CN"/>
              </w:rPr>
            </w:pPr>
            <w:r>
              <w:t>性别：</w:t>
            </w:r>
            <w:r>
              <w:rPr>
                <w:rFonts w:hint="eastAsia"/>
                <w:lang w:val="en-US" w:eastAsia="zh-CN"/>
              </w:rPr>
              <w:t>{{gender}}</w:t>
            </w:r>
          </w:p>
        </w:tc>
        <w:tc>
          <w:tcPr>
            <w:tcW w:w="3003" w:type="dxa"/>
            <w:tcBorders>
              <w:top w:val="single" w:color="B2A1C7" w:themeColor="accent4" w:themeTint="99" w:sz="1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ind w:left="0"/>
              <w:jc w:val="both"/>
              <w:rPr>
                <w:rFonts w:hint="default" w:eastAsia="微软雅黑"/>
                <w:lang w:val="en-US" w:eastAsia="zh-CN"/>
              </w:rPr>
            </w:pPr>
            <w:r>
              <w:t>年龄：</w:t>
            </w:r>
            <w:r>
              <w:rPr>
                <w:rFonts w:hint="eastAsia"/>
                <w:lang w:val="en-US" w:eastAsia="zh-CN"/>
              </w:rPr>
              <w:t>{{age}}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/>
              <w:jc w:val="both"/>
              <w:rPr>
                <w:lang w:val="en-US"/>
              </w:rPr>
            </w:pPr>
            <w:r>
              <w:t>样本编号：</w:t>
            </w:r>
            <w:r>
              <w:rPr>
                <w:rFonts w:hint="eastAsia"/>
              </w:rPr>
              <w:t>{{</w:t>
            </w:r>
            <w:r>
              <w:rPr>
                <w:rFonts w:hint="eastAsia"/>
                <w:lang w:eastAsia="zh-CN"/>
              </w:rPr>
              <w:t>zk_id</w:t>
            </w:r>
            <w:r>
              <w:rPr>
                <w:rFonts w:hint="eastAsia"/>
              </w:rPr>
              <w:t>}}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0"/>
              <w:ind w:left="0"/>
              <w:jc w:val="both"/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样本类型</w:t>
            </w:r>
            <w:r>
              <w:t>：</w:t>
            </w:r>
            <w:r>
              <w:rPr>
                <w:rFonts w:hint="eastAsia"/>
              </w:rPr>
              <w:t>{{sample</w:t>
            </w:r>
            <w:r>
              <w:rPr>
                <w:rFonts w:hint="eastAsia"/>
                <w:lang w:val="en-US" w:eastAsia="zh-CN"/>
              </w:rPr>
              <w:t>_type</w:t>
            </w:r>
            <w:r>
              <w:rPr>
                <w:rFonts w:hint="eastAsia"/>
              </w:rPr>
              <w:t>}}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临床诊断</w:t>
            </w:r>
            <w:r>
              <w:t>：</w:t>
            </w:r>
            <w:r>
              <w:rPr>
                <w:rFonts w:hint="eastAsia"/>
                <w:lang w:val="en-US" w:eastAsia="zh-CN"/>
              </w:rPr>
              <w:t>{{clinical_diagnosis}}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/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/>
              </w:rPr>
              <w:t>送检单位：</w:t>
            </w:r>
            <w:r>
              <w:rPr>
                <w:rFonts w:hint="eastAsia"/>
                <w:lang w:val="en-US" w:eastAsia="zh-CN"/>
              </w:rPr>
              <w:t>{{hospital}}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0"/>
              <w:ind w:left="0"/>
              <w:jc w:val="both"/>
              <w:rPr>
                <w:rFonts w:hint="default" w:ascii="Times New Roman" w:eastAsia="微软雅黑"/>
                <w:lang w:val="en-US" w:eastAsia="zh-CN"/>
              </w:rPr>
            </w:pPr>
            <w:r>
              <w:t>送检日期：</w:t>
            </w: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/>
              <w:jc w:val="both"/>
              <w:rPr>
                <w:rFonts w:hint="default" w:eastAsia="微软雅黑"/>
                <w:lang w:val="en-US" w:eastAsia="zh-CN"/>
              </w:rPr>
            </w:pPr>
            <w:r>
              <w:t>报告日期：</w:t>
            </w:r>
            <w:r>
              <w:rPr>
                <w:rFonts w:hint="eastAsia"/>
                <w:lang w:val="en-US" w:eastAsia="zh-CN"/>
              </w:rPr>
              <w:t>{{zk_report_time}}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3651" w:type="dxa"/>
            <w:tcBorders>
              <w:top w:val="nil"/>
              <w:left w:val="nil"/>
              <w:bottom w:val="single" w:color="B2A1C7" w:themeColor="accent4" w:themeTint="99" w:sz="18" w:space="0"/>
              <w:right w:val="nil"/>
            </w:tcBorders>
            <w:vAlign w:val="center"/>
          </w:tcPr>
          <w:p>
            <w:pPr>
              <w:pStyle w:val="11"/>
              <w:spacing w:before="90"/>
              <w:ind w:left="0"/>
              <w:jc w:val="both"/>
            </w:pPr>
            <w:r>
              <w:rPr>
                <w:rFonts w:hint="eastAsia"/>
              </w:rPr>
              <w:t>检测项目：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高血压用药五项用药指导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B2A1C7" w:themeColor="accent4" w:themeTint="99" w:sz="18" w:space="0"/>
              <w:right w:val="nil"/>
            </w:tcBorders>
            <w:vAlign w:val="center"/>
          </w:tcPr>
          <w:p>
            <w:pPr>
              <w:pStyle w:val="11"/>
              <w:spacing w:before="90"/>
              <w:ind w:left="0"/>
              <w:jc w:val="both"/>
            </w:pPr>
            <w:r>
              <w:rPr>
                <w:rFonts w:hint="eastAsia"/>
                <w:lang w:val="en-US" w:eastAsia="zh-Hans"/>
              </w:rPr>
              <w:t>检测方法</w:t>
            </w:r>
            <w:r>
              <w:t>：</w:t>
            </w:r>
            <w:r>
              <w:rPr>
                <w:rFonts w:ascii="Times New Roman" w:hAnsi="Times New Roman" w:eastAsia="微软雅黑"/>
                <w:sz w:val="24"/>
              </w:rPr>
              <w:t>Sanger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测序</w:t>
            </w:r>
          </w:p>
        </w:tc>
        <w:tc>
          <w:tcPr>
            <w:tcW w:w="3003" w:type="dxa"/>
            <w:tcBorders>
              <w:top w:val="nil"/>
              <w:left w:val="nil"/>
              <w:bottom w:val="single" w:color="B2A1C7" w:themeColor="accent4" w:themeTint="99" w:sz="18" w:space="0"/>
              <w:right w:val="nil"/>
            </w:tcBorders>
            <w:vAlign w:val="center"/>
          </w:tcPr>
          <w:p>
            <w:pPr>
              <w:pStyle w:val="11"/>
              <w:spacing w:before="90"/>
              <w:ind w:left="0"/>
              <w:jc w:val="both"/>
            </w:pPr>
          </w:p>
        </w:tc>
      </w:tr>
    </w:tbl>
    <w:p>
      <w:pPr>
        <w:spacing w:before="18"/>
        <w:rPr>
          <w:b/>
          <w:sz w:val="13"/>
          <w:szCs w:val="13"/>
        </w:rPr>
      </w:pPr>
    </w:p>
    <w:p>
      <w:pPr>
        <w:pStyle w:val="2"/>
        <w:spacing w:before="43"/>
        <w:ind w:right="17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基因检测结果</w:t>
      </w:r>
    </w:p>
    <w:p>
      <w:pPr>
        <w:pStyle w:val="2"/>
        <w:spacing w:before="43"/>
        <w:ind w:right="1730"/>
        <w:jc w:val="center"/>
        <w:rPr>
          <w:sz w:val="13"/>
          <w:szCs w:val="13"/>
        </w:rPr>
      </w:pPr>
    </w:p>
    <w:tbl>
      <w:tblPr>
        <w:tblStyle w:val="6"/>
        <w:tblW w:w="9512" w:type="dxa"/>
        <w:tblInd w:w="0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6"/>
        <w:gridCol w:w="1591"/>
        <w:gridCol w:w="1590"/>
        <w:gridCol w:w="1266"/>
        <w:gridCol w:w="2419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64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shd w:val="clear" w:color="auto" w:fill="B2A1C7" w:themeFill="accent4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药物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shd w:val="clear" w:color="auto" w:fill="B2A1C7" w:themeFill="accent4" w:themeFillTint="99"/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基因名称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shd w:val="clear" w:color="auto" w:fill="B2A1C7" w:themeFill="accent4" w:themeFillTint="99"/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检测位点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shd w:val="clear" w:color="auto" w:fill="B2A1C7" w:themeFill="accent4" w:themeFillTint="99"/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检测结果</w:t>
            </w:r>
          </w:p>
        </w:tc>
        <w:tc>
          <w:tcPr>
            <w:tcW w:w="2419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shd w:val="clear" w:color="auto" w:fill="B2A1C7" w:themeFill="accent4" w:themeFillTint="99"/>
          </w:tcPr>
          <w:p>
            <w:pPr>
              <w:pStyle w:val="11"/>
              <w:ind w:left="631" w:right="613"/>
              <w:rPr>
                <w:rFonts w:ascii="Times New Roman" w:hAnsi="Times New Roman" w:cs="Times New Roman"/>
                <w:lang w:val="en-US" w:eastAsia="zh-Hans"/>
              </w:rPr>
            </w:pPr>
            <w:r>
              <w:rPr>
                <w:rFonts w:hint="eastAsia" w:ascii="Times New Roman" w:hAnsi="Times New Roman" w:cs="Times New Roman"/>
                <w:lang w:val="en-US" w:eastAsia="zh-Hans"/>
              </w:rPr>
              <w:t>用药提示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46" w:type="dxa"/>
            <w:vMerge w:val="restart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血管紧张素Ⅱ受体拮抗剂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CYP2C9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c.1075A&gt;C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{{CYP2C9}}</w:t>
            </w:r>
          </w:p>
        </w:tc>
        <w:tc>
          <w:tcPr>
            <w:tcW w:w="2419" w:type="dxa"/>
            <w:vMerge w:val="restart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pStyle w:val="11"/>
              <w:spacing w:before="118"/>
              <w:ind w:left="631" w:right="613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{{tip_1}}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46" w:type="dxa"/>
            <w:vMerge w:val="continue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AGTR1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c.*86A&gt;C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lang w:val="en-US" w:eastAsia="zh-CN"/>
              </w:rPr>
              <w:t>AGTR1}}</w:t>
            </w:r>
          </w:p>
        </w:tc>
        <w:tc>
          <w:tcPr>
            <w:tcW w:w="2419" w:type="dxa"/>
            <w:vMerge w:val="continue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</w:tcPr>
          <w:p>
            <w:pPr>
              <w:pStyle w:val="11"/>
              <w:ind w:left="631" w:right="613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64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血管紧张素转换酶抑制剂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I/D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{{ACE}}</w:t>
            </w:r>
          </w:p>
        </w:tc>
        <w:tc>
          <w:tcPr>
            <w:tcW w:w="2419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pStyle w:val="11"/>
              <w:ind w:left="631" w:right="614"/>
              <w:jc w:val="center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{{tip_2}}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646" w:type="dxa"/>
            <w:vMerge w:val="restart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β受体阻断药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CYP2D6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t>c.100C&gt;T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{{CYP2D6}}</w:t>
            </w:r>
          </w:p>
        </w:tc>
        <w:tc>
          <w:tcPr>
            <w:tcW w:w="2419" w:type="dxa"/>
            <w:vMerge w:val="restart"/>
            <w:tcBorders>
              <w:top w:val="single" w:color="B3A2C7" w:sz="4" w:space="0"/>
              <w:left w:val="single" w:color="B3A2C7" w:sz="4" w:space="0"/>
              <w:right w:val="single" w:color="B3A2C7" w:sz="4" w:space="0"/>
            </w:tcBorders>
            <w:vAlign w:val="center"/>
          </w:tcPr>
          <w:p>
            <w:pPr>
              <w:bidi w:val="0"/>
              <w:jc w:val="center"/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{{tip_3}}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46" w:type="dxa"/>
            <w:vMerge w:val="continue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ADRB1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t>c.1165G&gt;C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{{ADRB1}}</w:t>
            </w:r>
          </w:p>
        </w:tc>
        <w:tc>
          <w:tcPr>
            <w:tcW w:w="2419" w:type="dxa"/>
            <w:vMerge w:val="continue"/>
            <w:tcBorders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bidi w:val="0"/>
              <w:jc w:val="center"/>
              <w:rPr>
                <w:rFonts w:ascii="微软雅黑" w:hAnsi="微软雅黑" w:eastAsia="微软雅黑" w:cs="微软雅黑"/>
                <w:sz w:val="22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264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钙拮抗剂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CYP3A5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t>c.219-237A&gt;G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{{CYP3A5}}</w:t>
            </w:r>
          </w:p>
        </w:tc>
        <w:tc>
          <w:tcPr>
            <w:tcW w:w="2419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pStyle w:val="11"/>
              <w:ind w:left="631" w:right="61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{{tip_4}}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46" w:type="dxa"/>
            <w:vMerge w:val="restart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利尿药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NEDD4L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c</w:t>
            </w:r>
            <w:r>
              <w:rPr>
                <w:rFonts w:ascii="Times New Roman" w:hAnsi="Times New Roman" w:cs="Times New Roman"/>
                <w:color w:val="auto"/>
              </w:rPr>
              <w:t>.-326G&gt;A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{{ADD1}}</w:t>
            </w:r>
          </w:p>
        </w:tc>
        <w:tc>
          <w:tcPr>
            <w:tcW w:w="2419" w:type="dxa"/>
            <w:vMerge w:val="restart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pStyle w:val="11"/>
              <w:ind w:left="631" w:right="61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{{tip_5}}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46" w:type="dxa"/>
            <w:vMerge w:val="continue"/>
            <w:tcBorders>
              <w:top w:val="single" w:color="B3A2C7" w:sz="4" w:space="0"/>
              <w:left w:val="single" w:color="B3A2C7" w:sz="4" w:space="0"/>
              <w:bottom w:val="single" w:color="B2A1C7" w:themeColor="accent4" w:themeTint="99" w:sz="4" w:space="0"/>
              <w:right w:val="single" w:color="B2A1C7" w:themeColor="accent4" w:themeTint="99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91" w:type="dxa"/>
            <w:tcBorders>
              <w:top w:val="single" w:color="B3A2C7" w:sz="4" w:space="0"/>
              <w:left w:val="single" w:color="B2A1C7" w:themeColor="accent4" w:themeTint="99" w:sz="4" w:space="0"/>
              <w:bottom w:val="single" w:color="B2A1C7" w:themeColor="accent4" w:themeTint="99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ADD1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  <w:lang w:eastAsia="zh-Hans"/>
              </w:rPr>
            </w:pPr>
            <w:r>
              <w:rPr>
                <w:rFonts w:ascii="Times New Roman" w:hAnsi="Times New Roman" w:cs="Times New Roman"/>
                <w:color w:val="auto"/>
                <w:lang w:eastAsia="zh-Hans"/>
              </w:rPr>
              <w:t>c.1378G&gt;T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{{NEDD4L}}</w:t>
            </w:r>
          </w:p>
        </w:tc>
        <w:tc>
          <w:tcPr>
            <w:tcW w:w="2419" w:type="dxa"/>
            <w:vMerge w:val="continue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</w:tcPr>
          <w:p>
            <w:pPr>
              <w:pStyle w:val="11"/>
              <w:ind w:left="631" w:right="613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>
      <w:pPr>
        <w:tabs>
          <w:tab w:val="center" w:pos="4153"/>
          <w:tab w:val="left" w:pos="6870"/>
        </w:tabs>
        <w:spacing w:before="120" w:beforeLines="50"/>
        <w:rPr>
          <w:rFonts w:cs="新宋体"/>
          <w:color w:val="000000" w:themeColor="text1"/>
          <w:sz w:val="20"/>
          <w:szCs w:val="20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sz w:val="20"/>
          <w:szCs w:val="20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273685</wp:posOffset>
            </wp:positionV>
            <wp:extent cx="1768475" cy="829310"/>
            <wp:effectExtent l="0" t="0" r="14605" b="8890"/>
            <wp:wrapNone/>
            <wp:docPr id="9" name="图片 9" descr="报告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报告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隶书"/>
          <w:color w:val="auto"/>
          <w:spacing w:val="-4"/>
          <w:sz w:val="20"/>
          <w:szCs w:val="20"/>
        </w:rPr>
        <w:t>注</w:t>
      </w:r>
      <w:r>
        <w:rPr>
          <w:rFonts w:cs="隶书"/>
          <w:color w:val="auto"/>
          <w:spacing w:val="-4"/>
          <w:sz w:val="20"/>
          <w:szCs w:val="20"/>
        </w:rPr>
        <w:t>：</w:t>
      </w:r>
      <w:r>
        <w:rPr>
          <w:color w:val="auto"/>
          <w:spacing w:val="-4"/>
          <w:sz w:val="20"/>
          <w:szCs w:val="20"/>
        </w:rPr>
        <w:t xml:space="preserve">  </w:t>
      </w:r>
      <w:r>
        <w:rPr>
          <w:rFonts w:hint="eastAsia"/>
          <w:color w:val="auto"/>
          <w:spacing w:val="-4"/>
          <w:sz w:val="20"/>
          <w:szCs w:val="20"/>
        </w:rPr>
        <w:t>↑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rFonts w:cs="新宋体"/>
          <w:color w:val="auto"/>
          <w:sz w:val="20"/>
          <w:szCs w:val="20"/>
        </w:rPr>
        <w:t>：建议</w:t>
      </w:r>
      <w:r>
        <w:rPr>
          <w:rFonts w:hint="eastAsia" w:cs="新宋体"/>
          <w:color w:val="auto"/>
          <w:sz w:val="20"/>
          <w:szCs w:val="20"/>
        </w:rPr>
        <w:t>增加</w:t>
      </w:r>
      <w:r>
        <w:rPr>
          <w:rFonts w:cs="新宋体"/>
          <w:color w:val="auto"/>
          <w:sz w:val="20"/>
          <w:szCs w:val="20"/>
        </w:rPr>
        <w:t>剂量</w:t>
      </w:r>
      <w:r>
        <w:rPr>
          <w:rFonts w:hint="eastAsia" w:cs="新宋体"/>
          <w:color w:val="auto"/>
          <w:sz w:val="20"/>
          <w:szCs w:val="20"/>
        </w:rPr>
        <w:t xml:space="preserve"> </w:t>
      </w:r>
      <w:r>
        <w:rPr>
          <w:rFonts w:cs="新宋体"/>
          <w:color w:val="auto"/>
          <w:sz w:val="20"/>
          <w:szCs w:val="20"/>
        </w:rPr>
        <w:t xml:space="preserve">               </w:t>
      </w:r>
      <w:r>
        <w:rPr>
          <w:rFonts w:hint="eastAsia" w:cs="新宋体"/>
          <w:color w:val="auto"/>
          <w:sz w:val="20"/>
          <w:szCs w:val="20"/>
        </w:rPr>
        <w:t>↓</w:t>
      </w:r>
      <w:r>
        <w:rPr>
          <w:rFonts w:cs="新宋体"/>
          <w:color w:val="auto"/>
          <w:sz w:val="20"/>
          <w:szCs w:val="20"/>
        </w:rPr>
        <w:t xml:space="preserve"> </w:t>
      </w:r>
      <w:r>
        <w:rPr>
          <w:rFonts w:hint="eastAsia" w:cs="新宋体"/>
          <w:color w:val="auto"/>
          <w:sz w:val="20"/>
          <w:szCs w:val="20"/>
          <w:lang w:bidi="ar"/>
        </w:rPr>
        <w:t>：建议减少剂量</w:t>
      </w:r>
      <w:r>
        <w:rPr>
          <w:color w:val="auto"/>
          <w:spacing w:val="-4"/>
          <w:sz w:val="20"/>
          <w:szCs w:val="20"/>
        </w:rPr>
        <w:t xml:space="preserve">            </w:t>
      </w:r>
    </w:p>
    <w:p>
      <w:pPr>
        <w:spacing w:line="360" w:lineRule="auto"/>
        <w:jc w:val="both"/>
        <w:rPr>
          <w:b/>
          <w:bCs/>
          <w:sz w:val="8"/>
          <w:szCs w:val="8"/>
          <w:lang w:val="en-US"/>
        </w:rPr>
      </w:pPr>
    </w:p>
    <w:p>
      <w:pPr>
        <w:spacing w:line="360" w:lineRule="auto"/>
        <w:jc w:val="both"/>
        <w:rPr>
          <w:b/>
          <w:bCs/>
          <w:sz w:val="8"/>
          <w:szCs w:val="8"/>
          <w:lang w:val="en-US" w:eastAsia="zh-Hans"/>
        </w:rPr>
      </w:pPr>
    </w:p>
    <w:p>
      <w:pPr>
        <w:spacing w:line="360" w:lineRule="auto"/>
        <w:jc w:val="both"/>
        <w:rPr>
          <w:b/>
          <w:bCs/>
          <w:sz w:val="8"/>
          <w:szCs w:val="8"/>
          <w:lang w:val="en-US" w:eastAsia="zh-Hans"/>
        </w:rPr>
      </w:pPr>
    </w:p>
    <w:p>
      <w:pPr>
        <w:spacing w:line="360" w:lineRule="auto"/>
        <w:jc w:val="both"/>
        <w:rPr>
          <w:b/>
          <w:bCs/>
          <w:sz w:val="8"/>
          <w:szCs w:val="8"/>
          <w:lang w:val="en-US" w:eastAsia="zh-Hans"/>
        </w:rPr>
      </w:pPr>
    </w:p>
    <w:p>
      <w:pPr>
        <w:spacing w:line="360" w:lineRule="auto"/>
        <w:jc w:val="both"/>
        <w:rPr>
          <w:b/>
          <w:bCs/>
          <w:sz w:val="13"/>
          <w:szCs w:val="13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说明</w:t>
      </w:r>
      <w:r>
        <w:rPr>
          <w:b/>
          <w:bCs/>
          <w:lang w:eastAsia="zh-Hans"/>
        </w:rPr>
        <w:t>：</w:t>
      </w:r>
    </w:p>
    <w:p>
      <w:pPr>
        <w:ind w:left="220" w:leftChars="100"/>
        <w:rPr>
          <w:sz w:val="20"/>
          <w:szCs w:val="20"/>
        </w:rPr>
      </w:pPr>
      <w:r>
        <w:rPr>
          <w:rFonts w:cs="新宋体"/>
          <w:sz w:val="20"/>
          <w:szCs w:val="20"/>
        </w:rPr>
        <w:t xml:space="preserve">* </w:t>
      </w:r>
      <w:r>
        <w:rPr>
          <w:rFonts w:hint="eastAsia"/>
          <w:sz w:val="20"/>
          <w:szCs w:val="20"/>
        </w:rPr>
        <w:t>本报告结果指导</w:t>
      </w:r>
      <w:r>
        <w:rPr>
          <w:sz w:val="20"/>
          <w:szCs w:val="20"/>
        </w:rPr>
        <w:t>检测者</w:t>
      </w:r>
      <w:r>
        <w:rPr>
          <w:rFonts w:hint="eastAsia"/>
          <w:sz w:val="20"/>
          <w:szCs w:val="20"/>
        </w:rPr>
        <w:t>高血压用药，仅供</w:t>
      </w:r>
      <w:r>
        <w:rPr>
          <w:sz w:val="20"/>
          <w:szCs w:val="20"/>
        </w:rPr>
        <w:t>临床医师</w:t>
      </w:r>
      <w:r>
        <w:rPr>
          <w:rFonts w:hint="eastAsia"/>
          <w:sz w:val="20"/>
          <w:szCs w:val="20"/>
        </w:rPr>
        <w:t>参考，</w:t>
      </w:r>
      <w:r>
        <w:rPr>
          <w:sz w:val="20"/>
          <w:szCs w:val="20"/>
        </w:rPr>
        <w:t>不作为唯一用药依据</w:t>
      </w:r>
      <w:r>
        <w:rPr>
          <w:rFonts w:hint="eastAsia"/>
          <w:sz w:val="20"/>
          <w:szCs w:val="20"/>
        </w:rPr>
        <w:t>。</w:t>
      </w:r>
    </w:p>
    <w:p>
      <w:pPr>
        <w:ind w:left="420" w:leftChars="100" w:hanging="200" w:hangingChars="100"/>
        <w:rPr>
          <w:sz w:val="20"/>
          <w:szCs w:val="20"/>
        </w:rPr>
      </w:pPr>
      <w:r>
        <w:rPr>
          <w:rFonts w:cs="新宋体"/>
          <w:sz w:val="20"/>
          <w:szCs w:val="20"/>
        </w:rPr>
        <w:t>*</w:t>
      </w:r>
      <w:r>
        <w:rPr>
          <w:rFonts w:hint="eastAsia"/>
          <w:sz w:val="20"/>
          <w:szCs w:val="20"/>
        </w:rPr>
        <w:t xml:space="preserve"> 若因受检者不当使用本报告带来的心理、生理、经济等负担，本检验所不承担责任和风险。</w:t>
      </w:r>
    </w:p>
    <w:p>
      <w:pPr>
        <w:ind w:left="420" w:leftChars="100" w:hanging="200" w:hangingChars="100"/>
        <w:rPr>
          <w:rFonts w:hint="eastAsia" w:eastAsia="微软雅黑"/>
          <w:sz w:val="20"/>
          <w:szCs w:val="20"/>
          <w:lang w:eastAsia="zh-CN"/>
        </w:rPr>
      </w:pPr>
      <w:r>
        <w:rPr>
          <w:sz w:val="20"/>
          <w:szCs w:val="20"/>
        </w:rPr>
        <w:t xml:space="preserve">* </w:t>
      </w:r>
      <w:r>
        <w:rPr>
          <w:rFonts w:hint="eastAsia"/>
          <w:sz w:val="20"/>
          <w:szCs w:val="20"/>
        </w:rPr>
        <w:t>本报告只对本次所提供的基因样本负责，无检测人、审核人签字或盖章的报告无效。</w:t>
      </w:r>
    </w:p>
    <w:p>
      <w:pPr>
        <w:pStyle w:val="2"/>
        <w:spacing w:before="1"/>
        <w:ind w:right="1732"/>
        <w:rPr>
          <w:sz w:val="20"/>
          <w:szCs w:val="20"/>
          <w:lang w:val="en-US"/>
        </w:rPr>
      </w:pPr>
    </w:p>
    <w:p>
      <w:pPr>
        <w:pStyle w:val="2"/>
        <w:spacing w:before="1"/>
        <w:ind w:right="1732" w:firstLine="3082" w:firstLineChars="1400"/>
        <w:rPr>
          <w:sz w:val="28"/>
          <w:szCs w:val="28"/>
          <w:lang w:val="en-US"/>
        </w:r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1048385</wp:posOffset>
            </wp:positionH>
            <wp:positionV relativeFrom="paragraph">
              <wp:posOffset>255270</wp:posOffset>
            </wp:positionV>
            <wp:extent cx="666750" cy="349250"/>
            <wp:effectExtent l="0" t="0" r="3810" b="1270"/>
            <wp:wrapNone/>
            <wp:docPr id="8" name="图片 8" descr="微信图片_20210621164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106211647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4220845</wp:posOffset>
            </wp:positionH>
            <wp:positionV relativeFrom="paragraph">
              <wp:posOffset>229870</wp:posOffset>
            </wp:positionV>
            <wp:extent cx="906145" cy="344805"/>
            <wp:effectExtent l="0" t="0" r="0" b="5080"/>
            <wp:wrapNone/>
            <wp:docPr id="7" name="图片 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W w:w="7479" w:type="dxa"/>
        <w:tblInd w:w="6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9"/>
        <w:gridCol w:w="3141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5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11"/>
              <w:tabs>
                <w:tab w:val="center" w:pos="1079"/>
              </w:tabs>
              <w:spacing w:before="0" w:line="240" w:lineRule="auto"/>
              <w:ind w:left="200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检</w:t>
            </w:r>
            <w:r>
              <w:t>测人：</w:t>
            </w:r>
          </w:p>
        </w:tc>
        <w:tc>
          <w:tcPr>
            <w:tcW w:w="3141" w:type="dxa"/>
            <w:tcBorders>
              <w:top w:val="nil"/>
              <w:bottom w:val="nil"/>
            </w:tcBorders>
            <w:vAlign w:val="center"/>
          </w:tcPr>
          <w:p>
            <w:pPr>
              <w:pStyle w:val="11"/>
              <w:spacing w:before="0" w:line="240" w:lineRule="auto"/>
              <w:ind w:right="1160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851535</wp:posOffset>
                  </wp:positionH>
                  <wp:positionV relativeFrom="paragraph">
                    <wp:posOffset>1270</wp:posOffset>
                  </wp:positionV>
                  <wp:extent cx="482600" cy="210185"/>
                  <wp:effectExtent l="0" t="0" r="12700" b="18415"/>
                  <wp:wrapNone/>
                  <wp:docPr id="6" name="图片 6" descr="C:\Users\yoonw\Desktop\潘灿签名.jpg潘灿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C:\Users\yoonw\Desktop\潘灿签名.jpg潘灿签名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报告人：</w:t>
            </w:r>
          </w:p>
        </w:tc>
        <w:tc>
          <w:tcPr>
            <w:tcW w:w="21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0" w:line="243" w:lineRule="exact"/>
              <w:ind w:left="0" w:leftChars="0" w:firstLine="0" w:firstLineChars="0"/>
              <w:jc w:val="both"/>
              <w:rPr>
                <w:rFonts w:hint="eastAsia" w:eastAsia="微软雅黑"/>
                <w:lang w:eastAsia="zh-CN"/>
              </w:rPr>
            </w:pPr>
            <w:r>
              <w:t>审核人：</w:t>
            </w:r>
          </w:p>
        </w:tc>
      </w:tr>
    </w:tbl>
    <w:p>
      <w:pPr>
        <w:pStyle w:val="2"/>
        <w:spacing w:before="1"/>
        <w:ind w:right="1732"/>
        <w:jc w:val="both"/>
        <w:rPr>
          <w:sz w:val="28"/>
          <w:szCs w:val="28"/>
          <w:lang w:val="en-US"/>
        </w:rPr>
      </w:pPr>
    </w:p>
    <w:p>
      <w:pPr>
        <w:pStyle w:val="2"/>
        <w:spacing w:before="1"/>
        <w:ind w:right="1732" w:firstLine="3922" w:firstLineChars="1400"/>
        <w:jc w:val="both"/>
        <w:rPr>
          <w:sz w:val="28"/>
          <w:szCs w:val="28"/>
          <w:lang w:val="en-US"/>
        </w:rPr>
      </w:pPr>
    </w:p>
    <w:p>
      <w:pPr>
        <w:pStyle w:val="2"/>
        <w:spacing w:before="1"/>
        <w:ind w:right="1732" w:firstLine="3922" w:firstLineChars="1400"/>
        <w:jc w:val="both"/>
        <w:rPr>
          <w:sz w:val="28"/>
          <w:szCs w:val="28"/>
          <w:lang w:val="en-US"/>
        </w:rPr>
      </w:pPr>
    </w:p>
    <w:p>
      <w:pPr>
        <w:spacing w:after="120" w:afterLines="50"/>
        <w:jc w:val="center"/>
        <w:rPr>
          <w:bCs/>
          <w:spacing w:val="-4"/>
          <w:kern w:val="2"/>
          <w:sz w:val="15"/>
          <w:szCs w:val="6"/>
        </w:rPr>
      </w:pPr>
    </w:p>
    <w:p>
      <w:pPr>
        <w:spacing w:after="120" w:afterLines="50"/>
        <w:jc w:val="center"/>
        <w:rPr>
          <w:bCs/>
          <w:spacing w:val="-4"/>
          <w:kern w:val="2"/>
          <w:sz w:val="28"/>
          <w:szCs w:val="18"/>
        </w:rPr>
      </w:pPr>
      <w:r>
        <w:rPr>
          <w:rFonts w:hint="eastAsia"/>
          <w:bCs/>
          <w:spacing w:val="-4"/>
          <w:kern w:val="2"/>
          <w:sz w:val="28"/>
          <w:szCs w:val="18"/>
        </w:rPr>
        <w:t>附录</w:t>
      </w:r>
      <w:r>
        <w:rPr>
          <w:rFonts w:ascii="Times New Roman" w:hAnsi="Times New Roman" w:cs="Times New Roman"/>
          <w:bCs/>
          <w:spacing w:val="-4"/>
          <w:kern w:val="2"/>
          <w:sz w:val="28"/>
          <w:szCs w:val="18"/>
        </w:rPr>
        <w:t>1</w:t>
      </w:r>
      <w:r>
        <w:rPr>
          <w:bCs/>
          <w:spacing w:val="-4"/>
          <w:kern w:val="2"/>
          <w:sz w:val="28"/>
          <w:szCs w:val="18"/>
        </w:rPr>
        <w:t xml:space="preserve">  </w:t>
      </w:r>
      <w:r>
        <w:rPr>
          <w:rFonts w:hint="eastAsia"/>
          <w:bCs/>
          <w:spacing w:val="-4"/>
          <w:kern w:val="2"/>
          <w:sz w:val="28"/>
          <w:szCs w:val="18"/>
        </w:rPr>
        <w:t>检测</w:t>
      </w:r>
      <w:r>
        <w:rPr>
          <w:bCs/>
          <w:spacing w:val="-4"/>
          <w:kern w:val="2"/>
          <w:sz w:val="28"/>
          <w:szCs w:val="18"/>
        </w:rPr>
        <w:t>结果</w:t>
      </w:r>
      <w:r>
        <w:rPr>
          <w:rFonts w:hint="eastAsia"/>
          <w:bCs/>
          <w:spacing w:val="-4"/>
          <w:kern w:val="2"/>
          <w:sz w:val="28"/>
          <w:szCs w:val="18"/>
        </w:rPr>
        <w:t>详解</w:t>
      </w:r>
    </w:p>
    <w:p>
      <w:pPr>
        <w:pStyle w:val="2"/>
        <w:spacing w:before="1"/>
        <w:ind w:right="1732" w:firstLine="130" w:firstLineChars="100"/>
        <w:jc w:val="center"/>
        <w:rPr>
          <w:sz w:val="13"/>
          <w:szCs w:val="13"/>
        </w:rPr>
      </w:pPr>
    </w:p>
    <w:p>
      <w:pPr>
        <w:pStyle w:val="12"/>
        <w:numPr>
          <w:ilvl w:val="0"/>
          <w:numId w:val="1"/>
        </w:numPr>
        <w:snapToGrid w:val="0"/>
        <w:spacing w:line="360" w:lineRule="auto"/>
        <w:ind w:left="216" w:hanging="212" w:hangingChars="100"/>
        <w:jc w:val="both"/>
        <w:rPr>
          <w:rFonts w:ascii="Times New Roman" w:hAnsi="Times New Roman" w:cs="Times New Roman"/>
          <w:spacing w:val="-4"/>
          <w:kern w:val="2"/>
          <w:sz w:val="22"/>
        </w:rPr>
      </w:pPr>
      <w:r>
        <w:rPr>
          <w:rFonts w:ascii="Times New Roman" w:hAnsi="Times New Roman" w:cs="Times New Roman"/>
          <w:spacing w:val="-4"/>
          <w:kern w:val="2"/>
          <w:sz w:val="22"/>
        </w:rPr>
        <w:t xml:space="preserve"> 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>{{text_1}}</w:t>
      </w:r>
    </w:p>
    <w:p>
      <w:pPr>
        <w:pStyle w:val="12"/>
        <w:numPr>
          <w:ilvl w:val="0"/>
          <w:numId w:val="1"/>
        </w:numPr>
        <w:snapToGrid w:val="0"/>
        <w:spacing w:line="360" w:lineRule="auto"/>
        <w:ind w:left="212" w:leftChars="0" w:hanging="212" w:hangingChars="100"/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</w:pP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 xml:space="preserve"> {{text_2}}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</w:pPr>
      <w:r>
        <w:rPr>
          <w:rFonts w:ascii="Times New Roman" w:hAnsi="Times New Roman" w:cs="Times New Roman"/>
          <w:spacing w:val="-4"/>
          <w:kern w:val="2"/>
          <w:sz w:val="22"/>
        </w:rPr>
        <w:t xml:space="preserve">3. 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>{{text_3}}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</w:pPr>
      <w:r>
        <w:rPr>
          <w:rFonts w:ascii="Times New Roman" w:hAnsi="Times New Roman" w:cs="Times New Roman"/>
          <w:bCs/>
          <w:spacing w:val="-4"/>
          <w:sz w:val="22"/>
        </w:rPr>
        <w:t>4.</w:t>
      </w:r>
      <w:r>
        <w:rPr>
          <w:rFonts w:hint="eastAsia" w:ascii="Times New Roman" w:hAnsi="Times New Roman" w:cs="Times New Roman"/>
          <w:bCs/>
          <w:spacing w:val="-4"/>
          <w:sz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>{{text_4}}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</w:pPr>
      <w:r>
        <w:rPr>
          <w:rFonts w:ascii="Times New Roman" w:hAnsi="Times New Roman" w:cs="Times New Roman"/>
          <w:spacing w:val="-4"/>
          <w:kern w:val="2"/>
          <w:sz w:val="22"/>
        </w:rPr>
        <w:t>5.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 xml:space="preserve"> {{text_5}}</w:t>
      </w:r>
    </w:p>
    <w:p>
      <w:pPr>
        <w:pStyle w:val="12"/>
        <w:snapToGrid w:val="0"/>
        <w:spacing w:line="360" w:lineRule="auto"/>
        <w:jc w:val="both"/>
        <w:rPr>
          <w:rFonts w:eastAsia="宋体" w:cs="楷体"/>
          <w:spacing w:val="-4"/>
          <w:kern w:val="2"/>
          <w:sz w:val="20"/>
          <w:szCs w:val="20"/>
        </w:rPr>
      </w:pPr>
    </w:p>
    <w:p>
      <w:pPr>
        <w:spacing w:after="120" w:afterLines="50"/>
        <w:jc w:val="center"/>
        <w:rPr>
          <w:bCs/>
          <w:spacing w:val="-4"/>
          <w:kern w:val="2"/>
          <w:sz w:val="40"/>
          <w:lang w:val="en-US"/>
        </w:rPr>
      </w:pPr>
      <w:r>
        <w:rPr>
          <w:rFonts w:hint="eastAsia"/>
          <w:bCs/>
          <w:spacing w:val="-4"/>
          <w:kern w:val="2"/>
          <w:sz w:val="28"/>
          <w:szCs w:val="18"/>
        </w:rPr>
        <w:t>附录</w:t>
      </w:r>
      <w:r>
        <w:rPr>
          <w:rFonts w:ascii="Times New Roman" w:hAnsi="Times New Roman" w:cs="Times New Roman"/>
          <w:bCs/>
          <w:spacing w:val="-4"/>
          <w:kern w:val="2"/>
          <w:sz w:val="28"/>
          <w:szCs w:val="18"/>
          <w:lang w:val="en-US"/>
        </w:rPr>
        <w:t>2</w:t>
      </w:r>
      <w:r>
        <w:rPr>
          <w:rFonts w:hint="eastAsia"/>
          <w:bCs/>
          <w:spacing w:val="-4"/>
          <w:kern w:val="2"/>
          <w:sz w:val="28"/>
          <w:szCs w:val="18"/>
          <w:lang w:val="en-US"/>
        </w:rPr>
        <w:t xml:space="preserve"> 高血压药列表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725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/>
                <w:spacing w:val="-4"/>
                <w:kern w:val="2"/>
                <w:sz w:val="20"/>
                <w:szCs w:val="20"/>
                <w:lang w:val="en-US"/>
              </w:rPr>
              <w:t>药物分类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/>
                <w:spacing w:val="-4"/>
                <w:kern w:val="2"/>
                <w:sz w:val="20"/>
                <w:szCs w:val="20"/>
                <w:lang w:val="en-US"/>
              </w:rPr>
              <w:t>通用名</w:t>
            </w:r>
          </w:p>
        </w:tc>
        <w:tc>
          <w:tcPr>
            <w:tcW w:w="5174" w:type="dxa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/>
                <w:spacing w:val="-4"/>
                <w:kern w:val="2"/>
                <w:sz w:val="20"/>
                <w:szCs w:val="20"/>
                <w:lang w:val="en-US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restart"/>
            <w:vAlign w:val="center"/>
          </w:tcPr>
          <w:p>
            <w:pPr>
              <w:jc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血管紧张素Ⅱ受体拮抗剂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氯沙坦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科素亚、海捷亚、缓宁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缬沙坦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怡方、代文、维尔坦、霡欣、丽珠维可、缬克、佳菲、穗悦、托平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伊贝沙坦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安博维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替米沙坦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美卡素、诺金平、迪赛平、立文、欧美宁、嘉瑟宜、浦美特、亚邦恒贝、欣益尔、沙汀宁、天易、恒雪素、施吉、曲亚、毓乐宁、邦坦、隆舒雅、欧美宁、舒尼亚、素定、利来客、蒂益宁、康楚、洛格乐、斯泰乐、平克亚欣、提愈、博欣舒、迪赛平、凡坦、美斯、坦芯素、舒尼亚、雪盈平、沙泰齐、赛卡、特立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坎地沙坦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维尔亚、迪之雅、搏力高、伲利安、苏纳胶囊、悉君宁、达迈、奥必欣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厄贝沙坦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吉加、甘悦喜、格平、若朋、苏适、科苏、伊康宁胶囊、普利宁、伊达力、伊泰青、安博维、欣平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restart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sz w:val="20"/>
                <w:szCs w:val="20"/>
              </w:rPr>
              <w:t>血管紧张素转换酶抑制剂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卡托普利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开博通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依那普利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怡那林、因弗尔、福天乐、依苏、勤可息、依双、埃利雅、久保克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贝那普利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洛汀新、新亚力普、敌亚平、普力多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培哚普利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雅施达、百普乐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阿拉普利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赛他普利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佐芬普利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Bifril、Zofenil、Zopranol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喹那普利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益恒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雷米普利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瑞素坦、瑞泰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咪达普利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达爽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地拉普利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压得克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赖诺普利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诺普利、捷赐瑞、帝益洛、易集康、益迈欧、可伦、诺朴利、宁舒宝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福辛普利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蒙诺、施贵宝、雅利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color w:val="222222"/>
                <w:kern w:val="2"/>
                <w:sz w:val="20"/>
                <w:szCs w:val="20"/>
                <w:lang w:val="en-US" w:bidi="ar-SA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群多普利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Tarka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β受体阻断药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阿替洛尔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氨酰心安、天诺敏、苯氧胺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富马酸比索洛尔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康忻、博苏、山益新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琥珀酸美托诺尔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倍他乐克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酒石酸美托洛尔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倍他乐克、以岭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盐酸艾司洛尔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爱络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盐酸贝凡洛尔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安维喜、卡理稳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盐酸普萘洛尔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心得安、力生、杭达来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盐酸塞利洛尔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得来恩、苏亚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盐酸索他洛尔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伟特、济迪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盐酸左布诺洛尔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贝他根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氧烯洛尔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心得平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吲哚洛尔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心得静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钙拮抗剂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硝苯地平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444444"/>
                <w:sz w:val="20"/>
                <w:szCs w:val="20"/>
                <w:lang w:val="en-US" w:bidi="ar"/>
              </w:rPr>
              <w:t>心痛定、圣通平、拜新同、尼福达、德高宁、艾克地平、克力坦、欣然、纳欣同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尼卡地平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佩尔、丹颐、欣舒力达、阿法多欣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尼群地平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洛普思、舒迈特、乐普常舒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氨氯地平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络活喜、彼络平、安内真、兰迪、压氏达、亚斯克平、平能、伏络清、宁立平、施慧达、玄宁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尼莫地平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尼膜同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地尔硫卓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合心爽、合贝爽、恬尔心、奥的镇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维拉帕米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异搏定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加洛帕米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心钙灵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苄普地尔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开克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氟桂利嗪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西比灵、桂克、屹康、弗瑞林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利尿剂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氢氯噻嗪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双氢克尿噻、双克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呋塞米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速尿片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螺内酯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安体舒通、使尔通、利夫莱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氨苯蝶啶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复方利血平氨苯蝶啶片(0号)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阿米洛利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武都力、蒙达清</w:t>
            </w:r>
          </w:p>
        </w:tc>
      </w:tr>
    </w:tbl>
    <w:p>
      <w:pPr>
        <w:spacing w:before="120" w:beforeLines="50"/>
        <w:ind w:left="440" w:leftChars="200" w:right="440" w:rightChars="200"/>
        <w:jc w:val="both"/>
        <w:rPr>
          <w:rFonts w:cs="楷体"/>
          <w:bCs/>
          <w:spacing w:val="-4"/>
          <w:kern w:val="2"/>
          <w:sz w:val="18"/>
          <w:szCs w:val="18"/>
          <w:lang w:val="en-US"/>
        </w:rPr>
      </w:pPr>
      <w:r>
        <w:rPr>
          <w:rFonts w:hint="eastAsia" w:cs="楷体"/>
          <w:bCs/>
          <w:spacing w:val="-4"/>
          <w:kern w:val="2"/>
          <w:sz w:val="18"/>
          <w:szCs w:val="18"/>
          <w:lang w:val="en-US"/>
        </w:rPr>
        <w:t>注：通用名是药品的标准名称,代表药物的成分或主要成分,用以区别不同作用的药品；商品名为不同生产厂家为自己的药品所起的名字，具有商品标识作用,故同一通用名的药品可以有多个商品名，例如“氯沙坦”的商品名有“科素亚”、“海捷亚”、“缓宁”，但表中可能列举不全。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120" w:afterLines="50"/>
        <w:ind w:firstLine="816" w:firstLineChars="300"/>
        <w:jc w:val="center"/>
        <w:textAlignment w:val="auto"/>
        <w:rPr>
          <w:bCs/>
          <w:spacing w:val="-4"/>
          <w:kern w:val="2"/>
          <w:sz w:val="40"/>
        </w:rPr>
      </w:pPr>
      <w:r>
        <w:rPr>
          <w:rFonts w:hint="eastAsia"/>
          <w:bCs/>
          <w:spacing w:val="-4"/>
          <w:kern w:val="2"/>
          <w:sz w:val="28"/>
          <w:szCs w:val="28"/>
        </w:rPr>
        <w:t>附录</w:t>
      </w:r>
      <w:r>
        <w:rPr>
          <w:rFonts w:ascii="Times New Roman" w:hAnsi="Times New Roman" w:cs="Times New Roman"/>
          <w:bCs/>
          <w:spacing w:val="-4"/>
          <w:kern w:val="2"/>
          <w:sz w:val="28"/>
          <w:szCs w:val="28"/>
          <w:lang w:val="en-US"/>
        </w:rPr>
        <w:t>3</w:t>
      </w:r>
      <w:r>
        <w:rPr>
          <w:rFonts w:hint="eastAsia"/>
          <w:bCs/>
          <w:spacing w:val="-4"/>
          <w:kern w:val="2"/>
          <w:sz w:val="28"/>
          <w:szCs w:val="28"/>
          <w:lang w:val="en-US"/>
        </w:rPr>
        <w:t xml:space="preserve"> </w:t>
      </w:r>
      <w:r>
        <w:rPr>
          <w:rFonts w:hint="eastAsia"/>
          <w:bCs/>
          <w:spacing w:val="-4"/>
          <w:kern w:val="2"/>
          <w:sz w:val="28"/>
          <w:szCs w:val="28"/>
        </w:rPr>
        <w:t>参考文献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Yasar U , Forslund-Bergengren C , Tybring G , et al. Pharmacokinetics of losartan and its metabolite E-3174 in relation to the CYP2C9 genotype[J]. Clinical Pharmacology &amp; Therapeutics, 2002, 71(1):89-98.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CYP2C9*3 allelic variant is associated with metabolism of irbesartan in Chinese population.[J]. European Journal of Clinical Pharmacology, 2005, 61(9):627-634.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Miller J A , Thai K , Scholey J W . Angiotensin II type 1 receptor gene polymorphism predicts response to losartan and angiotensin II.[J].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Kidney International, 1999, 56(6):2173-2180.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Batty J A , Hall A S , White H L , et al. An investigation of CYP2D6 genotype and response to metoprolol CR/XL during dose titration in patients with heart failure: a MERIT-HF substudy.[J].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Clinical Pharmacology &amp; Therapeutics, 2014, 95(3):321-30.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Rau T , Wuttke H , Michels L M , et al. Impact of the CYP2D6 Genotype on the Clinical Effects of Metoprolol: A Prospective Longitudinal Study[J].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Clinical Pharmacology &amp; Therapeutics, 2008.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Johnson J A , Zineh I , Puckett B J , et al. Beta 1-adrenergic receptor polymorphisms and antihypertensive response to metoprolol.[J].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Clinical Pharmacology &amp; Therapeutics, 2003, 74.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Parvez B , Chopra N , Rowan S , et al. A Common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β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1-Adrenergic Receptor Polymorphism Predicts Favorable Response to Rate-Control Therapy in Atrial Fibrillation[J].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Journal of the American College of Cardiology, 2012, 59(1):49-56.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Luo F , Wang Y , Wang X , et al. A Functional Variant of NEDD4L Is Associated With Hypertension, Antihypertensive Response, and Orthostatic Hypotension[J]. Hypertension, 2009, 54(4):796-801.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Manunta P , Lavery G , Lanzani C , et al. Physiological interaction between alpha-adducin and WNK1-NEDD4L pathways on sodium-related blood pressure regulation.[J]. Hypertension, 2008, 52(2):366-372.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Ya-Chih C , Che-Jen H , Yu-Min J , et al. Nifedipine pharmacokinetics are influenced by CYP3A5 genotype when used as a preterm labor tocolytic.[J]. American Journal of Perinatology, 2012, 30(04):275-282.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国家卫生计生委医政医管局. 药物代谢酶和药物作用靶点基因检测技术指南(试行)概要[J]. 实用器官移植电子杂志, 2015, 3(005):257-267.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国家卫生计生委合理用药专家委员会, 中国医师协会高血压专业委员会. 高血压合理用药指南(第2版)[J]. 中国医学前沿杂志(电子版), 2017(7).</w:t>
      </w:r>
    </w:p>
    <w:sectPr>
      <w:pgSz w:w="11910" w:h="16840"/>
      <w:pgMar w:top="300" w:right="1320" w:bottom="280" w:left="12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/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728980</wp:posOffset>
              </wp:positionH>
              <wp:positionV relativeFrom="page">
                <wp:posOffset>989330</wp:posOffset>
              </wp:positionV>
              <wp:extent cx="6041390" cy="0"/>
              <wp:effectExtent l="0" t="0" r="0" b="0"/>
              <wp:wrapNone/>
              <wp:docPr id="153" name="直接连接符 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390" cy="0"/>
                      </a:xfrm>
                      <a:prstGeom prst="line">
                        <a:avLst/>
                      </a:prstGeom>
                      <a:ln w="762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7.4pt;margin-top:77.9pt;height:0pt;width:475.7pt;mso-position-horizontal-relative:page;mso-position-vertical-relative:page;z-index:-251655168;mso-width-relative:page;mso-height-relative:page;" filled="f" stroked="t" coordsize="21600,21600" o:gfxdata="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6xgiT1gAAAAwBAAAPAAAAAAAAAAEAIAAAACIAAABkcnMvZG93bnJldi54bWxQSwECFAAU&#10;AAAACACHTuJAV7lwA/MBAADqAwAADgAAAAAAAAABACAAAAAlAQAAZHJzL2Uyb0RvYy54bWxQSwUG&#10;AAAAAAYABgBZAQAAigUAAAAA&#10;">
              <v:fill on="f" focussize="0,0"/>
              <v:stroke weight="0.6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Times New Roman"/>
        <w:sz w:val="20"/>
      </w:rPr>
      <w:drawing>
        <wp:inline distT="0" distB="0" distL="0" distR="0">
          <wp:extent cx="1217295" cy="506730"/>
          <wp:effectExtent l="0" t="0" r="0" b="635"/>
          <wp:docPr id="3" name="image1.jpeg" descr="C:\Users\10759\Desktop\TYN\常用文件-TYN\中科资料\中科基因logo.png中科基因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C:\Users\10759\Desktop\TYN\常用文件-TYN\中科资料\中科基因logo.png中科基因logo"/>
                  <pic:cNvPicPr>
                    <a:picLocks noChangeAspect="1"/>
                  </pic:cNvPicPr>
                </pic:nvPicPr>
                <pic:blipFill>
                  <a:blip r:embed="rId1"/>
                  <a:srcRect t="29509" b="28958"/>
                  <a:stretch>
                    <a:fillRect/>
                  </a:stretch>
                </pic:blipFill>
                <pic:spPr>
                  <a:xfrm>
                    <a:off x="0" y="0"/>
                    <a:ext cx="1217295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4604385</wp:posOffset>
              </wp:positionH>
              <wp:positionV relativeFrom="paragraph">
                <wp:posOffset>124460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b/>
                              <w:bCs/>
                              <w:i/>
                              <w:iCs/>
                              <w:color w:val="403152" w:themeColor="accent4" w:themeShade="80"/>
                              <w:sz w:val="28"/>
                              <w:szCs w:val="28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403152" w:themeColor="accent4" w:themeShade="8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为健康·向未来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2.55pt;margin-top:9.8pt;height:144pt;width:144pt;mso-wrap-style:none;z-index:251662336;mso-width-relative:page;mso-height-relative:page;" filled="f" stroked="f" coordsize="21600,21600" o:gfxdata="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wRcYfYAAAACwEAAA8AAAAAAAAAAQAgAAAAIgAAAGRycy9kb3ducmV2&#10;LnhtbFBLAQIUABQAAAAIAIdO4kCKrCRzNQIAAGUEAAAOAAAAAAAAAAEAIAAAACcBAABkcnMvZTJv&#10;RG9jLnhtbFBLBQYAAAAABgAGAFkBAADO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b/>
                        <w:bCs/>
                        <w:i/>
                        <w:iCs/>
                        <w:color w:val="403152" w:themeColor="accent4" w:themeShade="80"/>
                        <w:sz w:val="28"/>
                        <w:szCs w:val="28"/>
                        <w:lang w:val="en-US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</w:pPr>
                    <w:r>
                      <w:rPr>
                        <w:rFonts w:hint="eastAsia"/>
                        <w:b/>
                        <w:bCs/>
                        <w:i/>
                        <w:iCs/>
                        <w:color w:val="403152" w:themeColor="accent4" w:themeShade="8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  <w:t>为健康·向未来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54BF5"/>
    <w:multiLevelType w:val="multilevel"/>
    <w:tmpl w:val="15C54B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新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B0879"/>
    <w:multiLevelType w:val="singleLevel"/>
    <w:tmpl w:val="582B087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ZGY2Mjc3ZTZhM2NkMTRmOGE3NmE5NGI0MjIzN2MifQ=="/>
  </w:docVars>
  <w:rsids>
    <w:rsidRoot w:val="00172A27"/>
    <w:rsid w:val="00002AB8"/>
    <w:rsid w:val="00076ABE"/>
    <w:rsid w:val="00126525"/>
    <w:rsid w:val="00172A27"/>
    <w:rsid w:val="0020639D"/>
    <w:rsid w:val="0025237A"/>
    <w:rsid w:val="002E0573"/>
    <w:rsid w:val="003642B5"/>
    <w:rsid w:val="003A43D2"/>
    <w:rsid w:val="003A5C65"/>
    <w:rsid w:val="00443EE3"/>
    <w:rsid w:val="004A182A"/>
    <w:rsid w:val="004E2C16"/>
    <w:rsid w:val="00534089"/>
    <w:rsid w:val="005433A3"/>
    <w:rsid w:val="005C790D"/>
    <w:rsid w:val="006134E6"/>
    <w:rsid w:val="006A2C5C"/>
    <w:rsid w:val="00774134"/>
    <w:rsid w:val="007B28B3"/>
    <w:rsid w:val="00836505"/>
    <w:rsid w:val="008D71F3"/>
    <w:rsid w:val="009F1619"/>
    <w:rsid w:val="009F2AA1"/>
    <w:rsid w:val="00A65EEA"/>
    <w:rsid w:val="00A762E4"/>
    <w:rsid w:val="00A84E94"/>
    <w:rsid w:val="00B43788"/>
    <w:rsid w:val="00B77295"/>
    <w:rsid w:val="00B80C44"/>
    <w:rsid w:val="00BA3E96"/>
    <w:rsid w:val="00BF23FA"/>
    <w:rsid w:val="00C047B2"/>
    <w:rsid w:val="00C17A93"/>
    <w:rsid w:val="00CB28D2"/>
    <w:rsid w:val="00D41FD8"/>
    <w:rsid w:val="00D87472"/>
    <w:rsid w:val="00DC2836"/>
    <w:rsid w:val="00DD0699"/>
    <w:rsid w:val="00E3685A"/>
    <w:rsid w:val="00E966D4"/>
    <w:rsid w:val="00EC5555"/>
    <w:rsid w:val="00F66A08"/>
    <w:rsid w:val="00F85B69"/>
    <w:rsid w:val="00F947DA"/>
    <w:rsid w:val="026E5F6F"/>
    <w:rsid w:val="028951C3"/>
    <w:rsid w:val="06A83A52"/>
    <w:rsid w:val="0855004C"/>
    <w:rsid w:val="0CF06F2A"/>
    <w:rsid w:val="0E245572"/>
    <w:rsid w:val="0E435212"/>
    <w:rsid w:val="0EBB698C"/>
    <w:rsid w:val="11507F74"/>
    <w:rsid w:val="117E7EF2"/>
    <w:rsid w:val="119641B0"/>
    <w:rsid w:val="15511DE0"/>
    <w:rsid w:val="17EB0E28"/>
    <w:rsid w:val="1860111D"/>
    <w:rsid w:val="1B035DE4"/>
    <w:rsid w:val="1B7F5A3F"/>
    <w:rsid w:val="1CBCFC7F"/>
    <w:rsid w:val="1D2C5927"/>
    <w:rsid w:val="1D6109FF"/>
    <w:rsid w:val="1D89263D"/>
    <w:rsid w:val="1EFA2417"/>
    <w:rsid w:val="1FAE0611"/>
    <w:rsid w:val="207F0BF7"/>
    <w:rsid w:val="20E03835"/>
    <w:rsid w:val="213149B5"/>
    <w:rsid w:val="22901C2D"/>
    <w:rsid w:val="23C5417C"/>
    <w:rsid w:val="24AA3EA7"/>
    <w:rsid w:val="25940C83"/>
    <w:rsid w:val="27C86F3C"/>
    <w:rsid w:val="29AA4A60"/>
    <w:rsid w:val="29C260E8"/>
    <w:rsid w:val="2A056E9A"/>
    <w:rsid w:val="2AD624AC"/>
    <w:rsid w:val="2B876083"/>
    <w:rsid w:val="2C831F01"/>
    <w:rsid w:val="2E800C28"/>
    <w:rsid w:val="31D35003"/>
    <w:rsid w:val="31E71921"/>
    <w:rsid w:val="325A5548"/>
    <w:rsid w:val="349661FB"/>
    <w:rsid w:val="34D60319"/>
    <w:rsid w:val="364FE3AF"/>
    <w:rsid w:val="3759388D"/>
    <w:rsid w:val="38B4704A"/>
    <w:rsid w:val="39C379A1"/>
    <w:rsid w:val="3ABBAEF4"/>
    <w:rsid w:val="3C252143"/>
    <w:rsid w:val="3DEF5022"/>
    <w:rsid w:val="3E851418"/>
    <w:rsid w:val="3F4A53E8"/>
    <w:rsid w:val="3F5B328C"/>
    <w:rsid w:val="3FF842A1"/>
    <w:rsid w:val="41381318"/>
    <w:rsid w:val="41FE6D21"/>
    <w:rsid w:val="42702CC1"/>
    <w:rsid w:val="43362058"/>
    <w:rsid w:val="43D04DA7"/>
    <w:rsid w:val="461E1969"/>
    <w:rsid w:val="4C2644CE"/>
    <w:rsid w:val="4D3A6570"/>
    <w:rsid w:val="4DB64835"/>
    <w:rsid w:val="4F3D0BF3"/>
    <w:rsid w:val="4F4E2246"/>
    <w:rsid w:val="4FD25DB7"/>
    <w:rsid w:val="523C0F28"/>
    <w:rsid w:val="527D15F1"/>
    <w:rsid w:val="569D22AC"/>
    <w:rsid w:val="581476CA"/>
    <w:rsid w:val="5840344B"/>
    <w:rsid w:val="59777658"/>
    <w:rsid w:val="599D5D58"/>
    <w:rsid w:val="59E2463A"/>
    <w:rsid w:val="59ED3BE0"/>
    <w:rsid w:val="5A0E3E79"/>
    <w:rsid w:val="5B573B14"/>
    <w:rsid w:val="5BE41D9D"/>
    <w:rsid w:val="5C204799"/>
    <w:rsid w:val="5C9FE57F"/>
    <w:rsid w:val="5FEE6392"/>
    <w:rsid w:val="6150379D"/>
    <w:rsid w:val="616F9402"/>
    <w:rsid w:val="64B476A7"/>
    <w:rsid w:val="64DE2D33"/>
    <w:rsid w:val="64E62E56"/>
    <w:rsid w:val="64F415C1"/>
    <w:rsid w:val="660AAF9F"/>
    <w:rsid w:val="69305127"/>
    <w:rsid w:val="69793314"/>
    <w:rsid w:val="6BD7D1F2"/>
    <w:rsid w:val="6CDE4B4D"/>
    <w:rsid w:val="6D2B32B1"/>
    <w:rsid w:val="6D9365FB"/>
    <w:rsid w:val="6FB9E0C8"/>
    <w:rsid w:val="73985F30"/>
    <w:rsid w:val="73FD023A"/>
    <w:rsid w:val="74EF270F"/>
    <w:rsid w:val="74EF9683"/>
    <w:rsid w:val="7649B9F0"/>
    <w:rsid w:val="7671598B"/>
    <w:rsid w:val="767B6550"/>
    <w:rsid w:val="77FBA31D"/>
    <w:rsid w:val="784C3977"/>
    <w:rsid w:val="7910220A"/>
    <w:rsid w:val="793F2249"/>
    <w:rsid w:val="794AF40C"/>
    <w:rsid w:val="797D185C"/>
    <w:rsid w:val="7C4F4919"/>
    <w:rsid w:val="7C80044E"/>
    <w:rsid w:val="7CFF857F"/>
    <w:rsid w:val="7CFFC453"/>
    <w:rsid w:val="7D50756F"/>
    <w:rsid w:val="7DBD32A6"/>
    <w:rsid w:val="7DEB0D63"/>
    <w:rsid w:val="7DEF1348"/>
    <w:rsid w:val="7E3D6978"/>
    <w:rsid w:val="7E492A6D"/>
    <w:rsid w:val="7ED4682F"/>
    <w:rsid w:val="7FCF2977"/>
    <w:rsid w:val="7FFF157E"/>
    <w:rsid w:val="B4FECC0D"/>
    <w:rsid w:val="BFE5DD76"/>
    <w:rsid w:val="CF59A6A9"/>
    <w:rsid w:val="CF7710B8"/>
    <w:rsid w:val="DCFEEAC6"/>
    <w:rsid w:val="DE3F3703"/>
    <w:rsid w:val="ECF7FA64"/>
    <w:rsid w:val="F257273E"/>
    <w:rsid w:val="F6D1BA67"/>
    <w:rsid w:val="F78BDA54"/>
    <w:rsid w:val="F9FF4994"/>
    <w:rsid w:val="FB7FA667"/>
    <w:rsid w:val="FBFF5372"/>
    <w:rsid w:val="FDFF7965"/>
    <w:rsid w:val="FEF728C0"/>
    <w:rsid w:val="FF3E575D"/>
    <w:rsid w:val="FFE52A5F"/>
    <w:rsid w:val="FFEBEF17"/>
    <w:rsid w:val="FFEE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1"/>
    <w:qFormat/>
    <w:uiPriority w:val="1"/>
  </w:style>
  <w:style w:type="paragraph" w:customStyle="1" w:styleId="11">
    <w:name w:val="Table Paragraph"/>
    <w:basedOn w:val="1"/>
    <w:qFormat/>
    <w:uiPriority w:val="1"/>
    <w:pPr>
      <w:spacing w:before="116"/>
      <w:ind w:left="381"/>
      <w:jc w:val="center"/>
    </w:pPr>
  </w:style>
  <w:style w:type="paragraph" w:customStyle="1" w:styleId="12">
    <w:name w:val="普通(网站)1"/>
    <w:basedOn w:val="1"/>
    <w:qFormat/>
    <w:uiPriority w:val="0"/>
    <w:pPr>
      <w:widowControl/>
    </w:pPr>
    <w:rPr>
      <w:rFonts w:ascii="宋体" w:hAnsi="宋体" w:cs="宋体"/>
      <w:sz w:val="24"/>
    </w:rPr>
  </w:style>
  <w:style w:type="paragraph" w:customStyle="1" w:styleId="13">
    <w:name w:val="列出段落2"/>
    <w:basedOn w:val="1"/>
    <w:qFormat/>
    <w:uiPriority w:val="99"/>
    <w:pPr>
      <w:ind w:firstLine="42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1757</Words>
  <Characters>3555</Characters>
  <Lines>30</Lines>
  <Paragraphs>8</Paragraphs>
  <TotalTime>0</TotalTime>
  <ScaleCrop>false</ScaleCrop>
  <LinksUpToDate>false</LinksUpToDate>
  <CharactersWithSpaces>3915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2018-12-20T21:09:00Z</dcterms:created>
  <dc:creator>Administrator</dc:creator>
  <cp:lastModifiedBy>hello YY</cp:lastModifiedBy>
  <dcterms:modified xsi:type="dcterms:W3CDTF">2023-01-28T01:37:16Z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2018-12-21T00:00:00Z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40E5F3CF61A143C8A0F9C677D4D052FE</vt:lpwstr>
  </property>
</Properties>
</file>