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"/>
        <w:rPr>
          <w:rFonts w:ascii="Times New Roman"/>
          <w:b w:val="0"/>
          <w:sz w:val="21"/>
        </w:rPr>
        <w:sectPr>
          <w:headerReference r:id="rId3" w:type="default"/>
          <w:type w:val="continuous"/>
          <w:pgSz w:w="11910" w:h="16840"/>
          <w:pgMar w:top="300" w:right="1320" w:bottom="280" w:left="12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ge">
                  <wp:posOffset>7623810</wp:posOffset>
                </wp:positionV>
                <wp:extent cx="953770" cy="273050"/>
                <wp:effectExtent l="4445" t="4445" r="13335" b="8255"/>
                <wp:wrapSquare wrapText="bothSides"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2730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{{</w:t>
                            </w: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zk_id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}}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2.1pt;margin-top:600.3pt;height:21.5pt;width:75.1pt;mso-position-vertical-relative:page;mso-wrap-distance-bottom:3.6pt;mso-wrap-distance-left:9pt;mso-wrap-distance-right:9pt;mso-wrap-distance-top:3.6pt;z-index:251664384;mso-width-relative:page;mso-height-relative:page;" filled="f" stroked="t" coordsize="21600,21600" o:gfxdata="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wk/pbZAAAADQEA&#10;AA8AAAAAAAAAAQAgAAAAIgAAAGRycy9kb3ducmV2LnhtbFBLAQIUABQAAAAIAIdO4kD46mmIGQIA&#10;ADUEAAAOAAAAAAAAAAEAIAAAACgBAABkcnMvZTJvRG9jLnhtbFBLBQYAAAAABgAGAFkBAACzBQAA&#10;AAA=&#10;">
                <v:fill on="f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{{</w:t>
                      </w:r>
                      <w:r>
                        <w:rPr>
                          <w:rFonts w:hint="eastAsia"/>
                          <w:sz w:val="22"/>
                          <w:lang w:eastAsia="zh-CN"/>
                        </w:rPr>
                        <w:t>zk_id</w:t>
                      </w:r>
                      <w:r>
                        <w:rPr>
                          <w:rFonts w:hint="eastAsia"/>
                          <w:sz w:val="22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6325235</wp:posOffset>
                </wp:positionV>
                <wp:extent cx="2142490" cy="375285"/>
                <wp:effectExtent l="0" t="0" r="0" b="0"/>
                <wp:wrapSquare wrapText="bothSides"/>
                <wp:docPr id="28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2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{{</w:t>
                            </w: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zk_name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}}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4" o:spid="_x0000_s1026" o:spt="202" type="#_x0000_t202" style="position:absolute;left:0pt;margin-left:214.35pt;margin-top:498.05pt;height:29.55pt;width:168.7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1HcBNtgAAAAMAQAADwAAAAAAAAABACAAAAAiAAAAZHJzL2Rvd25yZXYueG1sUEsB&#10;AhQAFAAAAAgAh07iQBhQMOy8AQAAa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2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{{</w:t>
                      </w:r>
                      <w:r>
                        <w:rPr>
                          <w:rFonts w:hint="eastAsia"/>
                          <w:sz w:val="22"/>
                          <w:lang w:eastAsia="zh-CN"/>
                        </w:rPr>
                        <w:t>zk_name</w:t>
                      </w:r>
                      <w:r>
                        <w:rPr>
                          <w:rFonts w:hint="eastAsia"/>
                          <w:sz w:val="22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-963930</wp:posOffset>
            </wp:positionV>
            <wp:extent cx="7538085" cy="10662285"/>
            <wp:effectExtent l="0" t="0" r="5715" b="5715"/>
            <wp:wrapTight wrapText="bothSides">
              <wp:wrapPolygon>
                <wp:start x="0" y="0"/>
                <wp:lineTo x="0" y="21573"/>
                <wp:lineTo x="21562" y="21573"/>
                <wp:lineTo x="21562" y="0"/>
                <wp:lineTo x="0" y="0"/>
              </wp:wrapPolygon>
            </wp:wrapTight>
            <wp:docPr id="9" name="图片 9" descr="C:\Users\Administrator\Desktop\糖尿病图片_20191223150435.jpg糖尿病图片_20191223150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糖尿病图片_20191223150435.jpg糖尿病图片_2019122315043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66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" w:after="1"/>
        <w:jc w:val="center"/>
        <w:rPr>
          <w:rFonts w:hint="eastAsia"/>
          <w:b/>
          <w:sz w:val="28"/>
          <w:szCs w:val="28"/>
          <w:lang w:val="en-US" w:eastAsia="zh-Hans"/>
        </w:rPr>
      </w:pPr>
    </w:p>
    <w:p>
      <w:pPr>
        <w:spacing w:before="16" w:after="1"/>
        <w:jc w:val="center"/>
        <w:rPr>
          <w:b/>
          <w:sz w:val="32"/>
          <w:szCs w:val="32"/>
          <w:lang w:val="en-US"/>
        </w:rPr>
      </w:pPr>
      <w:r>
        <w:rPr>
          <w:rFonts w:hint="eastAsia"/>
          <w:b/>
          <w:sz w:val="28"/>
          <w:szCs w:val="28"/>
          <w:lang w:val="en-US" w:eastAsia="zh-Hans"/>
        </w:rPr>
        <w:t>基本</w:t>
      </w:r>
      <w:r>
        <w:rPr>
          <w:rFonts w:hint="eastAsia"/>
          <w:b/>
          <w:sz w:val="28"/>
          <w:szCs w:val="28"/>
          <w:lang w:val="en-US"/>
        </w:rPr>
        <w:t>信息</w:t>
      </w:r>
    </w:p>
    <w:p>
      <w:pPr>
        <w:spacing w:before="16" w:after="1"/>
        <w:rPr>
          <w:b/>
          <w:sz w:val="13"/>
          <w:szCs w:val="13"/>
          <w:lang w:val="en-US"/>
        </w:rPr>
      </w:pPr>
    </w:p>
    <w:tbl>
      <w:tblPr>
        <w:tblStyle w:val="6"/>
        <w:tblW w:w="950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11"/>
        <w:gridCol w:w="2739"/>
        <w:gridCol w:w="3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511" w:type="dxa"/>
            <w:tcBorders>
              <w:top w:val="single" w:color="B2A1C7" w:themeColor="accent4" w:themeTint="99" w:sz="18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ind w:left="0"/>
              <w:jc w:val="both"/>
            </w:pPr>
            <w:r>
              <w:t>姓名：</w:t>
            </w:r>
            <w:r>
              <w:rPr>
                <w:rFonts w:hint="eastAsia"/>
                <w:sz w:val="22"/>
              </w:rPr>
              <w:t>{{</w:t>
            </w:r>
            <w:r>
              <w:rPr>
                <w:rFonts w:hint="eastAsia"/>
                <w:sz w:val="22"/>
                <w:lang w:eastAsia="zh-CN"/>
              </w:rPr>
              <w:t>zk_name</w:t>
            </w:r>
            <w:r>
              <w:rPr>
                <w:rFonts w:hint="eastAsia"/>
                <w:sz w:val="22"/>
              </w:rPr>
              <w:t>}}</w:t>
            </w:r>
          </w:p>
        </w:tc>
        <w:tc>
          <w:tcPr>
            <w:tcW w:w="2739" w:type="dxa"/>
            <w:tcBorders>
              <w:top w:val="single" w:color="B2A1C7" w:themeColor="accent4" w:themeTint="99" w:sz="18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ind w:left="0" w:leftChars="0" w:right="1030" w:firstLine="0" w:firstLineChars="0"/>
              <w:jc w:val="both"/>
              <w:rPr>
                <w:rFonts w:hint="default" w:eastAsia="微软雅黑"/>
                <w:lang w:val="en-US" w:eastAsia="zh-CN"/>
              </w:rPr>
            </w:pPr>
            <w:r>
              <w:t>性别：</w:t>
            </w:r>
            <w:r>
              <w:rPr>
                <w:rFonts w:hint="eastAsia"/>
                <w:lang w:val="en-US" w:eastAsia="zh-CN"/>
              </w:rPr>
              <w:t>{{gender}}</w:t>
            </w:r>
          </w:p>
        </w:tc>
        <w:tc>
          <w:tcPr>
            <w:tcW w:w="3254" w:type="dxa"/>
            <w:tcBorders>
              <w:top w:val="single" w:color="B2A1C7" w:themeColor="accent4" w:themeTint="99" w:sz="18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ind w:left="0" w:leftChars="0" w:firstLine="0" w:firstLineChars="0"/>
              <w:jc w:val="both"/>
              <w:rPr>
                <w:rFonts w:hint="default" w:eastAsia="微软雅黑"/>
                <w:lang w:val="en-US" w:eastAsia="zh-CN"/>
              </w:rPr>
            </w:pPr>
            <w:r>
              <w:t>年龄：</w:t>
            </w:r>
            <w:r>
              <w:rPr>
                <w:rFonts w:hint="eastAsia"/>
                <w:lang w:val="en-US" w:eastAsia="zh-CN"/>
              </w:rPr>
              <w:t>{{age}}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sz w:val="22"/>
                <w:szCs w:val="22"/>
                <w:lang w:val="zh-CN" w:eastAsia="zh-CN" w:bidi="zh-CN"/>
              </w:rPr>
              <w:t>样本编号：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zh-CN" w:eastAsia="zh-CN" w:bidi="zh-CN"/>
              </w:rPr>
              <w:t>{{</w:t>
            </w:r>
            <w:bookmarkStart w:id="4" w:name="_GoBack"/>
            <w:bookmarkEnd w:id="4"/>
            <w:r>
              <w:rPr>
                <w:rFonts w:hint="eastAsia" w:cs="微软雅黑"/>
                <w:sz w:val="22"/>
                <w:szCs w:val="22"/>
                <w:lang w:val="zh-CN" w:eastAsia="zh-CN" w:bidi="zh-CN"/>
              </w:rPr>
              <w:t>zk_id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zh-CN" w:eastAsia="zh-CN" w:bidi="zh-CN"/>
              </w:rPr>
              <w:t>}}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0"/>
              <w:ind w:left="0" w:leftChars="0" w:firstLine="0" w:firstLineChars="0"/>
              <w:jc w:val="both"/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样本类型</w:t>
            </w:r>
            <w:r>
              <w:t>：</w:t>
            </w:r>
            <w:r>
              <w:rPr>
                <w:rFonts w:hint="eastAsia"/>
              </w:rPr>
              <w:t>{{sample</w:t>
            </w:r>
            <w:r>
              <w:rPr>
                <w:rFonts w:hint="eastAsia"/>
                <w:lang w:val="en-US" w:eastAsia="zh-CN"/>
              </w:rPr>
              <w:t>_type</w:t>
            </w:r>
            <w:r>
              <w:rPr>
                <w:rFonts w:hint="eastAsia"/>
              </w:rPr>
              <w:t>}}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85"/>
              <w:ind w:left="0" w:leftChars="0" w:firstLine="0" w:firstLineChars="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临床诊断</w:t>
            </w:r>
            <w:r>
              <w:t>：</w:t>
            </w:r>
            <w:r>
              <w:rPr>
                <w:rFonts w:hint="eastAsia"/>
                <w:lang w:val="en-US" w:eastAsia="zh-CN"/>
              </w:rPr>
              <w:t>{{clinical_diagnosis}}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85"/>
              <w:ind w:left="0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送检单位：</w:t>
            </w:r>
            <w:r>
              <w:rPr>
                <w:rFonts w:hint="eastAsia"/>
                <w:sz w:val="22"/>
              </w:rPr>
              <w:t>{{hospital}}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0"/>
              <w:ind w:left="0" w:leftChars="0" w:firstLine="0" w:firstLineChars="0"/>
              <w:jc w:val="both"/>
              <w:rPr>
                <w:rFonts w:hint="eastAsia" w:ascii="Times New Roman" w:eastAsia="微软雅黑"/>
                <w:lang w:val="en-US" w:eastAsia="zh-CN"/>
              </w:rPr>
            </w:pPr>
            <w:r>
              <w:t>送检日期：</w:t>
            </w:r>
            <w:r>
              <w:rPr>
                <w:rFonts w:hint="eastAsia"/>
                <w:sz w:val="22"/>
                <w:lang w:val="en-US" w:eastAsia="zh-CN"/>
              </w:rPr>
              <w:t>/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85"/>
              <w:ind w:left="0" w:leftChars="0" w:firstLine="0" w:firstLineChars="0"/>
              <w:jc w:val="both"/>
              <w:rPr>
                <w:rFonts w:hint="eastAsia" w:eastAsia="微软雅黑"/>
                <w:lang w:val="en-US" w:eastAsia="zh-CN"/>
              </w:rPr>
            </w:pPr>
            <w:r>
              <w:t>报告日期：</w:t>
            </w:r>
            <w:r>
              <w:rPr>
                <w:rFonts w:hint="eastAsia"/>
                <w:sz w:val="22"/>
              </w:rPr>
              <w:t>{{zk_report_time}}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511" w:type="dxa"/>
            <w:tcBorders>
              <w:top w:val="nil"/>
              <w:left w:val="nil"/>
              <w:bottom w:val="single" w:color="B2A1C7" w:themeColor="accent4" w:themeTint="99" w:sz="18" w:space="0"/>
              <w:right w:val="nil"/>
            </w:tcBorders>
            <w:vAlign w:val="center"/>
          </w:tcPr>
          <w:p>
            <w:pPr>
              <w:pStyle w:val="11"/>
              <w:spacing w:before="90"/>
              <w:ind w:left="0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检测项目：</w:t>
            </w:r>
            <w:r>
              <w:rPr>
                <w:rFonts w:hint="eastAsia"/>
                <w:sz w:val="20"/>
                <w:szCs w:val="20"/>
                <w:lang w:eastAsia="zh-CN"/>
              </w:rPr>
              <w:t>糖尿病用药六项用药指导</w:t>
            </w:r>
          </w:p>
        </w:tc>
        <w:tc>
          <w:tcPr>
            <w:tcW w:w="2739" w:type="dxa"/>
            <w:tcBorders>
              <w:top w:val="nil"/>
              <w:left w:val="nil"/>
              <w:bottom w:val="single" w:color="B2A1C7" w:themeColor="accent4" w:themeTint="99" w:sz="18" w:space="0"/>
              <w:right w:val="nil"/>
            </w:tcBorders>
            <w:vAlign w:val="center"/>
          </w:tcPr>
          <w:p>
            <w:pPr>
              <w:pStyle w:val="11"/>
              <w:spacing w:before="90"/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Hans"/>
              </w:rPr>
              <w:t>检测方法</w:t>
            </w:r>
            <w:r>
              <w:t>：</w:t>
            </w:r>
            <w:r>
              <w:rPr>
                <w:rFonts w:ascii="Times New Roman" w:hAnsi="Times New Roman" w:eastAsia="微软雅黑"/>
                <w:sz w:val="22"/>
                <w:szCs w:val="22"/>
              </w:rPr>
              <w:t>Sanger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测序</w:t>
            </w:r>
          </w:p>
        </w:tc>
        <w:tc>
          <w:tcPr>
            <w:tcW w:w="3254" w:type="dxa"/>
            <w:tcBorders>
              <w:top w:val="nil"/>
              <w:left w:val="nil"/>
              <w:bottom w:val="single" w:color="B2A1C7" w:themeColor="accent4" w:themeTint="99" w:sz="18" w:space="0"/>
              <w:right w:val="nil"/>
            </w:tcBorders>
            <w:vAlign w:val="center"/>
          </w:tcPr>
          <w:p>
            <w:pPr>
              <w:pStyle w:val="11"/>
              <w:spacing w:before="90"/>
              <w:ind w:left="0"/>
              <w:jc w:val="center"/>
              <w:rPr>
                <w:sz w:val="21"/>
              </w:rPr>
            </w:pPr>
          </w:p>
        </w:tc>
      </w:tr>
    </w:tbl>
    <w:p>
      <w:pPr>
        <w:spacing w:before="18"/>
        <w:rPr>
          <w:b/>
          <w:sz w:val="13"/>
          <w:szCs w:val="13"/>
        </w:rPr>
      </w:pPr>
    </w:p>
    <w:p>
      <w:pPr>
        <w:pStyle w:val="2"/>
        <w:spacing w:before="43"/>
        <w:ind w:right="17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基因检测结果</w:t>
      </w:r>
    </w:p>
    <w:p>
      <w:pPr>
        <w:pStyle w:val="2"/>
        <w:spacing w:before="43"/>
        <w:ind w:right="1730"/>
        <w:jc w:val="center"/>
        <w:rPr>
          <w:sz w:val="13"/>
          <w:szCs w:val="13"/>
        </w:rPr>
      </w:pPr>
    </w:p>
    <w:tbl>
      <w:tblPr>
        <w:tblStyle w:val="6"/>
        <w:tblW w:w="9512" w:type="dxa"/>
        <w:tblInd w:w="0" w:type="dxa"/>
        <w:tblBorders>
          <w:top w:val="single" w:color="A8D08D" w:sz="4" w:space="0"/>
          <w:left w:val="single" w:color="A8D08D" w:sz="4" w:space="0"/>
          <w:bottom w:val="single" w:color="A8D08D" w:sz="4" w:space="0"/>
          <w:right w:val="single" w:color="A8D08D" w:sz="4" w:space="0"/>
          <w:insideH w:val="single" w:color="A8D08D" w:sz="4" w:space="0"/>
          <w:insideV w:val="single" w:color="A8D08D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5"/>
        <w:gridCol w:w="1878"/>
        <w:gridCol w:w="1984"/>
        <w:gridCol w:w="1843"/>
        <w:gridCol w:w="1852"/>
      </w:tblGrid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955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shd w:val="clear" w:color="auto" w:fill="B2A1C7" w:themeFill="accent4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药物</w:t>
            </w:r>
          </w:p>
        </w:tc>
        <w:tc>
          <w:tcPr>
            <w:tcW w:w="1878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shd w:val="clear" w:color="auto" w:fill="B2A1C7" w:themeFill="accent4" w:themeFillTint="99"/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基因名称</w:t>
            </w:r>
          </w:p>
        </w:tc>
        <w:tc>
          <w:tcPr>
            <w:tcW w:w="1984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shd w:val="clear" w:color="auto" w:fill="B2A1C7" w:themeFill="accent4" w:themeFillTint="99"/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检测位点</w:t>
            </w:r>
          </w:p>
        </w:tc>
        <w:tc>
          <w:tcPr>
            <w:tcW w:w="1843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shd w:val="clear" w:color="auto" w:fill="B2A1C7" w:themeFill="accent4" w:themeFillTint="99"/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检测结果</w:t>
            </w:r>
          </w:p>
        </w:tc>
        <w:tc>
          <w:tcPr>
            <w:tcW w:w="1852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shd w:val="clear" w:color="auto" w:fill="B2A1C7" w:themeFill="accent4" w:themeFillTint="99"/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lang w:val="en-US" w:eastAsia="zh-Han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用药提示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955" w:type="dxa"/>
            <w:vMerge w:val="restart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磺脲类</w:t>
            </w:r>
          </w:p>
        </w:tc>
        <w:tc>
          <w:tcPr>
            <w:tcW w:w="1878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CYP2C9</w:t>
            </w:r>
          </w:p>
        </w:tc>
        <w:tc>
          <w:tcPr>
            <w:tcW w:w="1984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楷体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c.1075A&gt;C</w:t>
            </w:r>
          </w:p>
        </w:tc>
        <w:tc>
          <w:tcPr>
            <w:tcW w:w="1843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楷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楷体" w:cs="Times New Roman"/>
                <w:color w:val="auto"/>
                <w:lang w:val="en-US" w:eastAsia="zh-CN"/>
              </w:rPr>
              <w:t>{{CYP2C9}}</w:t>
            </w:r>
          </w:p>
        </w:tc>
        <w:tc>
          <w:tcPr>
            <w:tcW w:w="1852" w:type="dxa"/>
            <w:vMerge w:val="restart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微软雅黑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2"/>
                <w:lang w:val="en-US" w:eastAsia="zh-CN"/>
              </w:rPr>
              <w:t>{{tip_1}}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955" w:type="dxa"/>
            <w:vMerge w:val="continue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78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ABCC8</w:t>
            </w:r>
          </w:p>
        </w:tc>
        <w:tc>
          <w:tcPr>
            <w:tcW w:w="1984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楷体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c.4105G&gt;T </w:t>
            </w:r>
          </w:p>
        </w:tc>
        <w:tc>
          <w:tcPr>
            <w:tcW w:w="1843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楷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eastAsia="楷体"/>
                <w:sz w:val="22"/>
                <w:lang w:val="en-US" w:eastAsia="zh-CN"/>
              </w:rPr>
              <w:t>{{ABCC8}}</w:t>
            </w:r>
          </w:p>
        </w:tc>
        <w:tc>
          <w:tcPr>
            <w:tcW w:w="1852" w:type="dxa"/>
            <w:vMerge w:val="continue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955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jc w:val="center"/>
              <w:rPr>
                <w:rFonts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Cs/>
                <w:color w:val="000000" w:themeColor="text1"/>
                <w:spacing w:val="-4"/>
                <w14:textFill>
                  <w14:solidFill>
                    <w14:schemeClr w14:val="tx1"/>
                  </w14:solidFill>
                </w14:textFill>
              </w:rPr>
              <w:t>双胍类</w:t>
            </w:r>
          </w:p>
        </w:tc>
        <w:tc>
          <w:tcPr>
            <w:tcW w:w="1878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SLC22A2 </w:t>
            </w:r>
          </w:p>
        </w:tc>
        <w:tc>
          <w:tcPr>
            <w:tcW w:w="1984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c.808T&gt;G</w:t>
            </w:r>
          </w:p>
        </w:tc>
        <w:tc>
          <w:tcPr>
            <w:tcW w:w="1843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eastAsia="微软雅黑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楷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{{SLC22A2}}</w:t>
            </w:r>
          </w:p>
        </w:tc>
        <w:tc>
          <w:tcPr>
            <w:tcW w:w="1852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微软雅黑" w:cs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2"/>
                <w:lang w:val="en-US" w:eastAsia="zh-CN"/>
              </w:rPr>
              <w:t>{{tip_2}}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955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jc w:val="center"/>
              <w:rPr>
                <w:rFonts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Cs/>
                <w:color w:val="000000" w:themeColor="text1"/>
                <w:spacing w:val="-4"/>
                <w14:textFill>
                  <w14:solidFill>
                    <w14:schemeClr w14:val="tx1"/>
                  </w14:solidFill>
                </w14:textFill>
              </w:rPr>
              <w:t>噻唑烷二酮类</w:t>
            </w:r>
          </w:p>
        </w:tc>
        <w:tc>
          <w:tcPr>
            <w:tcW w:w="1878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PPARG</w:t>
            </w:r>
          </w:p>
        </w:tc>
        <w:tc>
          <w:tcPr>
            <w:tcW w:w="1984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c.34C&gt;G</w:t>
            </w:r>
          </w:p>
        </w:tc>
        <w:tc>
          <w:tcPr>
            <w:tcW w:w="1843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楷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楷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{{PPARG}}</w:t>
            </w:r>
          </w:p>
        </w:tc>
        <w:tc>
          <w:tcPr>
            <w:tcW w:w="1852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微软雅黑" w:cs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2"/>
                <w:lang w:val="en-US" w:eastAsia="zh-CN"/>
              </w:rPr>
              <w:t>{{tip_3}}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955" w:type="dxa"/>
            <w:vMerge w:val="restart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jc w:val="center"/>
              <w:rPr>
                <w:rFonts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Cs/>
                <w:color w:val="000000" w:themeColor="text1"/>
                <w:spacing w:val="-4"/>
                <w14:textFill>
                  <w14:solidFill>
                    <w14:schemeClr w14:val="tx1"/>
                  </w14:solidFill>
                </w14:textFill>
              </w:rPr>
              <w:t>氯茴苯酸类</w:t>
            </w:r>
          </w:p>
        </w:tc>
        <w:tc>
          <w:tcPr>
            <w:tcW w:w="1878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微软雅黑" w:cs="Times New Roman"/>
                <w:color w:val="000000" w:themeColor="text1"/>
                <w:sz w:val="22"/>
                <w:szCs w:val="22"/>
                <w:lang w:val="zh-CN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CYP2C9</w:t>
            </w:r>
          </w:p>
        </w:tc>
        <w:tc>
          <w:tcPr>
            <w:tcW w:w="1984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微软雅黑" w:cs="Times New Roman"/>
                <w:color w:val="000000" w:themeColor="text1"/>
                <w:sz w:val="22"/>
                <w:szCs w:val="22"/>
                <w:lang w:val="zh-CN" w:eastAsia="zh-Hans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c.1075A&gt;C</w:t>
            </w:r>
          </w:p>
        </w:tc>
        <w:tc>
          <w:tcPr>
            <w:tcW w:w="1843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微软雅黑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楷体" w:cs="Times New Roman"/>
                <w:color w:val="auto"/>
                <w:lang w:val="en-US" w:eastAsia="zh-CN"/>
              </w:rPr>
              <w:t>{{CYP2C9}}</w:t>
            </w:r>
          </w:p>
        </w:tc>
        <w:tc>
          <w:tcPr>
            <w:tcW w:w="1852" w:type="dxa"/>
            <w:vMerge w:val="restart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2"/>
                <w:lang w:val="en-US" w:eastAsia="zh-CN"/>
              </w:rPr>
              <w:t>{{tip_4}}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955" w:type="dxa"/>
            <w:vMerge w:val="continue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jc w:val="center"/>
              <w:rPr>
                <w:rFonts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78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微软雅黑" w:cs="Times New Roman"/>
                <w:color w:val="000000" w:themeColor="text1"/>
                <w:sz w:val="22"/>
                <w:szCs w:val="22"/>
                <w:lang w:val="zh-CN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SLCO1B1</w:t>
            </w:r>
          </w:p>
        </w:tc>
        <w:tc>
          <w:tcPr>
            <w:tcW w:w="1984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微软雅黑" w:cs="Times New Roman"/>
                <w:color w:val="000000" w:themeColor="text1"/>
                <w:sz w:val="22"/>
                <w:szCs w:val="22"/>
                <w:lang w:val="zh-CN" w:eastAsia="zh-Hans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c.521T&gt;C</w:t>
            </w:r>
          </w:p>
        </w:tc>
        <w:tc>
          <w:tcPr>
            <w:tcW w:w="1843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楷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{{SLCO1B1}}</w:t>
            </w:r>
          </w:p>
        </w:tc>
        <w:tc>
          <w:tcPr>
            <w:tcW w:w="1852" w:type="dxa"/>
            <w:vMerge w:val="continue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pStyle w:val="11"/>
              <w:ind w:left="631" w:right="613"/>
              <w:rPr>
                <w:rFonts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955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jc w:val="center"/>
              <w:rPr>
                <w:rFonts w:cs="Times New Roman"/>
                <w:bCs/>
                <w:color w:val="000000" w:themeColor="text1"/>
                <w:spacing w:val="-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-4"/>
                <w14:textFill>
                  <w14:solidFill>
                    <w14:schemeClr w14:val="tx1"/>
                  </w14:solidFill>
                </w14:textFill>
              </w:rPr>
              <w:t>DPP-4</w:t>
            </w:r>
            <w:r>
              <w:rPr>
                <w:rFonts w:cs="Times New Roman"/>
                <w:bCs/>
                <w:color w:val="000000" w:themeColor="text1"/>
                <w:spacing w:val="-4"/>
                <w14:textFill>
                  <w14:solidFill>
                    <w14:schemeClr w14:val="tx1"/>
                  </w14:solidFill>
                </w14:textFill>
              </w:rPr>
              <w:t>抑制剂</w:t>
            </w:r>
          </w:p>
        </w:tc>
        <w:tc>
          <w:tcPr>
            <w:tcW w:w="1878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GLP1R</w:t>
            </w:r>
          </w:p>
        </w:tc>
        <w:tc>
          <w:tcPr>
            <w:tcW w:w="1984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eastAsia="楷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c.502G&gt;</w:t>
            </w:r>
            <w:r>
              <w:rPr>
                <w:rFonts w:hint="eastAsia" w:ascii="Times New Roman" w:hAnsi="Times New Roman" w:eastAsia="楷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843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楷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楷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{{GLP1R_rs6923761}}</w:t>
            </w:r>
          </w:p>
        </w:tc>
        <w:tc>
          <w:tcPr>
            <w:tcW w:w="1852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2"/>
                <w:lang w:val="en-US" w:eastAsia="zh-CN"/>
              </w:rPr>
              <w:t>{{tip_5}}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955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jc w:val="center"/>
              <w:rPr>
                <w:rFonts w:cs="隶书"/>
                <w:bCs/>
                <w:color w:val="FF0000"/>
                <w:spacing w:val="-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-4"/>
                <w14:textFill>
                  <w14:solidFill>
                    <w14:schemeClr w14:val="tx1"/>
                  </w14:solidFill>
                </w14:textFill>
              </w:rPr>
              <w:t>GLP-1</w:t>
            </w:r>
            <w:r>
              <w:rPr>
                <w:rFonts w:hint="eastAsia" w:cs="隶书"/>
                <w:bCs/>
                <w:color w:val="000000" w:themeColor="text1"/>
                <w:spacing w:val="-4"/>
                <w14:textFill>
                  <w14:solidFill>
                    <w14:schemeClr w14:val="tx1"/>
                  </w14:solidFill>
                </w14:textFill>
              </w:rPr>
              <w:t>受体激动剂</w:t>
            </w:r>
          </w:p>
        </w:tc>
        <w:tc>
          <w:tcPr>
            <w:tcW w:w="1878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GLP1R</w:t>
            </w:r>
          </w:p>
        </w:tc>
        <w:tc>
          <w:tcPr>
            <w:tcW w:w="1984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lang w:eastAsia="zh-Hans"/>
              </w:rPr>
            </w:pPr>
            <w:bookmarkStart w:id="0" w:name="OLE_LINK3"/>
            <w:r>
              <w:rPr>
                <w:rFonts w:hint="eastAsia" w:ascii="Times New Roman" w:hAnsi="Times New Roman" w:cs="Times New Roman"/>
                <w:lang w:eastAsia="zh-Hans"/>
              </w:rPr>
              <w:t>c.20C&gt;T</w:t>
            </w:r>
            <w:bookmarkEnd w:id="0"/>
          </w:p>
        </w:tc>
        <w:tc>
          <w:tcPr>
            <w:tcW w:w="1843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楷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color w:val="auto"/>
                <w:sz w:val="24"/>
                <w:lang w:val="en-US" w:eastAsia="zh-CN"/>
              </w:rPr>
              <w:t>{{GLP1R_rs10305420}}</w:t>
            </w:r>
          </w:p>
        </w:tc>
        <w:tc>
          <w:tcPr>
            <w:tcW w:w="1852" w:type="dxa"/>
            <w:tcBorders>
              <w:top w:val="single" w:color="CCC0D9" w:themeColor="accent4" w:themeTint="66" w:sz="8" w:space="0"/>
              <w:left w:val="single" w:color="CCC0D9" w:themeColor="accent4" w:themeTint="66" w:sz="8" w:space="0"/>
              <w:bottom w:val="single" w:color="CCC0D9" w:themeColor="accent4" w:themeTint="66" w:sz="8" w:space="0"/>
              <w:right w:val="single" w:color="CCC0D9" w:themeColor="accent4" w:themeTint="66" w:sz="8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楷体"/>
                <w:sz w:val="24"/>
              </w:rPr>
            </w:pPr>
            <w:r>
              <w:rPr>
                <w:rFonts w:hint="eastAsia"/>
                <w:sz w:val="22"/>
                <w:lang w:val="en-US" w:eastAsia="zh-CN"/>
              </w:rPr>
              <w:t>{{tip_6}}</w:t>
            </w:r>
          </w:p>
        </w:tc>
      </w:tr>
    </w:tbl>
    <w:p>
      <w:pPr>
        <w:spacing w:before="120" w:beforeLines="50"/>
        <w:jc w:val="both"/>
        <w:rPr>
          <w:sz w:val="20"/>
          <w:szCs w:val="20"/>
          <w:lang w:val="en-US" w:eastAsia="zh-Hans"/>
        </w:rPr>
      </w:pPr>
      <w:r>
        <w:rPr>
          <w:rFonts w:hint="eastAsia"/>
          <w:sz w:val="20"/>
          <w:szCs w:val="20"/>
          <w:lang w:val="en-US" w:eastAsia="zh-Hans"/>
        </w:rPr>
        <w:t>注：</w:t>
      </w:r>
      <w:r>
        <w:rPr>
          <w:sz w:val="20"/>
          <w:szCs w:val="20"/>
          <w:lang w:val="en-US" w:eastAsia="zh-Hans"/>
        </w:rPr>
        <w:t xml:space="preserve">  </w:t>
      </w:r>
      <w:bookmarkStart w:id="1" w:name="OLE_LINK5"/>
      <w:r>
        <w:rPr>
          <w:sz w:val="20"/>
          <w:szCs w:val="20"/>
          <w:lang w:val="en-US" w:eastAsia="zh-Hans"/>
        </w:rPr>
        <w:t>↑</w:t>
      </w:r>
      <w:bookmarkEnd w:id="1"/>
      <w:r>
        <w:rPr>
          <w:sz w:val="20"/>
          <w:szCs w:val="20"/>
          <w:lang w:val="en-US" w:eastAsia="zh-Hans"/>
        </w:rPr>
        <w:t xml:space="preserve"> ：建议增加剂量                ↓ ：建议减少剂量</w:t>
      </w:r>
    </w:p>
    <w:p>
      <w:pPr>
        <w:spacing w:before="120" w:beforeLines="50"/>
        <w:jc w:val="both"/>
        <w:rPr>
          <w:rFonts w:ascii="微软雅黑 Light" w:hAnsi="微软雅黑 Light" w:eastAsia="微软雅黑 Light"/>
          <w:b/>
          <w:bCs/>
          <w:sz w:val="18"/>
          <w:szCs w:val="18"/>
          <w:lang w:val="en-US" w:eastAsia="zh-Hans"/>
        </w:rPr>
      </w:pPr>
    </w:p>
    <w:p>
      <w:pPr>
        <w:spacing w:line="360" w:lineRule="auto"/>
        <w:jc w:val="both"/>
        <w:rPr>
          <w:b/>
          <w:bCs/>
          <w:sz w:val="13"/>
          <w:szCs w:val="13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说明</w:t>
      </w:r>
      <w:r>
        <w:rPr>
          <w:b/>
          <w:bCs/>
          <w:lang w:eastAsia="zh-Hans"/>
        </w:rPr>
        <w:t>：</w:t>
      </w:r>
    </w:p>
    <w:p>
      <w:pPr>
        <w:ind w:left="420" w:leftChars="100" w:hanging="200" w:hangingChars="100"/>
        <w:rPr>
          <w:rFonts w:cs="新宋体"/>
          <w:sz w:val="20"/>
          <w:szCs w:val="20"/>
        </w:rPr>
      </w:pPr>
      <w:r>
        <w:rPr>
          <w:rFonts w:hint="eastAsia" w:cs="新宋体"/>
          <w:sz w:val="20"/>
          <w:szCs w:val="20"/>
        </w:rPr>
        <w:t>* 本报告结果指导检测者糖尿病用药，仅供临床医师参考，不作为唯一用药依据。</w:t>
      </w:r>
    </w:p>
    <w:p>
      <w:pPr>
        <w:ind w:left="440" w:leftChars="100" w:hanging="220" w:hangingChars="100"/>
        <w:rPr>
          <w:rFonts w:cs="新宋体"/>
          <w:sz w:val="20"/>
          <w:szCs w:val="20"/>
        </w:rPr>
      </w:pPr>
      <w:r>
        <w:rPr>
          <w:rFonts w:hint="eastAsi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55880</wp:posOffset>
            </wp:positionV>
            <wp:extent cx="1545590" cy="687705"/>
            <wp:effectExtent l="0" t="0" r="16510" b="17145"/>
            <wp:wrapNone/>
            <wp:docPr id="5" name="图片 5" descr="新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新章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新宋体"/>
          <w:sz w:val="20"/>
          <w:szCs w:val="20"/>
        </w:rPr>
        <w:t>* 若因受检者不当使用本报告带来的心理、生理、经济等负担，本检验所不承担责任和风险。</w:t>
      </w:r>
    </w:p>
    <w:p>
      <w:pPr>
        <w:ind w:left="420" w:leftChars="100" w:hanging="200" w:hangingChars="100"/>
        <w:rPr>
          <w:sz w:val="20"/>
          <w:szCs w:val="20"/>
        </w:rPr>
      </w:pPr>
      <w:r>
        <w:rPr>
          <w:rFonts w:hint="eastAsia" w:cs="新宋体"/>
          <w:sz w:val="20"/>
          <w:szCs w:val="20"/>
        </w:rPr>
        <w:t>* 本报告只对本次所提供的基因样本负责，无检测人、审核人签字或盖章的报告无效。</w:t>
      </w:r>
    </w:p>
    <w:p>
      <w:pPr>
        <w:pStyle w:val="2"/>
        <w:spacing w:before="1"/>
        <w:ind w:right="1732" w:firstLine="3922" w:firstLineChars="1400"/>
        <w:rPr>
          <w:sz w:val="28"/>
          <w:szCs w:val="28"/>
          <w:lang w:val="en-US"/>
        </w:rPr>
      </w:pPr>
    </w:p>
    <w:p>
      <w:pPr>
        <w:pStyle w:val="2"/>
        <w:spacing w:before="1"/>
        <w:ind w:right="1732" w:firstLine="3082" w:firstLineChars="1400"/>
        <w:rPr>
          <w:sz w:val="28"/>
          <w:szCs w:val="28"/>
          <w:lang w:val="en-US"/>
        </w:rPr>
      </w:pPr>
      <w:r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5133340</wp:posOffset>
            </wp:positionH>
            <wp:positionV relativeFrom="paragraph">
              <wp:posOffset>149860</wp:posOffset>
            </wp:positionV>
            <wp:extent cx="562610" cy="385445"/>
            <wp:effectExtent l="0" t="0" r="8890" b="14605"/>
            <wp:wrapNone/>
            <wp:docPr id="12" name="图片 12" descr="E:\签名与章\f76efec2a5e0d544c241d751af99ced.pngf76efec2a5e0d544c241d751af99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:\签名与章\f76efec2a5e0d544c241d751af99ced.pngf76efec2a5e0d544c241d751af99ced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38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3074035</wp:posOffset>
            </wp:positionH>
            <wp:positionV relativeFrom="paragraph">
              <wp:posOffset>224790</wp:posOffset>
            </wp:positionV>
            <wp:extent cx="581660" cy="254000"/>
            <wp:effectExtent l="0" t="0" r="8890" b="12700"/>
            <wp:wrapNone/>
            <wp:docPr id="8" name="图片 8" descr="C:\Users\yoonw\Desktop\潘灿签名.jpg潘灿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yoonw\Desktop\潘灿签名.jpg潘灿签名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979805</wp:posOffset>
            </wp:positionH>
            <wp:positionV relativeFrom="paragraph">
              <wp:posOffset>254635</wp:posOffset>
            </wp:positionV>
            <wp:extent cx="888365" cy="241935"/>
            <wp:effectExtent l="0" t="0" r="6985" b="5715"/>
            <wp:wrapNone/>
            <wp:docPr id="2" name="图片 2" descr="E:\签名与章\微信图片_20220725092034.jpg微信图片_20220725092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签名与章\微信图片_20220725092034.jpg微信图片_2022072509203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24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6"/>
        <w:tblW w:w="11837" w:type="dxa"/>
        <w:tblInd w:w="6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3"/>
        <w:gridCol w:w="3217"/>
        <w:gridCol w:w="2179"/>
        <w:gridCol w:w="2179"/>
        <w:gridCol w:w="217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083" w:type="dxa"/>
          </w:tcPr>
          <w:p>
            <w:pPr>
              <w:pStyle w:val="11"/>
              <w:spacing w:before="0" w:line="243" w:lineRule="exact"/>
              <w:ind w:left="0"/>
              <w:jc w:val="left"/>
            </w:pPr>
            <w:r>
              <w:rPr>
                <w:rFonts w:hint="eastAsia"/>
                <w:lang w:val="en-US"/>
              </w:rPr>
              <w:t>检</w:t>
            </w:r>
            <w:r>
              <w:t>测人：</w:t>
            </w:r>
          </w:p>
        </w:tc>
        <w:tc>
          <w:tcPr>
            <w:tcW w:w="3217" w:type="dxa"/>
          </w:tcPr>
          <w:p>
            <w:pPr>
              <w:pStyle w:val="11"/>
              <w:spacing w:before="0" w:line="243" w:lineRule="exact"/>
              <w:ind w:left="1140" w:right="1160"/>
            </w:pPr>
            <w:r>
              <w:t>报告人：</w:t>
            </w:r>
          </w:p>
        </w:tc>
        <w:tc>
          <w:tcPr>
            <w:tcW w:w="2179" w:type="dxa"/>
          </w:tcPr>
          <w:p>
            <w:pPr>
              <w:pStyle w:val="11"/>
              <w:spacing w:before="0" w:line="243" w:lineRule="exact"/>
              <w:ind w:left="1181"/>
              <w:jc w:val="left"/>
            </w:pPr>
            <w:r>
              <w:t>审核人：</w:t>
            </w:r>
          </w:p>
        </w:tc>
        <w:tc>
          <w:tcPr>
            <w:tcW w:w="2179" w:type="dxa"/>
          </w:tcPr>
          <w:p>
            <w:pPr>
              <w:pStyle w:val="11"/>
              <w:spacing w:before="0" w:line="243" w:lineRule="exact"/>
              <w:ind w:left="1181"/>
              <w:jc w:val="left"/>
            </w:pPr>
          </w:p>
        </w:tc>
        <w:tc>
          <w:tcPr>
            <w:tcW w:w="2179" w:type="dxa"/>
          </w:tcPr>
          <w:p>
            <w:pPr>
              <w:pStyle w:val="11"/>
              <w:spacing w:before="0" w:line="243" w:lineRule="exact"/>
              <w:ind w:left="1181"/>
              <w:jc w:val="left"/>
            </w:pPr>
          </w:p>
        </w:tc>
      </w:tr>
    </w:tbl>
    <w:p>
      <w:pPr>
        <w:pStyle w:val="2"/>
        <w:spacing w:before="1"/>
        <w:ind w:right="1732"/>
        <w:jc w:val="both"/>
        <w:rPr>
          <w:sz w:val="28"/>
          <w:szCs w:val="28"/>
          <w:lang w:val="en-US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</w:t>
      </w:r>
    </w:p>
    <w:p>
      <w:pPr>
        <w:pStyle w:val="12"/>
        <w:snapToGrid w:val="0"/>
        <w:spacing w:line="360" w:lineRule="auto"/>
        <w:jc w:val="both"/>
        <w:rPr>
          <w:rFonts w:ascii="楷体" w:hAnsi="楷体" w:eastAsia="楷体" w:cs="楷体"/>
          <w:spacing w:val="-4"/>
          <w:kern w:val="2"/>
          <w:sz w:val="20"/>
          <w:szCs w:val="20"/>
        </w:rPr>
      </w:pPr>
    </w:p>
    <w:p>
      <w:pPr>
        <w:pStyle w:val="12"/>
        <w:snapToGrid w:val="0"/>
        <w:spacing w:line="360" w:lineRule="auto"/>
        <w:jc w:val="both"/>
        <w:rPr>
          <w:rFonts w:ascii="楷体" w:hAnsi="楷体" w:eastAsia="楷体" w:cs="楷体"/>
          <w:spacing w:val="-4"/>
          <w:kern w:val="2"/>
          <w:sz w:val="20"/>
          <w:szCs w:val="20"/>
        </w:rPr>
      </w:pPr>
    </w:p>
    <w:p>
      <w:pPr>
        <w:pStyle w:val="12"/>
        <w:snapToGrid w:val="0"/>
        <w:spacing w:line="360" w:lineRule="auto"/>
        <w:jc w:val="both"/>
        <w:rPr>
          <w:rFonts w:ascii="楷体" w:hAnsi="楷体" w:eastAsia="楷体" w:cs="楷体"/>
          <w:spacing w:val="-4"/>
          <w:kern w:val="2"/>
          <w:sz w:val="20"/>
          <w:szCs w:val="20"/>
        </w:rPr>
      </w:pPr>
    </w:p>
    <w:p>
      <w:pPr>
        <w:spacing w:after="120" w:afterLines="50"/>
        <w:jc w:val="center"/>
        <w:rPr>
          <w:bCs/>
          <w:spacing w:val="-4"/>
          <w:kern w:val="2"/>
          <w:sz w:val="28"/>
          <w:szCs w:val="18"/>
        </w:rPr>
      </w:pPr>
      <w:r>
        <w:rPr>
          <w:rFonts w:hint="eastAsia"/>
          <w:bCs/>
          <w:spacing w:val="-4"/>
          <w:kern w:val="2"/>
          <w:sz w:val="28"/>
          <w:szCs w:val="18"/>
        </w:rPr>
        <w:t>附录</w:t>
      </w:r>
      <w:r>
        <w:rPr>
          <w:rFonts w:ascii="Times New Roman" w:hAnsi="Times New Roman" w:cs="Times New Roman"/>
          <w:bCs/>
          <w:spacing w:val="-4"/>
          <w:kern w:val="2"/>
          <w:sz w:val="28"/>
          <w:szCs w:val="18"/>
        </w:rPr>
        <w:t>1</w:t>
      </w:r>
      <w:r>
        <w:rPr>
          <w:bCs/>
          <w:spacing w:val="-4"/>
          <w:kern w:val="2"/>
          <w:sz w:val="28"/>
          <w:szCs w:val="18"/>
        </w:rPr>
        <w:t xml:space="preserve">  </w:t>
      </w:r>
      <w:r>
        <w:rPr>
          <w:rFonts w:hint="eastAsia"/>
          <w:bCs/>
          <w:spacing w:val="-4"/>
          <w:kern w:val="2"/>
          <w:sz w:val="28"/>
          <w:szCs w:val="18"/>
        </w:rPr>
        <w:t>检测</w:t>
      </w:r>
      <w:r>
        <w:rPr>
          <w:bCs/>
          <w:spacing w:val="-4"/>
          <w:kern w:val="2"/>
          <w:sz w:val="28"/>
          <w:szCs w:val="18"/>
        </w:rPr>
        <w:t>结果</w:t>
      </w:r>
      <w:r>
        <w:rPr>
          <w:rFonts w:hint="eastAsia"/>
          <w:bCs/>
          <w:spacing w:val="-4"/>
          <w:kern w:val="2"/>
          <w:sz w:val="28"/>
          <w:szCs w:val="18"/>
        </w:rPr>
        <w:t>详解</w:t>
      </w:r>
    </w:p>
    <w:p>
      <w:pPr>
        <w:pStyle w:val="2"/>
        <w:spacing w:before="1"/>
        <w:ind w:right="1732" w:firstLine="130" w:firstLineChars="100"/>
        <w:jc w:val="center"/>
        <w:rPr>
          <w:sz w:val="13"/>
          <w:szCs w:val="13"/>
        </w:rPr>
      </w:pPr>
    </w:p>
    <w:p>
      <w:pPr>
        <w:pStyle w:val="12"/>
        <w:numPr>
          <w:ilvl w:val="0"/>
          <w:numId w:val="1"/>
        </w:numPr>
        <w:snapToGrid w:val="0"/>
        <w:spacing w:line="360" w:lineRule="auto"/>
        <w:ind w:left="216" w:hanging="212" w:hangingChars="100"/>
        <w:jc w:val="both"/>
        <w:rPr>
          <w:rFonts w:hint="default" w:ascii="Times New Roman" w:hAnsi="Times New Roman" w:eastAsia="微软雅黑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  <w:t xml:space="preserve"> {{text_1}}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left="212" w:hanging="212" w:hangingChars="100"/>
        <w:jc w:val="both"/>
        <w:textAlignment w:val="auto"/>
        <w:rPr>
          <w:rFonts w:hint="default" w:ascii="Times New Roman" w:hAnsi="Times New Roman" w:eastAsia="微软雅黑" w:cs="Times New Roman"/>
          <w:spacing w:val="-4"/>
          <w:kern w:val="2"/>
          <w:sz w:val="22"/>
        </w:rPr>
      </w:pPr>
      <w:r>
        <w:rPr>
          <w:rFonts w:hint="default" w:ascii="Times New Roman" w:hAnsi="Times New Roman" w:eastAsia="微软雅黑" w:cs="Times New Roman"/>
          <w:spacing w:val="-4"/>
          <w:kern w:val="2"/>
          <w:sz w:val="22"/>
        </w:rPr>
        <w:t>2.</w:t>
      </w:r>
      <w:r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  <w:t xml:space="preserve"> {{text_2}}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left="212" w:hanging="212" w:hangingChars="100"/>
        <w:jc w:val="both"/>
        <w:textAlignment w:val="auto"/>
        <w:rPr>
          <w:rFonts w:hint="default" w:ascii="Times New Roman" w:hAnsi="Times New Roman" w:eastAsia="微软雅黑" w:cs="Times New Roman"/>
          <w:spacing w:val="-4"/>
          <w:kern w:val="2"/>
          <w:sz w:val="22"/>
          <w:lang w:bidi="ar"/>
        </w:rPr>
      </w:pPr>
      <w:r>
        <w:rPr>
          <w:rFonts w:hint="default" w:ascii="Times New Roman" w:hAnsi="Times New Roman" w:eastAsia="微软雅黑" w:cs="Times New Roman"/>
          <w:spacing w:val="-4"/>
          <w:kern w:val="2"/>
          <w:sz w:val="22"/>
        </w:rPr>
        <w:t xml:space="preserve">3. </w:t>
      </w:r>
      <w:r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  <w:t>{{text_3}}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left="212" w:hanging="212" w:hangingChars="100"/>
        <w:jc w:val="both"/>
        <w:textAlignment w:val="auto"/>
        <w:rPr>
          <w:rFonts w:hint="default" w:ascii="Times New Roman" w:hAnsi="Times New Roman" w:eastAsia="微软雅黑" w:cs="Times New Roman"/>
          <w:spacing w:val="-4"/>
          <w:kern w:val="2"/>
          <w:sz w:val="22"/>
          <w:lang w:bidi="ar"/>
        </w:rPr>
      </w:pPr>
      <w:r>
        <w:rPr>
          <w:rFonts w:hint="default" w:ascii="Times New Roman" w:hAnsi="Times New Roman" w:eastAsia="微软雅黑" w:cs="Times New Roman"/>
          <w:bCs/>
          <w:spacing w:val="-4"/>
          <w:sz w:val="22"/>
        </w:rPr>
        <w:t>4.</w:t>
      </w:r>
      <w:r>
        <w:rPr>
          <w:rFonts w:hint="eastAsia" w:ascii="Times New Roman" w:hAnsi="Times New Roman" w:cs="Times New Roman"/>
          <w:bCs/>
          <w:color w:val="000000" w:themeColor="text1"/>
          <w:spacing w:val="-4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  <w:t>{{text_4}}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left="212" w:hanging="212" w:hangingChars="100"/>
        <w:jc w:val="both"/>
        <w:textAlignment w:val="auto"/>
        <w:rPr>
          <w:rFonts w:hint="default" w:ascii="Times New Roman" w:hAnsi="Times New Roman" w:eastAsia="微软雅黑" w:cs="Times New Roman"/>
          <w:spacing w:val="-4"/>
          <w:kern w:val="2"/>
          <w:sz w:val="22"/>
        </w:rPr>
      </w:pPr>
      <w:r>
        <w:rPr>
          <w:rFonts w:hint="default" w:ascii="Times New Roman" w:hAnsi="Times New Roman" w:eastAsia="微软雅黑" w:cs="Times New Roman"/>
          <w:spacing w:val="-4"/>
          <w:kern w:val="2"/>
          <w:sz w:val="22"/>
        </w:rPr>
        <w:t>5.</w:t>
      </w:r>
      <w:r>
        <w:rPr>
          <w:rFonts w:hint="default" w:ascii="Times New Roman" w:hAnsi="Times New Roman" w:eastAsia="微软雅黑" w:cs="Times New Roman"/>
          <w:bCs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  <w:t>{{text_5}}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left="212" w:hanging="212" w:hangingChars="100"/>
        <w:jc w:val="both"/>
        <w:textAlignment w:val="auto"/>
        <w:rPr>
          <w:rFonts w:hint="eastAsia" w:ascii="楷体" w:hAnsi="楷体" w:eastAsia="楷体" w:cs="楷体"/>
          <w:spacing w:val="-4"/>
          <w:kern w:val="2"/>
          <w:sz w:val="20"/>
          <w:szCs w:val="20"/>
        </w:rPr>
      </w:pPr>
      <w:r>
        <w:rPr>
          <w:rFonts w:hint="default" w:ascii="Times New Roman" w:hAnsi="Times New Roman" w:eastAsia="微软雅黑" w:cs="Times New Roman"/>
          <w:spacing w:val="-4"/>
          <w:kern w:val="2"/>
          <w:sz w:val="22"/>
        </w:rPr>
        <w:t>6.</w:t>
      </w:r>
      <w:r>
        <w:rPr>
          <w:rFonts w:hint="eastAsia" w:ascii="Times New Roman" w:hAnsi="Times New Roman" w:cs="Times New Roman"/>
          <w:bCs/>
          <w:color w:val="000000" w:themeColor="text1"/>
          <w:spacing w:val="-4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  <w:t>{{text_6}}</w:t>
      </w:r>
    </w:p>
    <w:p>
      <w:pPr>
        <w:jc w:val="center"/>
        <w:rPr>
          <w:bCs/>
          <w:spacing w:val="-4"/>
          <w:kern w:val="2"/>
          <w:sz w:val="28"/>
          <w:szCs w:val="28"/>
          <w:lang w:val="en-US"/>
        </w:rPr>
      </w:pPr>
      <w:r>
        <w:rPr>
          <w:rFonts w:hint="eastAsia"/>
          <w:bCs/>
          <w:spacing w:val="-4"/>
          <w:kern w:val="2"/>
          <w:sz w:val="28"/>
          <w:szCs w:val="28"/>
        </w:rPr>
        <w:t>附录</w:t>
      </w:r>
      <w:r>
        <w:rPr>
          <w:rFonts w:ascii="Times New Roman" w:hAnsi="Times New Roman" w:cs="Times New Roman"/>
          <w:bCs/>
          <w:spacing w:val="-4"/>
          <w:kern w:val="2"/>
          <w:sz w:val="28"/>
          <w:szCs w:val="28"/>
          <w:lang w:val="en-US"/>
        </w:rPr>
        <w:t>2</w:t>
      </w:r>
      <w:r>
        <w:rPr>
          <w:bCs/>
          <w:spacing w:val="-4"/>
          <w:kern w:val="2"/>
          <w:sz w:val="28"/>
          <w:szCs w:val="28"/>
          <w:lang w:val="en-US"/>
        </w:rPr>
        <w:t xml:space="preserve"> </w:t>
      </w:r>
      <w:r>
        <w:rPr>
          <w:rFonts w:hint="eastAsia"/>
          <w:bCs/>
          <w:spacing w:val="-4"/>
          <w:kern w:val="2"/>
          <w:sz w:val="28"/>
          <w:szCs w:val="28"/>
          <w:lang w:val="en-US"/>
        </w:rPr>
        <w:t>降糖药列表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425"/>
        <w:gridCol w:w="5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</w:tcPr>
          <w:p>
            <w:pPr>
              <w:jc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  <w:t>药物分类</w:t>
            </w:r>
          </w:p>
        </w:tc>
        <w:tc>
          <w:tcPr>
            <w:tcW w:w="1425" w:type="dxa"/>
          </w:tcPr>
          <w:p>
            <w:pPr>
              <w:jc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  <w:t>通用名</w:t>
            </w:r>
          </w:p>
        </w:tc>
        <w:tc>
          <w:tcPr>
            <w:tcW w:w="5316" w:type="dxa"/>
          </w:tcPr>
          <w:p>
            <w:pPr>
              <w:jc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磺脲类</w:t>
            </w: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 w:bidi="ar"/>
              </w:rPr>
              <w:t>甲苯磺丁脲</w:t>
            </w:r>
          </w:p>
        </w:tc>
        <w:tc>
          <w:tcPr>
            <w:tcW w:w="5316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鹏鹞、甲苯磺丁脲片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 w:bidi="ar"/>
              </w:rPr>
              <w:t>格列吡嗪</w:t>
            </w:r>
          </w:p>
        </w:tc>
        <w:tc>
          <w:tcPr>
            <w:tcW w:w="5316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美吡达、迪沙片、秦苏、优哒灵、安达、利糖妥、麦林格、灭糖尿、灭特尼、瑞易宁、唐贝克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 w:bidi="ar"/>
              </w:rPr>
              <w:t>格列美脲</w:t>
            </w:r>
          </w:p>
        </w:tc>
        <w:tc>
          <w:tcPr>
            <w:tcW w:w="5316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亚莫利、力贻苹、科德平、圣平、万苏平、迪北、伊瑞、佳和洛、安尼平、佑苏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 w:bidi="ar"/>
              </w:rPr>
              <w:t>格列喹酮</w:t>
            </w:r>
          </w:p>
        </w:tc>
        <w:tc>
          <w:tcPr>
            <w:tcW w:w="5316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糖适平、克罗龙、捷适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 w:bidi="ar"/>
              </w:rPr>
              <w:t>格列本脲</w:t>
            </w:r>
          </w:p>
        </w:tc>
        <w:tc>
          <w:tcPr>
            <w:tcW w:w="5316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优降糖、太平洋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8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 w:bidi="ar"/>
              </w:rPr>
              <w:t>氯磺苯脲</w:t>
            </w:r>
          </w:p>
        </w:tc>
        <w:tc>
          <w:tcPr>
            <w:tcW w:w="5316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氯磺丙脲片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 w:bidi="ar"/>
              </w:rPr>
              <w:t>格列齐特</w:t>
            </w:r>
          </w:p>
        </w:tc>
        <w:tc>
          <w:tcPr>
            <w:tcW w:w="5316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达美康、列克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 w:bidi="ar"/>
              </w:rPr>
              <w:t>格列波脲</w:t>
            </w:r>
          </w:p>
        </w:tc>
        <w:tc>
          <w:tcPr>
            <w:tcW w:w="5316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克糖利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双胍类</w:t>
            </w: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 w:bidi="ar"/>
              </w:rPr>
              <w:t>二甲双胍</w:t>
            </w:r>
          </w:p>
        </w:tc>
        <w:tc>
          <w:tcPr>
            <w:tcW w:w="5316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bookmarkStart w:id="2" w:name="OLE_LINK1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甲福明、迪化糖锭、格华止、美迪康、君力达、君士达新、立克糖、倍顺、</w:t>
            </w:r>
            <w:bookmarkEnd w:id="2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唐落、安多可、盐酸二甲双胍片、卜可、麦克罗辛、麦特美、仁欣、山姆士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 w:bidi="ar"/>
              </w:rPr>
              <w:t>苯乙双胍</w:t>
            </w:r>
          </w:p>
        </w:tc>
        <w:tc>
          <w:tcPr>
            <w:tcW w:w="5316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降糖灵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 w:bidi="ar"/>
              </w:rPr>
              <w:t>丁双胍</w:t>
            </w:r>
          </w:p>
        </w:tc>
        <w:tc>
          <w:tcPr>
            <w:tcW w:w="5316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盐酸丁双胍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噻唑烷二酮类</w:t>
            </w: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 w:bidi="ar"/>
              </w:rPr>
              <w:t>曲格列酮</w:t>
            </w:r>
          </w:p>
        </w:tc>
        <w:tc>
          <w:tcPr>
            <w:tcW w:w="5316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Rezulin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 w:bidi="ar"/>
              </w:rPr>
              <w:t>罗格列酮</w:t>
            </w:r>
          </w:p>
        </w:tc>
        <w:tc>
          <w:tcPr>
            <w:tcW w:w="5316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文迪雅、太罗、维戈洛、爱能、圣奥、圣敏、奥洛华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 w:bidi="ar"/>
              </w:rPr>
              <w:t>吡格列酮</w:t>
            </w:r>
          </w:p>
        </w:tc>
        <w:tc>
          <w:tcPr>
            <w:tcW w:w="5316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艾汀、瑞彤、卡司平、顿灵、欧迪贝、艾可拓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氯茴苯酸类</w:t>
            </w: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 w:bidi="ar"/>
              </w:rPr>
              <w:t>瑞格列奈</w:t>
            </w:r>
          </w:p>
        </w:tc>
        <w:tc>
          <w:tcPr>
            <w:tcW w:w="5316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诺和龙、孚来迪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 w:bidi="ar"/>
              </w:rPr>
              <w:t>那格列奈</w:t>
            </w:r>
          </w:p>
        </w:tc>
        <w:tc>
          <w:tcPr>
            <w:tcW w:w="5316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唐力、唐瑞、拉姆、锡瑞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val="en-US" w:bidi="ar"/>
              </w:rPr>
              <w:t>米格列奈</w:t>
            </w:r>
          </w:p>
        </w:tc>
        <w:tc>
          <w:tcPr>
            <w:tcW w:w="5316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cs="Times New Roman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ar"/>
              </w:rPr>
              <w:t>快如妥、法艾斯、法迪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restart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-4"/>
                <w:kern w:val="2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DPP-4抑制剂</w:t>
            </w:r>
          </w:p>
        </w:tc>
        <w:tc>
          <w:tcPr>
            <w:tcW w:w="1425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西格列汀片</w:t>
            </w:r>
          </w:p>
        </w:tc>
        <w:tc>
          <w:tcPr>
            <w:tcW w:w="5316" w:type="dxa"/>
          </w:tcPr>
          <w:p>
            <w:pPr>
              <w:widowControl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捷诺维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-4"/>
                <w:kern w:val="2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维格列汀</w:t>
            </w:r>
          </w:p>
        </w:tc>
        <w:tc>
          <w:tcPr>
            <w:tcW w:w="5316" w:type="dxa"/>
          </w:tcPr>
          <w:p>
            <w:pPr>
              <w:widowControl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佳维乐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-4"/>
                <w:kern w:val="2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沙格列汀</w:t>
            </w:r>
          </w:p>
        </w:tc>
        <w:tc>
          <w:tcPr>
            <w:tcW w:w="5316" w:type="dxa"/>
          </w:tcPr>
          <w:p>
            <w:pPr>
              <w:widowControl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安立泽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-4"/>
                <w:kern w:val="2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阿格列汀</w:t>
            </w:r>
          </w:p>
        </w:tc>
        <w:tc>
          <w:tcPr>
            <w:tcW w:w="5316" w:type="dxa"/>
          </w:tcPr>
          <w:p>
            <w:pPr>
              <w:widowControl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尼欣那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-4"/>
                <w:kern w:val="2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利格列汀</w:t>
            </w:r>
          </w:p>
        </w:tc>
        <w:tc>
          <w:tcPr>
            <w:tcW w:w="5316" w:type="dxa"/>
          </w:tcPr>
          <w:p>
            <w:pPr>
              <w:widowControl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欧唐宁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restart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-4"/>
                <w:kern w:val="2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GLP-1受体激动剂</w:t>
            </w:r>
          </w:p>
        </w:tc>
        <w:tc>
          <w:tcPr>
            <w:tcW w:w="1425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艾塞那肽</w:t>
            </w:r>
          </w:p>
        </w:tc>
        <w:tc>
          <w:tcPr>
            <w:tcW w:w="5316" w:type="dxa"/>
          </w:tcPr>
          <w:p>
            <w:pPr>
              <w:widowControl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百泌达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利拉鲁肽</w:t>
            </w:r>
          </w:p>
        </w:tc>
        <w:tc>
          <w:tcPr>
            <w:tcW w:w="5316" w:type="dxa"/>
          </w:tcPr>
          <w:p>
            <w:pPr>
              <w:widowControl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诺和力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利西拉肽</w:t>
            </w:r>
          </w:p>
        </w:tc>
        <w:tc>
          <w:tcPr>
            <w:tcW w:w="5316" w:type="dxa"/>
          </w:tcPr>
          <w:p>
            <w:pPr>
              <w:widowControl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Lyxumia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阿必鲁泰</w:t>
            </w:r>
          </w:p>
        </w:tc>
        <w:tc>
          <w:tcPr>
            <w:tcW w:w="5316" w:type="dxa"/>
          </w:tcPr>
          <w:p>
            <w:pPr>
              <w:widowControl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Tanzeum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度拉糖肽</w:t>
            </w:r>
          </w:p>
        </w:tc>
        <w:tc>
          <w:tcPr>
            <w:tcW w:w="5316" w:type="dxa"/>
          </w:tcPr>
          <w:p>
            <w:pPr>
              <w:widowControl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度易达</w:t>
            </w:r>
          </w:p>
        </w:tc>
      </w:tr>
    </w:tbl>
    <w:p>
      <w:pPr>
        <w:spacing w:before="120" w:beforeLines="50"/>
        <w:ind w:left="440" w:leftChars="200" w:right="440" w:rightChars="200"/>
        <w:jc w:val="both"/>
        <w:rPr>
          <w:rFonts w:cs="楷体"/>
          <w:bCs/>
          <w:spacing w:val="-4"/>
          <w:kern w:val="2"/>
          <w:sz w:val="18"/>
          <w:szCs w:val="18"/>
          <w:lang w:val="en-US"/>
        </w:rPr>
      </w:pPr>
      <w:r>
        <w:rPr>
          <w:rFonts w:hint="eastAsia" w:cs="楷体"/>
          <w:bCs/>
          <w:spacing w:val="-4"/>
          <w:kern w:val="2"/>
          <w:sz w:val="18"/>
          <w:szCs w:val="18"/>
          <w:lang w:val="en-US"/>
        </w:rPr>
        <w:t>注：通用名是药品的标准名称</w:t>
      </w:r>
      <w:r>
        <w:rPr>
          <w:rFonts w:hint="eastAsia" w:cs="楷体"/>
          <w:bCs/>
          <w:spacing w:val="-4"/>
          <w:kern w:val="2"/>
          <w:sz w:val="18"/>
          <w:szCs w:val="18"/>
          <w:lang w:val="en-US" w:eastAsia="zh-CN"/>
        </w:rPr>
        <w:t>，</w:t>
      </w:r>
      <w:r>
        <w:rPr>
          <w:rFonts w:hint="eastAsia" w:cs="楷体"/>
          <w:bCs/>
          <w:spacing w:val="-4"/>
          <w:kern w:val="2"/>
          <w:sz w:val="18"/>
          <w:szCs w:val="18"/>
          <w:lang w:val="en-US"/>
        </w:rPr>
        <w:t>代表药物的成分或主要成分</w:t>
      </w:r>
      <w:r>
        <w:rPr>
          <w:rFonts w:hint="eastAsia" w:cs="楷体"/>
          <w:bCs/>
          <w:spacing w:val="-4"/>
          <w:kern w:val="2"/>
          <w:sz w:val="18"/>
          <w:szCs w:val="18"/>
          <w:lang w:val="en-US" w:eastAsia="zh-CN"/>
        </w:rPr>
        <w:t>，</w:t>
      </w:r>
      <w:r>
        <w:rPr>
          <w:rFonts w:hint="eastAsia" w:cs="楷体"/>
          <w:bCs/>
          <w:spacing w:val="-4"/>
          <w:kern w:val="2"/>
          <w:sz w:val="18"/>
          <w:szCs w:val="18"/>
          <w:lang w:val="en-US"/>
        </w:rPr>
        <w:t>用以区别不同作用的药品；商品名为不同生产厂家为自己的药品所起的名字，具有商品标识作用,故同一通用名的药品可以有多个商品名，例如“</w:t>
      </w:r>
      <w:r>
        <w:rPr>
          <w:rFonts w:cs="楷体"/>
          <w:bCs/>
          <w:spacing w:val="-4"/>
          <w:kern w:val="2"/>
          <w:sz w:val="18"/>
          <w:szCs w:val="18"/>
          <w:lang w:val="en-US"/>
        </w:rPr>
        <w:t>甲苯磺丁脲</w:t>
      </w:r>
      <w:r>
        <w:rPr>
          <w:rFonts w:hint="eastAsia" w:cs="楷体"/>
          <w:bCs/>
          <w:spacing w:val="-4"/>
          <w:kern w:val="2"/>
          <w:sz w:val="18"/>
          <w:szCs w:val="18"/>
          <w:lang w:val="en-US"/>
        </w:rPr>
        <w:t>”的商品名有“</w:t>
      </w:r>
      <w:r>
        <w:rPr>
          <w:rFonts w:cs="楷体"/>
          <w:bCs/>
          <w:spacing w:val="-4"/>
          <w:kern w:val="2"/>
          <w:sz w:val="18"/>
          <w:szCs w:val="18"/>
          <w:lang w:val="en-US"/>
        </w:rPr>
        <w:t>鹏鹞</w:t>
      </w:r>
      <w:r>
        <w:rPr>
          <w:rFonts w:hint="eastAsia" w:cs="楷体"/>
          <w:bCs/>
          <w:spacing w:val="-4"/>
          <w:kern w:val="2"/>
          <w:sz w:val="18"/>
          <w:szCs w:val="18"/>
          <w:lang w:val="en-US"/>
        </w:rPr>
        <w:t>”、“</w:t>
      </w:r>
      <w:r>
        <w:rPr>
          <w:rFonts w:cs="楷体"/>
          <w:bCs/>
          <w:spacing w:val="-4"/>
          <w:kern w:val="2"/>
          <w:sz w:val="18"/>
          <w:szCs w:val="18"/>
          <w:lang w:val="en-US"/>
        </w:rPr>
        <w:t>甲苯磺丁脲片</w:t>
      </w:r>
      <w:r>
        <w:rPr>
          <w:rFonts w:hint="eastAsia" w:cs="楷体"/>
          <w:bCs/>
          <w:spacing w:val="-4"/>
          <w:kern w:val="2"/>
          <w:sz w:val="18"/>
          <w:szCs w:val="18"/>
          <w:lang w:val="en-US"/>
        </w:rPr>
        <w:t>”，但表中可能列举不全。</w:t>
      </w:r>
    </w:p>
    <w:p>
      <w:pPr>
        <w:rPr>
          <w:rFonts w:ascii="楷体" w:hAnsi="楷体" w:eastAsia="楷体" w:cs="楷体"/>
          <w:bCs/>
          <w:spacing w:val="-4"/>
          <w:kern w:val="2"/>
          <w:sz w:val="21"/>
          <w:szCs w:val="21"/>
          <w:lang w:val="en-US"/>
        </w:rPr>
      </w:pPr>
    </w:p>
    <w:p>
      <w:pPr>
        <w:rPr>
          <w:rFonts w:hint="eastAsia"/>
          <w:b/>
          <w:spacing w:val="-4"/>
          <w:kern w:val="2"/>
          <w:sz w:val="28"/>
          <w:szCs w:val="28"/>
        </w:rPr>
      </w:pPr>
    </w:p>
    <w:p>
      <w:pPr>
        <w:jc w:val="center"/>
        <w:rPr>
          <w:bCs/>
          <w:spacing w:val="-4"/>
          <w:kern w:val="2"/>
          <w:sz w:val="40"/>
        </w:rPr>
      </w:pPr>
      <w:r>
        <w:rPr>
          <w:rFonts w:hint="eastAsia"/>
          <w:bCs/>
          <w:spacing w:val="-4"/>
          <w:kern w:val="2"/>
          <w:sz w:val="28"/>
          <w:szCs w:val="28"/>
        </w:rPr>
        <w:t>附录</w:t>
      </w:r>
      <w:r>
        <w:rPr>
          <w:rFonts w:ascii="Times New Roman" w:hAnsi="Times New Roman" w:cs="Times New Roman"/>
          <w:bCs/>
          <w:spacing w:val="-4"/>
          <w:kern w:val="2"/>
          <w:sz w:val="28"/>
          <w:szCs w:val="28"/>
          <w:lang w:val="en-US"/>
        </w:rPr>
        <w:t>3</w:t>
      </w:r>
      <w:r>
        <w:rPr>
          <w:bCs/>
          <w:spacing w:val="-4"/>
          <w:kern w:val="2"/>
          <w:sz w:val="28"/>
          <w:szCs w:val="28"/>
          <w:lang w:val="en-US"/>
        </w:rPr>
        <w:t xml:space="preserve"> </w:t>
      </w:r>
      <w:r>
        <w:rPr>
          <w:rFonts w:hint="eastAsia"/>
          <w:bCs/>
          <w:spacing w:val="-4"/>
          <w:kern w:val="2"/>
          <w:sz w:val="28"/>
          <w:szCs w:val="28"/>
        </w:rPr>
        <w:t>参考文献</w:t>
      </w:r>
    </w:p>
    <w:p>
      <w:pPr>
        <w:pStyle w:val="12"/>
        <w:numPr>
          <w:ilvl w:val="0"/>
          <w:numId w:val="2"/>
        </w:numPr>
        <w:spacing w:line="440" w:lineRule="exact"/>
        <w:ind w:left="357" w:hanging="357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Sato R, Watanabe H, Genma R, et al. ABCC8 polymorphism (Ser1369Ala): influence on severe hypoglycemia due to sulfonylureas[J]. Pharmacogenomics, 2010, 11(12):1743-50.</w:t>
      </w:r>
    </w:p>
    <w:p>
      <w:pPr>
        <w:pStyle w:val="12"/>
        <w:numPr>
          <w:ilvl w:val="0"/>
          <w:numId w:val="2"/>
        </w:numPr>
        <w:spacing w:line="440" w:lineRule="exact"/>
        <w:ind w:left="357" w:hanging="357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 xml:space="preserve">Yin O Q, Tomlinson B, Chow M S. CYP2C9, but not CYP2C19, polymorphisms affect the pharmacokinetics and pharmacodynamics of glyburide in Chinese subjects[J].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Clinical Pharmacology &amp; Therapeutics, 2005, 78(4):370–377.</w:t>
      </w:r>
    </w:p>
    <w:p>
      <w:pPr>
        <w:pStyle w:val="12"/>
        <w:numPr>
          <w:ilvl w:val="0"/>
          <w:numId w:val="2"/>
        </w:numPr>
        <w:spacing w:line="440" w:lineRule="exact"/>
        <w:ind w:left="357" w:hanging="357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Kirchheiner J, Meineke I, Freytag G, et al. Enantiospecific effects of cytochrome P450 2C9 amino acid variants on ibuprofen pharmacokinetics and on the inhibition of cyclooxygenases 1 and 2[J]. Clinical Pharmacology &amp; Therapeutics, 2002, 72(1):62–75.</w:t>
      </w:r>
    </w:p>
    <w:p>
      <w:pPr>
        <w:pStyle w:val="12"/>
        <w:numPr>
          <w:ilvl w:val="0"/>
          <w:numId w:val="2"/>
        </w:numPr>
        <w:spacing w:line="440" w:lineRule="exact"/>
        <w:ind w:left="357" w:hanging="357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 xml:space="preserve">Qiong, HUANG, Guo-ping, et al. PPAR-y2 and PTPRD gene polymorphisms influence type 2 diabetes patients' response to pioglitazone in China[J]. </w:t>
      </w:r>
      <w:r>
        <w:fldChar w:fldCharType="begin"/>
      </w:r>
      <w:r>
        <w:instrText xml:space="preserve"> HYPERLINK "https://www.ncbi.nlm.nih.gov/pubmed/23147557" \o "Acta pharmacologica Sinica." </w:instrText>
      </w:r>
      <w:r>
        <w:fldChar w:fldCharType="separate"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Acta Pharmacol Sin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fldChar w:fldCharType="end"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, 2013, 34(2):255-61.</w:t>
      </w:r>
    </w:p>
    <w:p>
      <w:pPr>
        <w:pStyle w:val="12"/>
        <w:numPr>
          <w:ilvl w:val="0"/>
          <w:numId w:val="2"/>
        </w:numPr>
        <w:spacing w:line="440" w:lineRule="exact"/>
        <w:ind w:left="357" w:hanging="357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Wang Z J, Yin O Q, Tomlinson B, et al.</w:t>
      </w:r>
      <w:bookmarkStart w:id="3" w:name="OLE_LINK4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 xml:space="preserve"> OCT2 polymorphisms and in-vivo renal functional consequence: studies with metformin and cimetidine</w:t>
      </w:r>
      <w:bookmarkEnd w:id="3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[J]. Pharmacogenetics &amp; Genomics, 2008, 18(7):637-645.</w:t>
      </w:r>
    </w:p>
    <w:p>
      <w:pPr>
        <w:pStyle w:val="12"/>
        <w:numPr>
          <w:ilvl w:val="0"/>
          <w:numId w:val="2"/>
        </w:numPr>
        <w:spacing w:line="440" w:lineRule="exact"/>
        <w:ind w:left="357" w:hanging="357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Niemi M, Schaeffeler E, Lang T, et al. High plasma pravastatin concentrations are associated with single nucleotide polymorphisms and haplotypes of organic anion transporting polypeptide-C (OATP-C, SLCO1B1)[J]. Pharmacogenetics, 2004, 14(7):429-40.</w:t>
      </w:r>
    </w:p>
    <w:p>
      <w:pPr>
        <w:pStyle w:val="12"/>
        <w:numPr>
          <w:ilvl w:val="0"/>
          <w:numId w:val="2"/>
        </w:numPr>
        <w:spacing w:line="440" w:lineRule="exact"/>
        <w:ind w:left="357" w:hanging="357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Avery P, Mousa S S, Mousa S A. Pharmacogenomics in type II diabetes mellitus management: Steps toward personalized medicine[J]. Pharmacogenomics &amp; Personalized Medicine, 2009, 2(2):79-91.</w:t>
      </w:r>
    </w:p>
    <w:p>
      <w:pPr>
        <w:rPr>
          <w:rFonts w:ascii="Times New Roman" w:hAnsi="Times New Roman" w:cs="Times New Roman"/>
          <w:sz w:val="21"/>
          <w:szCs w:val="21"/>
          <w:lang w:val="en-US"/>
        </w:rPr>
      </w:pPr>
    </w:p>
    <w:sectPr>
      <w:pgSz w:w="11910" w:h="16840"/>
      <w:pgMar w:top="300" w:right="1320" w:bottom="280" w:left="12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/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4604385</wp:posOffset>
              </wp:positionH>
              <wp:positionV relativeFrom="paragraph">
                <wp:posOffset>124460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default" w:eastAsia="微软雅黑"/>
                              <w:b/>
                              <w:bCs/>
                              <w:i/>
                              <w:iCs/>
                              <w:color w:val="403152" w:themeColor="accent4" w:themeShade="80"/>
                              <w:sz w:val="28"/>
                              <w:szCs w:val="28"/>
                              <w:lang w:val="en-US" w:eastAsia="zh-CN"/>
                              <w14:shadow w14:blurRad="63500" w14:dist="50800" w14:dir="135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i/>
                              <w:iCs/>
                              <w:color w:val="403152" w:themeColor="accent4" w:themeShade="80"/>
                              <w:sz w:val="28"/>
                              <w:szCs w:val="28"/>
                              <w:lang w:eastAsia="zh-CN"/>
                              <w14:shadow w14:blurRad="63500" w14:dist="50800" w14:dir="135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为健康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i/>
                              <w:iCs/>
                              <w:color w:val="403152" w:themeColor="accent4" w:themeShade="80"/>
                              <w:sz w:val="28"/>
                              <w:szCs w:val="28"/>
                              <w:lang w:eastAsia="zh-CN"/>
                              <w14:shadow w14:blurRad="63500" w14:dist="50800" w14:dir="135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·</w:t>
                          </w:r>
                          <w:r>
                            <w:rPr>
                              <w:rFonts w:hint="eastAsia"/>
                              <w:b/>
                              <w:bCs/>
                              <w:i/>
                              <w:iCs/>
                              <w:color w:val="403152" w:themeColor="accent4" w:themeShade="80"/>
                              <w:sz w:val="28"/>
                              <w:szCs w:val="28"/>
                              <w:lang w:eastAsia="zh-CN"/>
                              <w14:shadow w14:blurRad="63500" w14:dist="50800" w14:dir="13500000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向未来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2.55pt;margin-top:9.8pt;height:144pt;width:144pt;mso-wrap-style:none;z-index:251662336;mso-width-relative:page;mso-height-relative:page;" filled="f" stroked="f" coordsize="21600,21600" o:gfxdata="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wRcYfYAAAACwEAAA8AAAAAAAAAAQAgAAAAIgAAAGRycy9kb3ducmV2&#10;LnhtbFBLAQIUABQAAAAIAIdO4kCKrCRzNQIAAGUEAAAOAAAAAAAAAAEAIAAAACcBAABkcnMvZTJv&#10;RG9jLnhtbFBLBQYAAAAABgAGAFkBAADOBQAAAAA=&#10;"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hint="default" w:eastAsia="微软雅黑"/>
                        <w:b/>
                        <w:bCs/>
                        <w:i/>
                        <w:iCs/>
                        <w:color w:val="403152" w:themeColor="accent4" w:themeShade="80"/>
                        <w:sz w:val="28"/>
                        <w:szCs w:val="28"/>
                        <w:lang w:val="en-US" w:eastAsia="zh-CN"/>
                        <w14:shadow w14:blurRad="63500" w14:dist="50800" w14:dir="13500000">
                          <w14:srgbClr w14:val="000000">
                            <w14:alpha w14:val="50000"/>
                          </w14:srgbClr>
                        </w14:shadow>
                      </w:rPr>
                    </w:pPr>
                    <w:r>
                      <w:rPr>
                        <w:rFonts w:hint="eastAsia"/>
                        <w:b/>
                        <w:bCs/>
                        <w:i/>
                        <w:iCs/>
                        <w:color w:val="403152" w:themeColor="accent4" w:themeShade="80"/>
                        <w:sz w:val="28"/>
                        <w:szCs w:val="28"/>
                        <w:lang w:eastAsia="zh-CN"/>
                        <w14:shadow w14:blurRad="63500" w14:dist="50800" w14:dir="13500000">
                          <w14:srgbClr w14:val="000000">
                            <w14:alpha w14:val="50000"/>
                          </w14:srgbClr>
                        </w14:shadow>
                      </w:rPr>
                      <w:t>为健康</w:t>
                    </w: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  <w:i/>
                        <w:iCs/>
                        <w:color w:val="403152" w:themeColor="accent4" w:themeShade="80"/>
                        <w:sz w:val="28"/>
                        <w:szCs w:val="28"/>
                        <w:lang w:eastAsia="zh-CN"/>
                        <w14:shadow w14:blurRad="63500" w14:dist="50800" w14:dir="13500000">
                          <w14:srgbClr w14:val="000000">
                            <w14:alpha w14:val="50000"/>
                          </w14:srgbClr>
                        </w14:shadow>
                      </w:rPr>
                      <w:t>·</w:t>
                    </w:r>
                    <w:r>
                      <w:rPr>
                        <w:rFonts w:hint="eastAsia"/>
                        <w:b/>
                        <w:bCs/>
                        <w:i/>
                        <w:iCs/>
                        <w:color w:val="403152" w:themeColor="accent4" w:themeShade="80"/>
                        <w:sz w:val="28"/>
                        <w:szCs w:val="28"/>
                        <w:lang w:eastAsia="zh-CN"/>
                        <w14:shadow w14:blurRad="63500" w14:dist="50800" w14:dir="13500000">
                          <w14:srgbClr w14:val="000000">
                            <w14:alpha w14:val="50000"/>
                          </w14:srgbClr>
                        </w14:shadow>
                      </w:rPr>
                      <w:t>向未来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/>
        <w:sz w:val="20"/>
      </w:rPr>
      <w:drawing>
        <wp:inline distT="0" distB="0" distL="0" distR="0">
          <wp:extent cx="1217295" cy="506730"/>
          <wp:effectExtent l="0" t="0" r="0" b="635"/>
          <wp:docPr id="3" name="image1.jpeg" descr="C:\Users\10759\Desktop\TYN\常用文件-TYN\中科资料\中科基因logo.png中科基因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C:\Users\10759\Desktop\TYN\常用文件-TYN\中科资料\中科基因logo.png中科基因logo"/>
                  <pic:cNvPicPr>
                    <a:picLocks noChangeAspect="1"/>
                  </pic:cNvPicPr>
                </pic:nvPicPr>
                <pic:blipFill>
                  <a:blip r:embed="rId1"/>
                  <a:srcRect t="29509" b="28958"/>
                  <a:stretch>
                    <a:fillRect/>
                  </a:stretch>
                </pic:blipFill>
                <pic:spPr>
                  <a:xfrm>
                    <a:off x="0" y="0"/>
                    <a:ext cx="1217295" cy="506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728980</wp:posOffset>
              </wp:positionH>
              <wp:positionV relativeFrom="page">
                <wp:posOffset>989330</wp:posOffset>
              </wp:positionV>
              <wp:extent cx="6041390" cy="0"/>
              <wp:effectExtent l="0" t="0" r="0" b="0"/>
              <wp:wrapNone/>
              <wp:docPr id="153" name="直接连接符 1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1390" cy="0"/>
                      </a:xfrm>
                      <a:prstGeom prst="line">
                        <a:avLst/>
                      </a:prstGeom>
                      <a:ln w="762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7.4pt;margin-top:77.9pt;height:0pt;width:475.7pt;mso-position-horizontal-relative:page;mso-position-vertical-relative:page;z-index:-251655168;mso-width-relative:page;mso-height-relative:page;" filled="f" stroked="t" coordsize="21600,21600" o:gfxdata="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rGCJPWAAAADAEAAA8AAAAAAAAAAQAgAAAAIgAAAGRycy9kb3ducmV2Lnht&#10;bFBLAQIUABQAAAAIAIdO4kDtfg5V+wEAAPYDAAAOAAAAAAAAAAEAIAAAACUBAABkcnMvZTJvRG9j&#10;LnhtbFBLBQYAAAAABgAGAFkBAACSBQAAAAA=&#10;">
              <v:fill on="f" focussize="0,0"/>
              <v:stroke weight="0.6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54BF5"/>
    <w:multiLevelType w:val="multilevel"/>
    <w:tmpl w:val="15C54B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新宋体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2B0879"/>
    <w:multiLevelType w:val="singleLevel"/>
    <w:tmpl w:val="582B087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1ZGY2Mjc3ZTZhM2NkMTRmOGE3NmE5NGI0MjIzN2MifQ=="/>
  </w:docVars>
  <w:rsids>
    <w:rsidRoot w:val="00172A27"/>
    <w:rsid w:val="0000155E"/>
    <w:rsid w:val="0001588F"/>
    <w:rsid w:val="00172A27"/>
    <w:rsid w:val="00375899"/>
    <w:rsid w:val="003E6B8A"/>
    <w:rsid w:val="0040090E"/>
    <w:rsid w:val="004A0AEB"/>
    <w:rsid w:val="005004B4"/>
    <w:rsid w:val="00534089"/>
    <w:rsid w:val="005A19A6"/>
    <w:rsid w:val="005C790D"/>
    <w:rsid w:val="005E1AFB"/>
    <w:rsid w:val="00692C41"/>
    <w:rsid w:val="0070611E"/>
    <w:rsid w:val="00732E4B"/>
    <w:rsid w:val="007609F0"/>
    <w:rsid w:val="00774134"/>
    <w:rsid w:val="008D71F3"/>
    <w:rsid w:val="009F018B"/>
    <w:rsid w:val="009F365F"/>
    <w:rsid w:val="00A1395E"/>
    <w:rsid w:val="00B3602C"/>
    <w:rsid w:val="00B37541"/>
    <w:rsid w:val="00B43788"/>
    <w:rsid w:val="00B5390D"/>
    <w:rsid w:val="00B6151A"/>
    <w:rsid w:val="00B74091"/>
    <w:rsid w:val="00B80C44"/>
    <w:rsid w:val="00BD5114"/>
    <w:rsid w:val="00C21977"/>
    <w:rsid w:val="00D87472"/>
    <w:rsid w:val="00DC2836"/>
    <w:rsid w:val="00E17985"/>
    <w:rsid w:val="00E23DE6"/>
    <w:rsid w:val="00EB3DF0"/>
    <w:rsid w:val="00F3202F"/>
    <w:rsid w:val="00F85B69"/>
    <w:rsid w:val="00F947DA"/>
    <w:rsid w:val="01E0373D"/>
    <w:rsid w:val="02123F74"/>
    <w:rsid w:val="029C376A"/>
    <w:rsid w:val="02F567F8"/>
    <w:rsid w:val="0329084D"/>
    <w:rsid w:val="03B527C8"/>
    <w:rsid w:val="03C24899"/>
    <w:rsid w:val="0A211537"/>
    <w:rsid w:val="0CAA1B31"/>
    <w:rsid w:val="0D0A6630"/>
    <w:rsid w:val="0D363A91"/>
    <w:rsid w:val="0D581F1D"/>
    <w:rsid w:val="0DD74904"/>
    <w:rsid w:val="10E24EFD"/>
    <w:rsid w:val="124B14C4"/>
    <w:rsid w:val="12AB46DD"/>
    <w:rsid w:val="13044D0B"/>
    <w:rsid w:val="1444633F"/>
    <w:rsid w:val="15511DE0"/>
    <w:rsid w:val="15B4024F"/>
    <w:rsid w:val="17BA3F59"/>
    <w:rsid w:val="181F1E68"/>
    <w:rsid w:val="19BE529E"/>
    <w:rsid w:val="1ADA1BA5"/>
    <w:rsid w:val="1C4F15A3"/>
    <w:rsid w:val="1CBCFC7F"/>
    <w:rsid w:val="1D2C5927"/>
    <w:rsid w:val="1D6109FF"/>
    <w:rsid w:val="1DC55869"/>
    <w:rsid w:val="1E893264"/>
    <w:rsid w:val="1EF3635F"/>
    <w:rsid w:val="1EFA2417"/>
    <w:rsid w:val="1FAE0611"/>
    <w:rsid w:val="20E03835"/>
    <w:rsid w:val="21325F26"/>
    <w:rsid w:val="21F1747B"/>
    <w:rsid w:val="23C5417C"/>
    <w:rsid w:val="2449680F"/>
    <w:rsid w:val="24AA3EA7"/>
    <w:rsid w:val="25940C83"/>
    <w:rsid w:val="27C86F3C"/>
    <w:rsid w:val="2855211C"/>
    <w:rsid w:val="28F24D04"/>
    <w:rsid w:val="2AD624AC"/>
    <w:rsid w:val="2B876083"/>
    <w:rsid w:val="2C0F1841"/>
    <w:rsid w:val="2C831F01"/>
    <w:rsid w:val="2ED20B98"/>
    <w:rsid w:val="304C1C8D"/>
    <w:rsid w:val="30767921"/>
    <w:rsid w:val="31BE04AE"/>
    <w:rsid w:val="31E71921"/>
    <w:rsid w:val="325A5548"/>
    <w:rsid w:val="3278743A"/>
    <w:rsid w:val="336E2ACA"/>
    <w:rsid w:val="34680E3C"/>
    <w:rsid w:val="349661FB"/>
    <w:rsid w:val="34D60319"/>
    <w:rsid w:val="364FE3AF"/>
    <w:rsid w:val="36A32866"/>
    <w:rsid w:val="3759388D"/>
    <w:rsid w:val="38B4704A"/>
    <w:rsid w:val="396C0E37"/>
    <w:rsid w:val="39C379A1"/>
    <w:rsid w:val="3AB421F2"/>
    <w:rsid w:val="3ABBAEF4"/>
    <w:rsid w:val="3E0560B1"/>
    <w:rsid w:val="3E4E71E8"/>
    <w:rsid w:val="3E851418"/>
    <w:rsid w:val="3F020EF2"/>
    <w:rsid w:val="3F4A53E8"/>
    <w:rsid w:val="3FBE5D32"/>
    <w:rsid w:val="3FF842A1"/>
    <w:rsid w:val="406556CA"/>
    <w:rsid w:val="423164E2"/>
    <w:rsid w:val="42AF2E89"/>
    <w:rsid w:val="43161335"/>
    <w:rsid w:val="432108AA"/>
    <w:rsid w:val="442E4364"/>
    <w:rsid w:val="44F50705"/>
    <w:rsid w:val="45792B10"/>
    <w:rsid w:val="45A57BAB"/>
    <w:rsid w:val="468606A0"/>
    <w:rsid w:val="49321DE5"/>
    <w:rsid w:val="4BE15D4B"/>
    <w:rsid w:val="4C2644CE"/>
    <w:rsid w:val="4DB64835"/>
    <w:rsid w:val="4E7751AA"/>
    <w:rsid w:val="4EAB3462"/>
    <w:rsid w:val="4F3D0BF3"/>
    <w:rsid w:val="4FB80FAE"/>
    <w:rsid w:val="4FD25DB7"/>
    <w:rsid w:val="51F813F2"/>
    <w:rsid w:val="527D15F1"/>
    <w:rsid w:val="53CA551A"/>
    <w:rsid w:val="58053329"/>
    <w:rsid w:val="581476CA"/>
    <w:rsid w:val="5840344B"/>
    <w:rsid w:val="599D5D58"/>
    <w:rsid w:val="59ED3BE0"/>
    <w:rsid w:val="5A0E3E79"/>
    <w:rsid w:val="5B573B14"/>
    <w:rsid w:val="5BE41D9D"/>
    <w:rsid w:val="5C100FD2"/>
    <w:rsid w:val="5C9FE57F"/>
    <w:rsid w:val="5F29492C"/>
    <w:rsid w:val="5FEE6392"/>
    <w:rsid w:val="6150379D"/>
    <w:rsid w:val="616F9402"/>
    <w:rsid w:val="6424428B"/>
    <w:rsid w:val="64E62E56"/>
    <w:rsid w:val="64F415C1"/>
    <w:rsid w:val="660AAF9F"/>
    <w:rsid w:val="66E12350"/>
    <w:rsid w:val="67B51AA6"/>
    <w:rsid w:val="681C1B25"/>
    <w:rsid w:val="690C3123"/>
    <w:rsid w:val="69305127"/>
    <w:rsid w:val="695234A1"/>
    <w:rsid w:val="69793314"/>
    <w:rsid w:val="6A0F4336"/>
    <w:rsid w:val="6AA37AB1"/>
    <w:rsid w:val="6BD7D1F2"/>
    <w:rsid w:val="6BD83CB0"/>
    <w:rsid w:val="6CDE4B4D"/>
    <w:rsid w:val="6D2B32B1"/>
    <w:rsid w:val="6D9365FB"/>
    <w:rsid w:val="6DEC028E"/>
    <w:rsid w:val="6F484DD7"/>
    <w:rsid w:val="6FB9E0C8"/>
    <w:rsid w:val="70C00194"/>
    <w:rsid w:val="718F68BB"/>
    <w:rsid w:val="73985F30"/>
    <w:rsid w:val="73AD0A36"/>
    <w:rsid w:val="74EF270F"/>
    <w:rsid w:val="74EF9683"/>
    <w:rsid w:val="75457462"/>
    <w:rsid w:val="7649B9F0"/>
    <w:rsid w:val="767B6550"/>
    <w:rsid w:val="770A7A49"/>
    <w:rsid w:val="77FBA31D"/>
    <w:rsid w:val="7910220A"/>
    <w:rsid w:val="794AF40C"/>
    <w:rsid w:val="797D185C"/>
    <w:rsid w:val="7C1F2484"/>
    <w:rsid w:val="7C4F4919"/>
    <w:rsid w:val="7C9A3C07"/>
    <w:rsid w:val="7CFF857F"/>
    <w:rsid w:val="7CFFC453"/>
    <w:rsid w:val="7DBD32A6"/>
    <w:rsid w:val="7DEB0D63"/>
    <w:rsid w:val="7DEF1348"/>
    <w:rsid w:val="7E3D6978"/>
    <w:rsid w:val="7F5B6B3E"/>
    <w:rsid w:val="7FCF2977"/>
    <w:rsid w:val="7FFF157E"/>
    <w:rsid w:val="B4FECC0D"/>
    <w:rsid w:val="BFE5DD76"/>
    <w:rsid w:val="CF59A6A9"/>
    <w:rsid w:val="CF7710B8"/>
    <w:rsid w:val="DCFEEAC6"/>
    <w:rsid w:val="DE3F3703"/>
    <w:rsid w:val="ECF7FA64"/>
    <w:rsid w:val="F257273E"/>
    <w:rsid w:val="F6D1BA67"/>
    <w:rsid w:val="F78BDA54"/>
    <w:rsid w:val="F9FF4994"/>
    <w:rsid w:val="FB7FA667"/>
    <w:rsid w:val="FBFF5372"/>
    <w:rsid w:val="FDFF7965"/>
    <w:rsid w:val="FEF728C0"/>
    <w:rsid w:val="FF3E575D"/>
    <w:rsid w:val="FFE52A5F"/>
    <w:rsid w:val="FFEBEF17"/>
    <w:rsid w:val="FFEE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b/>
      <w:bCs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9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1"/>
    <w:qFormat/>
    <w:uiPriority w:val="1"/>
  </w:style>
  <w:style w:type="paragraph" w:customStyle="1" w:styleId="11">
    <w:name w:val="Table Paragraph"/>
    <w:basedOn w:val="1"/>
    <w:qFormat/>
    <w:uiPriority w:val="1"/>
    <w:pPr>
      <w:spacing w:before="116"/>
      <w:ind w:left="381"/>
      <w:jc w:val="center"/>
    </w:pPr>
  </w:style>
  <w:style w:type="paragraph" w:customStyle="1" w:styleId="12">
    <w:name w:val="普通(网站)1"/>
    <w:basedOn w:val="1"/>
    <w:qFormat/>
    <w:uiPriority w:val="0"/>
    <w:pPr>
      <w:widowControl/>
    </w:pPr>
    <w:rPr>
      <w:rFonts w:ascii="宋体" w:hAnsi="宋体" w:cs="宋体"/>
      <w:sz w:val="24"/>
    </w:rPr>
  </w:style>
  <w:style w:type="paragraph" w:customStyle="1" w:styleId="13">
    <w:name w:val="列出段落2"/>
    <w:basedOn w:val="1"/>
    <w:qFormat/>
    <w:uiPriority w:val="99"/>
    <w:pPr>
      <w:ind w:firstLine="420" w:firstLineChars="200"/>
    </w:p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1092</Words>
  <Characters>2585</Characters>
  <Lines>22</Lines>
  <Paragraphs>6</Paragraphs>
  <TotalTime>8</TotalTime>
  <ScaleCrop>false</ScaleCrop>
  <LinksUpToDate>false</LinksUpToDate>
  <CharactersWithSpaces>2905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2018-12-20T21:09:00Z</dcterms:created>
  <dc:creator>Administrator</dc:creator>
  <cp:lastModifiedBy>hello YY</cp:lastModifiedBy>
  <dcterms:modified xsi:type="dcterms:W3CDTF">2023-01-06T02:26:37Z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2018-12-21T00:00:00Z</vt:filetime>
  </property>
  <property fmtid="{D5CDD505-2E9C-101B-9397-08002B2CF9AE}" pid="5" name="KSOProductBuildVer">
    <vt:lpwstr>2052-11.1.0.12980</vt:lpwstr>
  </property>
  <property fmtid="{D5CDD505-2E9C-101B-9397-08002B2CF9AE}" pid="6" name="ICV">
    <vt:lpwstr>39268B796C5D46B29058FCE4FAA9D955</vt:lpwstr>
  </property>
</Properties>
</file>