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>13.   Analýza kvalitativních dat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 této kapitole se budeme zabývat analýzou kvalitativních dat pomocí tzv. kontingenční tabulky. Tato tabulka nepoužívá </w:t>
      </w:r>
      <w:r>
        <w:rPr>
          <w:rFonts w:cs="Times New Roman" w:ascii="Times New Roman" w:hAnsi="Times New Roman"/>
          <w:sz w:val="24"/>
          <w:szCs w:val="24"/>
          <w:u w:val="single"/>
        </w:rPr>
        <w:t>ani pořadí</w:t>
      </w:r>
      <w:r>
        <w:rPr>
          <w:rFonts w:cs="Times New Roman" w:ascii="Times New Roman" w:hAnsi="Times New Roman"/>
          <w:sz w:val="24"/>
          <w:szCs w:val="24"/>
        </w:rPr>
        <w:t xml:space="preserve"> a je proto použitelná i pro nominální náhodné veličiny.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 kontingenční tabulkou jsme se setkali již v kapitole o náhodném vektoru.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Mějme dvě kvalitativní náhodné veličiny: X, která má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</w:rPr>
        <w:t xml:space="preserve"> variant a Y, která má </w:t>
      </w:r>
      <w:r>
        <w:rPr>
          <w:rFonts w:cs="Times New Roman" w:ascii="Times New Roman" w:hAnsi="Times New Roman"/>
          <w:i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variant. Do prvního řádku napíšeme jednotlivé varianty veličiny Y a do prvního sloupce varianty veličiny X. V jádru tabulky pak budou simultánní četnosti příslušné dvojice variant. Poslední řádek obsahuje sloupcové součty a poslední sloupec řádkové součty simultánních četností – tedy marginální četnosti variant veličin X, Y.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480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960"/>
        <w:gridCol w:w="960"/>
        <w:gridCol w:w="960"/>
        <w:gridCol w:w="960"/>
        <w:gridCol w:w="960"/>
      </w:tblGrid>
      <w:tr>
        <w:trPr>
          <w:trHeight w:val="390" w:hRule="atLeast"/>
        </w:trPr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Cs/>
                <w:i/>
                <w:i/>
                <w:i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y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[1]</w:t>
            </w:r>
          </w:p>
        </w:tc>
        <w:tc>
          <w:tcPr>
            <w:tcW w:w="96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lang w:eastAsia="cs-CZ"/>
              </w:rPr>
              <w:t>. . .</w:t>
            </w:r>
          </w:p>
        </w:tc>
        <w:tc>
          <w:tcPr>
            <w:tcW w:w="96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y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[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cs-CZ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]</w:t>
            </w:r>
          </w:p>
        </w:tc>
        <w:tc>
          <w:tcPr>
            <w:tcW w:w="96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cs-CZ"/>
              </w:rPr>
              <w:t>j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.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x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[1]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4"/>
                <w:szCs w:val="24"/>
                <w:lang w:eastAsia="cs-CZ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bscript"/>
                <w:lang w:eastAsia="cs-CZ"/>
              </w:rPr>
              <w:t>11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color w:val="000000"/>
                <w:lang w:eastAsia="cs-CZ"/>
              </w:rPr>
              <w:t>. . .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4" w:space="0" w:color="000000"/>
              <w:right w:val="doub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4"/>
                <w:szCs w:val="24"/>
                <w:lang w:eastAsia="cs-CZ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bscript"/>
                <w:lang w:eastAsia="cs-CZ"/>
              </w:rPr>
              <w:t>1</w:t>
            </w: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4"/>
                <w:szCs w:val="24"/>
                <w:vertAlign w:val="subscript"/>
                <w:lang w:eastAsia="cs-CZ"/>
              </w:rPr>
              <w:t>s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1.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lang w:eastAsia="cs-CZ"/>
              </w:rPr>
              <w:t>˸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color w:val="000000"/>
                <w:lang w:eastAsia="cs-CZ"/>
              </w:rPr>
              <w:t>˸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0"/>
              <w:right w:val="doub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color w:val="000000"/>
                <w:lang w:eastAsia="cs-CZ"/>
              </w:rPr>
              <w:t>˸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lang w:eastAsia="cs-CZ"/>
              </w:rPr>
              <w:t>˸</w:t>
            </w:r>
          </w:p>
        </w:tc>
      </w:tr>
      <w:tr>
        <w:trPr>
          <w:trHeight w:val="39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x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[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cs-CZ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]</w:t>
            </w:r>
          </w:p>
        </w:tc>
        <w:tc>
          <w:tcPr>
            <w:tcW w:w="960" w:type="dxa"/>
            <w:tcBorders>
              <w:left w:val="single" w:sz="8" w:space="0" w:color="000000"/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4"/>
                <w:szCs w:val="24"/>
                <w:lang w:eastAsia="cs-CZ"/>
              </w:rPr>
              <w:t>n</w:t>
            </w: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4"/>
                <w:szCs w:val="24"/>
                <w:vertAlign w:val="subscript"/>
                <w:lang w:eastAsia="cs-CZ"/>
              </w:rPr>
              <w:t>r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vertAlign w:val="subscript"/>
                <w:lang w:eastAsia="cs-CZ"/>
              </w:rPr>
              <w:t>1</w:t>
            </w:r>
          </w:p>
        </w:tc>
        <w:tc>
          <w:tcPr>
            <w:tcW w:w="960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color w:val="000000"/>
                <w:lang w:eastAsia="cs-CZ"/>
              </w:rPr>
              <w:t>. . .</w:t>
            </w:r>
          </w:p>
        </w:tc>
        <w:tc>
          <w:tcPr>
            <w:tcW w:w="960" w:type="dxa"/>
            <w:tcBorders>
              <w:bottom w:val="double" w:sz="6" w:space="0" w:color="000000"/>
              <w:right w:val="doub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4"/>
                <w:szCs w:val="24"/>
                <w:lang w:eastAsia="cs-CZ"/>
              </w:rPr>
              <w:t>n</w:t>
            </w: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4"/>
                <w:szCs w:val="24"/>
                <w:vertAlign w:val="subscript"/>
                <w:lang w:eastAsia="cs-CZ"/>
              </w:rPr>
              <w:t>rs</w:t>
            </w:r>
          </w:p>
        </w:tc>
        <w:tc>
          <w:tcPr>
            <w:tcW w:w="960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/>
                <w:i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cs-CZ"/>
              </w:rPr>
              <w:t>r.</w:t>
            </w:r>
          </w:p>
        </w:tc>
      </w:tr>
      <w:tr>
        <w:trPr>
          <w:trHeight w:val="39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cs-CZ"/>
              </w:rPr>
              <w:t>k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.1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lang w:eastAsia="cs-CZ"/>
              </w:rPr>
              <w:t>. . .</w:t>
            </w:r>
          </w:p>
        </w:tc>
        <w:tc>
          <w:tcPr>
            <w:tcW w:w="960" w:type="dxa"/>
            <w:tcBorders>
              <w:bottom w:val="single" w:sz="4" w:space="0" w:color="000000"/>
              <w:right w:val="doub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cs-CZ"/>
              </w:rPr>
              <w:t>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/>
                <w:i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N</w:t>
            </w:r>
          </w:p>
        </w:tc>
      </w:tr>
    </w:tbl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Kontingenční tabulka absolutních četností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Simultánní pravděpodobnosti odhadneme pomocí relativních četností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cs="Times New Roman" w:ascii="Times New Roman" w:hAnsi="Times New Roman"/>
          <w:sz w:val="24"/>
          <w:szCs w:val="24"/>
        </w:rPr>
        <w:t xml:space="preserve"> a marginální pravděpodobnosti pomocí relativních marginálních četností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cs="Times New Roman" w:ascii="Times New Roman" w:hAnsi="Times New Roman"/>
          <w:sz w:val="24"/>
          <w:szCs w:val="24"/>
        </w:rPr>
        <w:t xml:space="preserve"> 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.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.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Mouka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=AVERAGE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Směrodatná odchylka: =STDEV.S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Jednovýběrový t-test: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=T.TEST(B1:B15, 1000, 1, 1)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Array1: vaše data (B1:B15)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Array2: deklarovaná hmotnost (1000)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Tails: 1 (jednostranný test)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Type: 1 (jednovýběrový t-test)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Test nezávislosti v kontingenční tabulce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Testujeme nulovou hypotézu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: Veličiny X, Y jsou nezávislé</w:t>
        <w:tab/>
        <w:t>proti alternativě</w:t>
        <w:tab/>
        <w:t>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: Veličiny X, Y nejsou nezávislé.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Myšlenka je v podstatě stejná jako při testu dobré shody: testuje se, jestli jsou pozorované simultánní relativní četnosti shodné s teoretickými relativními četnostmi, které by v případě nezávislých veličin měly být součinem příslušných marginálních relativních četností, tedy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·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.</m:t>
            </m:r>
          </m:sub>
        </m:sSub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Absolutní simultánní četnost je pak: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n·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n·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·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.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n·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·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.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·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.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Realizace pivotové statistiky: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r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s</m:t>
                </m:r>
              </m:sup>
              <m:e>
                <m:f>
                  <m:num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  <m:sub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n</m:t>
                                    </m:r>
                                  </m:e>
                                  <m:sub>
                                    <m:r>
                                      <m:rPr>
                                        <m:lit/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.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j</m:t>
                                    </m:r>
                                  </m:sub>
                                </m:sSub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  <m:r>
                                      <m:rPr>
                                        <m:lit/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.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b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.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.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den>
                    </m:f>
                  </m:den>
                </m:f>
              </m:e>
            </m:nary>
          </m:e>
        </m:nary>
      </m:oMath>
      <w:r>
        <w:rPr>
          <w:rFonts w:cs="Times New Roman" w:ascii="Times New Roman" w:hAnsi="Times New Roman"/>
          <w:sz w:val="24"/>
          <w:szCs w:val="24"/>
        </w:rPr>
        <w:t xml:space="preserve"> = … 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r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s</m:t>
                </m:r>
              </m:sup>
              <m:e>
                <m:f>
                  <m:num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.</m:t>
                        </m:r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.</m:t>
                        </m:r>
                      </m:sub>
                    </m:sSub>
                  </m:den>
                </m:f>
              </m:e>
            </m:nary>
          </m:e>
        </m:nary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(kvantily budeme vybírat z 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χ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Times New Roman" w:ascii="Times New Roman" w:hAnsi="Times New Roman"/>
          <w:sz w:val="24"/>
          <w:szCs w:val="24"/>
        </w:rPr>
        <w:t>((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</w:rPr>
        <w:t xml:space="preserve"> – 1)(</w:t>
      </w:r>
      <w:r>
        <w:rPr>
          <w:rFonts w:cs="Times New Roman" w:ascii="Times New Roman" w:hAnsi="Times New Roman"/>
          <w:i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– 1))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Kritický obor je:</w:t>
        <w:tab/>
        <w:t xml:space="preserve">W = </w:t>
      </w:r>
      <w:r>
        <w:rPr/>
      </w:r>
      <m:oMath xmlns:m="http://schemas.openxmlformats.org/officeDocument/2006/math">
        <m:d>
          <m:dPr>
            <m:begChr m:val="⟨"/>
            <m:endChr m:val="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χ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–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–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Pozn.: Pro tento test musí být splněny podmínky, že minimálně 80% teoretických četností je rovno aspoň 5</w:t>
        <w:br/>
        <w:tab/>
        <w:t>a zbylých 20% neklesne pod 2.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 měření síly závislosti se používá Cramérův koeficient V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min</m:t>
                </m:r>
                <m:d>
                  <m:dPr>
                    <m:begChr m:val="{"/>
                    <m:endChr m:val="}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</m:den>
            </m:f>
          </m:e>
        </m:rad>
      </m:oMath>
      <w:r>
        <w:rPr/>
        <w:t xml:space="preserve">  </w:t>
      </w:r>
      <w:r>
        <w:rPr>
          <w:rFonts w:cs="Times New Roman" w:ascii="Times New Roman" w:hAnsi="Times New Roman"/>
          <w:sz w:val="24"/>
          <w:szCs w:val="24"/>
        </w:rPr>
        <w:t>a podle jeho číselné realizace hodnotíme závislost takto:    0 – 0,1  zanedbatelná závislost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         0,1 – 0,3 slabá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         0,3 – 0,7 střední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         0,7 – 1    silná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 minutu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B1: Statistiky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B2: =AVERAGE(A2:A11)    # Průměr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B3: =STDEV.S(A2:A11)    # Směrodatná odchylka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B4: =COUNT(A2:A11)      # Počet měření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B5: =CONFIDENCE.T(0.05,B3,B4)  # Interval spolehlivosti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B6: =(B2-60)/(B3/SQRT(B4))    # T-statistika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B7: =T.DIST.2T(ABS(B6),B4-1)  # P-hodnota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Čtyřpolní kontingenční tabulka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Mají-li obě veličiny X, Y pouze dvě varianty, příslušná kontingenční tabulka se nazývá čtyřpolní.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384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960"/>
        <w:gridCol w:w="960"/>
        <w:gridCol w:w="960"/>
        <w:gridCol w:w="959"/>
      </w:tblGrid>
      <w:tr>
        <w:trPr>
          <w:trHeight w:val="390" w:hRule="atLeast"/>
        </w:trPr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Cs/>
                <w:i/>
                <w:i/>
                <w:i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y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[1]</w:t>
            </w:r>
          </w:p>
        </w:tc>
        <w:tc>
          <w:tcPr>
            <w:tcW w:w="96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y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[2]</w:t>
            </w:r>
          </w:p>
        </w:tc>
        <w:tc>
          <w:tcPr>
            <w:tcW w:w="959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cs-CZ"/>
              </w:rPr>
              <w:t>j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.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x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[1]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eastAsia="cs-CZ"/>
              </w:rPr>
              <w:t>a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4" w:space="0" w:color="000000"/>
              <w:right w:val="doub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eastAsia="cs-CZ"/>
              </w:rPr>
              <w:t>b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a+b</w:t>
            </w:r>
          </w:p>
        </w:tc>
      </w:tr>
      <w:tr>
        <w:trPr>
          <w:trHeight w:val="39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x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[2]</w:t>
            </w:r>
          </w:p>
        </w:tc>
        <w:tc>
          <w:tcPr>
            <w:tcW w:w="960" w:type="dxa"/>
            <w:tcBorders>
              <w:left w:val="single" w:sz="8" w:space="0" w:color="000000"/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eastAsia="cs-CZ"/>
              </w:rPr>
              <w:t>c</w:t>
            </w:r>
          </w:p>
        </w:tc>
        <w:tc>
          <w:tcPr>
            <w:tcW w:w="960" w:type="dxa"/>
            <w:tcBorders>
              <w:bottom w:val="double" w:sz="6" w:space="0" w:color="000000"/>
              <w:right w:val="doub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4"/>
                <w:szCs w:val="24"/>
                <w:lang w:eastAsia="cs-CZ"/>
              </w:rPr>
              <w:t>d</w:t>
            </w:r>
          </w:p>
        </w:tc>
        <w:tc>
          <w:tcPr>
            <w:tcW w:w="959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/>
                <w:i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c+d</w:t>
            </w:r>
          </w:p>
        </w:tc>
      </w:tr>
      <w:tr>
        <w:trPr>
          <w:trHeight w:val="39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vertAlign w:val="subscript"/>
                <w:lang w:eastAsia="cs-CZ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cs-CZ"/>
              </w:rPr>
              <w:t>k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a+c</w:t>
            </w:r>
          </w:p>
        </w:tc>
        <w:tc>
          <w:tcPr>
            <w:tcW w:w="960" w:type="dxa"/>
            <w:tcBorders>
              <w:bottom w:val="single" w:sz="4" w:space="0" w:color="000000"/>
              <w:right w:val="doub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b+d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  <w:i/>
                <w:iCs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cs-CZ"/>
              </w:rPr>
              <w:t>n</w:t>
            </w:r>
          </w:p>
        </w:tc>
      </w:tr>
    </w:tbl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Realizace pivotové statistiky: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r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s</m:t>
                </m:r>
              </m:sup>
              <m:e>
                <m:f>
                  <m:num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  <m:sub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n</m:t>
                                    </m:r>
                                  </m:e>
                                  <m:sub>
                                    <m:r>
                                      <m:rPr>
                                        <m:lit/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.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j</m:t>
                                    </m:r>
                                  </m:sub>
                                </m:sSub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  <m:r>
                                      <m:rPr>
                                        <m:lit/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.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b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.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.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den>
                    </m:f>
                  </m:den>
                </m:f>
              </m:e>
            </m:nary>
          </m:e>
        </m:nary>
      </m:oMath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ad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bc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)</m:t>
            </m:r>
          </m:den>
        </m:f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(kvantily budeme vybírat z 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χ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Times New Roman" w:ascii="Times New Roman" w:hAnsi="Times New Roman"/>
          <w:sz w:val="24"/>
          <w:szCs w:val="24"/>
        </w:rPr>
        <w:t>(1))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Kritický obor je:</w:t>
        <w:tab/>
        <w:t xml:space="preserve">W = </w:t>
      </w:r>
      <w:r>
        <w:rPr/>
      </w:r>
      <m:oMath xmlns:m="http://schemas.openxmlformats.org/officeDocument/2006/math">
        <m:d>
          <m:dPr>
            <m:begChr m:val="⟨"/>
            <m:endChr m:val="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χ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Testování pomocí podílu šancí ve čtyřpolní kontingenční tabulce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 případě, že varianta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[1]</w:t>
      </w:r>
      <w:r>
        <w:rPr>
          <w:rFonts w:cs="Times New Roman" w:ascii="Times New Roman" w:hAnsi="Times New Roman"/>
          <w:sz w:val="24"/>
          <w:szCs w:val="24"/>
        </w:rPr>
        <w:t xml:space="preserve"> představuje „úspěch“, varianta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[2]</w:t>
      </w:r>
      <w:r>
        <w:rPr>
          <w:rFonts w:cs="Times New Roman" w:ascii="Times New Roman" w:hAnsi="Times New Roman"/>
          <w:sz w:val="24"/>
          <w:szCs w:val="24"/>
        </w:rPr>
        <w:t xml:space="preserve"> představuje „neúspěch“</w:t>
        <w:br/>
        <w:t>a varianta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[1]</w:t>
      </w:r>
      <w:r>
        <w:rPr>
          <w:rFonts w:cs="Times New Roman" w:ascii="Times New Roman" w:hAnsi="Times New Roman"/>
          <w:sz w:val="24"/>
          <w:szCs w:val="24"/>
        </w:rPr>
        <w:t xml:space="preserve"> představuje „okolnost 1“, varianta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[2]</w:t>
      </w:r>
      <w:r>
        <w:rPr>
          <w:rFonts w:cs="Times New Roman" w:ascii="Times New Roman" w:hAnsi="Times New Roman"/>
          <w:sz w:val="24"/>
          <w:szCs w:val="24"/>
        </w:rPr>
        <w:t xml:space="preserve"> představuje „okolnost 2“,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pak poměr počtu úspěchů k počtu neúspěchů (tzv. šance) za 1. okolnosti je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poměr počtu úspěchů k počtu neúspěchů za 2. okolnosti je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Times New Roman" w:ascii="Times New Roman" w:hAnsi="Times New Roman"/>
          <w:sz w:val="24"/>
          <w:szCs w:val="24"/>
        </w:rPr>
        <w:t>.</w:t>
        <w:br/>
        <w:t xml:space="preserve">Výběrový podíl šancí („odds ratio“) je pak OR = </w:t>
      </w:r>
      <w:r>
        <w:rPr/>
      </w:r>
      <m:oMath xmlns:m="http://schemas.openxmlformats.org/officeDocument/2006/math">
        <m:f>
          <m:num>
            <m:f>
              <m:num>
                <m:r>
                  <w:rPr>
                    <w:rFonts w:ascii="Cambria Math" w:hAnsi="Cambria Math"/>
                  </w:rPr>
                  <m:t xml:space="preserve">a</m:t>
                </m:r>
              </m:num>
              <m:den>
                <m:r>
                  <w:rPr>
                    <w:rFonts w:ascii="Cambria Math" w:hAnsi="Cambria Math"/>
                  </w:rPr>
                  <m:t xml:space="preserve">c</m:t>
                </m:r>
              </m:den>
            </m:f>
          </m:num>
          <m:den>
            <m:f>
              <m:num>
                <m:r>
                  <w:rPr>
                    <w:rFonts w:ascii="Cambria Math" w:hAnsi="Cambria Math"/>
                  </w:rPr>
                  <m:t xml:space="preserve">b</m:t>
                </m:r>
              </m:num>
              <m:den>
                <m:r>
                  <w:rPr>
                    <w:rFonts w:ascii="Cambria Math" w:hAnsi="Cambria Math"/>
                  </w:rPr>
                  <m:t xml:space="preserve">d</m:t>
                </m:r>
              </m:den>
            </m:f>
          </m:den>
        </m:f>
      </m:oMath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ad</m:t>
            </m:r>
          </m:num>
          <m:den>
            <m:r>
              <w:rPr>
                <w:rFonts w:ascii="Cambria Math" w:hAnsi="Cambria Math"/>
              </w:rPr>
              <m:t xml:space="preserve">bc</m:t>
            </m:r>
          </m:den>
        </m:f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Jsou-li veličiny nezávislé, pak teoretický podíl šancí je 1, Čím více se výběrový OR bude lišit od 1, tím bude závislost veličin silnější. Protože ale teoretický podíl šancí je z intervalu </w:t>
      </w:r>
      <w:r>
        <w:rPr>
          <w:rFonts w:eastAsia="Mathematica1" w:cs="Mathematica1" w:ascii="Mathematica1" w:hAnsi="Mathematica1"/>
          <w:sz w:val="24"/>
          <w:szCs w:val="24"/>
        </w:rPr>
        <w:sym w:font="Mathematica1" w:char="f0e1"/>
      </w:r>
      <w:r>
        <w:rPr>
          <w:rFonts w:cs="Times New Roman" w:ascii="Times New Roman" w:hAnsi="Times New Roman"/>
          <w:sz w:val="24"/>
          <w:szCs w:val="24"/>
        </w:rPr>
        <w:t xml:space="preserve">0, </w:t>
      </w:r>
      <w:r>
        <w:rPr>
          <w:rFonts w:eastAsia="Mathematica1" w:cs="Mathematica1" w:ascii="Mathematica1" w:hAnsi="Mathematica1"/>
          <w:sz w:val="24"/>
          <w:szCs w:val="24"/>
        </w:rPr>
        <w:sym w:font="Mathematica1" w:char="f0a5"/>
      </w:r>
      <w:r>
        <w:rPr>
          <w:rFonts w:cs="Times New Roman" w:ascii="Times New Roman" w:hAnsi="Times New Roman"/>
          <w:sz w:val="24"/>
          <w:szCs w:val="24"/>
        </w:rPr>
        <w:t>) – tedy hodnoty jsou kolem 1 rozmístěny nesymetricky – používá se logaritmus: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Realizace pivotové statistiky: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⁡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ad>
              <m:radPr>
                <m:degHide m:val="1"/>
              </m:radPr>
              <m:deg/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b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d</m:t>
                    </m:r>
                  </m:den>
                </m:f>
              </m:e>
            </m:rad>
          </m:den>
        </m:f>
      </m:oMath>
      <w:r>
        <w:rPr/>
        <w:tab/>
        <w:tab/>
      </w:r>
      <w:r>
        <w:rPr>
          <w:rFonts w:cs="Times New Roman" w:ascii="Times New Roman" w:hAnsi="Times New Roman"/>
          <w:sz w:val="24"/>
          <w:szCs w:val="24"/>
        </w:rPr>
        <w:t>(kvantily budeme vybírat z N(0,1))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Kritický obor je:</w:t>
        <w:tab/>
        <w:t xml:space="preserve">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kapalina do ostřikovačů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C1: Statistiky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C2: =AVERAGE(A2:A9)     # Průměr Výrobce 1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C3: =AVERAGE(B2:B9)     # Průměr Výrobce 2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C4: =VAR.S(A2:A9)       # Rozptyl Výrobce 1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C5: =VAR.S(B2:B9)       # Rozptyl Výrobce 2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C6: =F.TEST(A2:A9,B2:B9)# F-test pro rozptyly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C7: =T.TEST(A2:A9,B2:B9,2,2) # T-test pro střední hodnoty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Testování pomocí Spearmanova koeficientu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Pro náhodné veličiny </w:t>
      </w:r>
      <w:r>
        <w:rPr>
          <w:rFonts w:cs="Times New Roman" w:ascii="Times New Roman" w:hAnsi="Times New Roman"/>
          <w:sz w:val="24"/>
          <w:szCs w:val="24"/>
          <w:u w:val="single"/>
        </w:rPr>
        <w:t>ordinálního</w:t>
      </w:r>
      <w:r>
        <w:rPr>
          <w:rFonts w:cs="Times New Roman" w:ascii="Times New Roman" w:hAnsi="Times New Roman"/>
          <w:sz w:val="24"/>
          <w:szCs w:val="24"/>
        </w:rPr>
        <w:t xml:space="preserve"> typu lze použít testování nezávislosti pomocí Spearmanova korelačního koeficientu (viz. předchozí kapitola).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FreeSans"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Mathematica1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" w:asciiTheme="minorHAnsi" w:cstheme="minorBid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iPriority="0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MS Mincho" w:cs="" w:asciiTheme="minorHAnsi" w:cstheme="minorBid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67182"/>
    <w:rPr>
      <w:color w:val="808080"/>
    </w:rPr>
  </w:style>
  <w:style w:type="character" w:styleId="Hyperlink">
    <w:name w:val="Hyperlink"/>
    <w:basedOn w:val="DefaultParagraphFont"/>
    <w:unhideWhenUsed/>
    <w:rsid w:val="00b12c7c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b12c7c"/>
    <w:rPr>
      <w:sz w:val="28"/>
      <w:szCs w:val="28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ea4eed"/>
    <w:rPr>
      <w:rFonts w:ascii="Tahoma" w:hAnsi="Tahoma" w:eastAsia="" w:cs="Tahoma" w:eastAsiaTheme="minorEastAsia"/>
      <w:sz w:val="16"/>
      <w:szCs w:val="16"/>
      <w:lang w:eastAsia="zh-TW" w:bidi="he-IL"/>
    </w:rPr>
  </w:style>
  <w:style w:type="character" w:styleId="HTMLCite">
    <w:name w:val="HTML Cite"/>
    <w:basedOn w:val="DefaultParagraphFont"/>
    <w:qFormat/>
    <w:rsid w:val="00ea4eed"/>
    <w:rPr>
      <w:i/>
      <w:iCs/>
    </w:rPr>
  </w:style>
  <w:style w:type="character" w:styleId="RozloendokumentuChar" w:customStyle="1">
    <w:name w:val="Rozložení dokumentu Char"/>
    <w:basedOn w:val="DefaultParagraphFont"/>
    <w:link w:val="DocumentMap"/>
    <w:uiPriority w:val="99"/>
    <w:semiHidden/>
    <w:qFormat/>
    <w:rsid w:val="00ea4eed"/>
    <w:rPr>
      <w:rFonts w:ascii="Tahoma" w:hAnsi="Tahoma" w:eastAsia="" w:cs="Tahoma" w:eastAsiaTheme="minorEastAsia"/>
      <w:sz w:val="16"/>
      <w:szCs w:val="16"/>
      <w:lang w:eastAsia="zh-TW" w:bidi="he-IL"/>
    </w:rPr>
  </w:style>
  <w:style w:type="character" w:styleId="TextpoznpodarouChar" w:customStyle="1">
    <w:name w:val="Text pozn. pod čarou Char"/>
    <w:basedOn w:val="DefaultParagraphFont"/>
    <w:link w:val="FootnoteText"/>
    <w:uiPriority w:val="99"/>
    <w:semiHidden/>
    <w:qFormat/>
    <w:rsid w:val="00ea4eed"/>
    <w:rPr>
      <w:rFonts w:eastAsia="" w:eastAsiaTheme="minorEastAsia"/>
      <w:sz w:val="20"/>
      <w:szCs w:val="20"/>
      <w:lang w:eastAsia="zh-TW" w:bidi="he-IL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a4ee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DatumChar" w:customStyle="1">
    <w:name w:val="Datum Char"/>
    <w:basedOn w:val="DefaultParagraphFont"/>
    <w:link w:val="Date"/>
    <w:uiPriority w:val="99"/>
    <w:semiHidden/>
    <w:qFormat/>
    <w:rsid w:val="00ea4eed"/>
    <w:rPr>
      <w:rFonts w:eastAsia="" w:eastAsiaTheme="minorEastAsia"/>
      <w:lang w:eastAsia="zh-TW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851908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67182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12c7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ea4eed"/>
    <w:pPr>
      <w:spacing w:lineRule="auto" w:line="240" w:before="0" w:after="0"/>
    </w:pPr>
    <w:rPr>
      <w:rFonts w:ascii="Tahoma" w:hAnsi="Tahoma" w:eastAsia="" w:cs="Tahoma" w:eastAsiaTheme="minorEastAsia"/>
      <w:sz w:val="16"/>
      <w:szCs w:val="16"/>
      <w:lang w:eastAsia="zh-TW" w:bidi="he-IL"/>
    </w:rPr>
  </w:style>
  <w:style w:type="paragraph" w:styleId="DocumentMap">
    <w:name w:val="Document Map"/>
    <w:basedOn w:val="Normal"/>
    <w:link w:val="RozloendokumentuChar"/>
    <w:uiPriority w:val="99"/>
    <w:semiHidden/>
    <w:unhideWhenUsed/>
    <w:qFormat/>
    <w:rsid w:val="00ea4eed"/>
    <w:pPr>
      <w:spacing w:lineRule="auto" w:line="240" w:before="0" w:after="0"/>
    </w:pPr>
    <w:rPr>
      <w:rFonts w:ascii="Tahoma" w:hAnsi="Tahoma" w:eastAsia="" w:cs="Tahoma" w:eastAsiaTheme="minorEastAsia"/>
      <w:sz w:val="16"/>
      <w:szCs w:val="16"/>
      <w:lang w:eastAsia="zh-TW" w:bidi="he-IL"/>
    </w:rPr>
  </w:style>
  <w:style w:type="paragraph" w:styleId="FootnoteText">
    <w:name w:val="footnote text"/>
    <w:basedOn w:val="Normal"/>
    <w:link w:val="TextpoznpodarouChar"/>
    <w:uiPriority w:val="99"/>
    <w:semiHidden/>
    <w:unhideWhenUsed/>
    <w:rsid w:val="00ea4eed"/>
    <w:pPr>
      <w:spacing w:lineRule="auto" w:line="240" w:before="0" w:after="0"/>
    </w:pPr>
    <w:rPr>
      <w:rFonts w:eastAsia="" w:eastAsiaTheme="minorEastAsia"/>
      <w:sz w:val="20"/>
      <w:szCs w:val="20"/>
      <w:lang w:eastAsia="zh-TW" w:bidi="he-IL"/>
    </w:rPr>
  </w:style>
  <w:style w:type="paragraph" w:styleId="Date">
    <w:name w:val="Date"/>
    <w:basedOn w:val="Normal"/>
    <w:next w:val="Normal"/>
    <w:link w:val="DatumChar"/>
    <w:uiPriority w:val="99"/>
    <w:semiHidden/>
    <w:unhideWhenUsed/>
    <w:qFormat/>
    <w:rsid w:val="00ea4eed"/>
    <w:pPr>
      <w:spacing w:lineRule="auto" w:line="276" w:before="0" w:after="200"/>
    </w:pPr>
    <w:rPr>
      <w:rFonts w:eastAsia="" w:eastAsiaTheme="minorEastAsia"/>
      <w:lang w:eastAsia="zh-TW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rsid w:val="00ea4eed"/>
    <w:pPr>
      <w:spacing w:after="0" w:line="240" w:lineRule="auto"/>
    </w:pPr>
    <w:rPr>
      <w:rFonts w:eastAsiaTheme="minorEastAsia"/>
      <w:lang w:eastAsia="zh-TW" w:bidi="he-IL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Kancelář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LibreOffice/24.8.4.2$Linux_X86_64 LibreOffice_project/480$Build-2</Application>
  <AppVersion>15.0000</AppVersion>
  <Pages>3</Pages>
  <Words>584</Words>
  <Characters>3322</Characters>
  <CharactersWithSpaces>3951</CharactersWithSpaces>
  <Paragraphs>99</Paragraphs>
  <Company>UTB,FAI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2020-09-07T13:08:00Z</dcterms:created>
  <dc:creator>Martin Fajkus</dc:creator>
  <dc:description/>
  <dc:language>en-US</dc:language>
  <cp:lastModifiedBy/>
  <cp:lastPrinted>2016-11-18T09:32:00Z</cp:lastPrinted>
  <dcterms:modified xsi:type="dcterms:W3CDTF">2025-01-21T08:32:31Z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