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267044" w14:textId="77777777" w:rsidR="007424CD" w:rsidRDefault="007424CD" w:rsidP="007424CD"/>
    <w:tbl>
      <w:tblPr>
        <w:tblW w:w="903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600" w:firstRow="0" w:lastRow="0" w:firstColumn="0" w:lastColumn="0" w:noHBand="1" w:noVBand="1"/>
      </w:tblPr>
      <w:tblGrid>
        <w:gridCol w:w="1234"/>
        <w:gridCol w:w="709"/>
        <w:gridCol w:w="992"/>
        <w:gridCol w:w="993"/>
        <w:gridCol w:w="992"/>
        <w:gridCol w:w="992"/>
        <w:gridCol w:w="992"/>
        <w:gridCol w:w="993"/>
        <w:gridCol w:w="1134"/>
      </w:tblGrid>
      <w:tr w:rsidR="001031D9" w14:paraId="4020289C" w14:textId="77777777" w:rsidTr="001031D9">
        <w:trPr>
          <w:trHeight w:val="252"/>
        </w:trPr>
        <w:tc>
          <w:tcPr>
            <w:tcW w:w="1234" w:type="dxa"/>
            <w:vMerge w:val="restart"/>
            <w:tcBorders>
              <w:top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DDF69" w14:textId="77777777" w:rsidR="001031D9" w:rsidRPr="00F77862" w:rsidRDefault="001031D9" w:rsidP="001031D9">
            <w:pPr>
              <w:pStyle w:val="normal0"/>
              <w:spacing w:before="220" w:after="0" w:line="240" w:lineRule="auto"/>
              <w:contextualSpacing/>
              <w:jc w:val="both"/>
              <w:outlineLvl w:val="4"/>
              <w:rPr>
                <w:sz w:val="18"/>
                <w:szCs w:val="18"/>
              </w:rPr>
            </w:pPr>
            <w:r w:rsidRPr="00F77862">
              <w:rPr>
                <w:sz w:val="18"/>
                <w:szCs w:val="18"/>
              </w:rPr>
              <w:t>Pipeline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0789D" w14:textId="77777777" w:rsidR="001031D9" w:rsidRPr="00F77862" w:rsidRDefault="001031D9" w:rsidP="001031D9">
            <w:pPr>
              <w:pStyle w:val="normal0"/>
              <w:spacing w:before="220" w:after="0" w:line="240" w:lineRule="auto"/>
              <w:contextualSpacing/>
              <w:jc w:val="center"/>
              <w:outlineLvl w:val="4"/>
              <w:rPr>
                <w:sz w:val="18"/>
                <w:szCs w:val="18"/>
              </w:rPr>
            </w:pPr>
            <w:r w:rsidRPr="00F77862">
              <w:rPr>
                <w:sz w:val="18"/>
                <w:szCs w:val="18"/>
              </w:rPr>
              <w:t>Tasks</w:t>
            </w:r>
          </w:p>
        </w:tc>
        <w:tc>
          <w:tcPr>
            <w:tcW w:w="1985" w:type="dxa"/>
            <w:gridSpan w:val="2"/>
            <w:tcBorders>
              <w:top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00516" w14:textId="77777777" w:rsidR="001031D9" w:rsidRPr="00F77862" w:rsidRDefault="001031D9" w:rsidP="001031D9">
            <w:pPr>
              <w:pStyle w:val="normal0"/>
              <w:spacing w:before="220" w:after="0" w:line="240" w:lineRule="auto"/>
              <w:contextualSpacing/>
              <w:jc w:val="center"/>
              <w:outlineLvl w:val="4"/>
              <w:rPr>
                <w:sz w:val="18"/>
                <w:szCs w:val="18"/>
              </w:rPr>
            </w:pPr>
            <w:r w:rsidRPr="00F77862">
              <w:rPr>
                <w:sz w:val="18"/>
                <w:szCs w:val="18"/>
              </w:rPr>
              <w:t>Mean task time</w:t>
            </w:r>
          </w:p>
        </w:tc>
        <w:tc>
          <w:tcPr>
            <w:tcW w:w="1984" w:type="dxa"/>
            <w:gridSpan w:val="2"/>
            <w:tcBorders>
              <w:top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005F7" w14:textId="77777777" w:rsidR="001031D9" w:rsidRPr="00F77862" w:rsidRDefault="001031D9" w:rsidP="001031D9">
            <w:pPr>
              <w:pStyle w:val="normal0"/>
              <w:spacing w:before="220" w:after="0" w:line="240" w:lineRule="auto"/>
              <w:contextualSpacing/>
              <w:jc w:val="center"/>
              <w:outlineLvl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  <w:r w:rsidRPr="00F77862">
              <w:rPr>
                <w:sz w:val="18"/>
                <w:szCs w:val="18"/>
              </w:rPr>
              <w:t xml:space="preserve"> execution time </w:t>
            </w:r>
          </w:p>
        </w:tc>
        <w:tc>
          <w:tcPr>
            <w:tcW w:w="1985" w:type="dxa"/>
            <w:gridSpan w:val="2"/>
            <w:tcBorders>
              <w:top w:val="single" w:sz="12" w:space="0" w:color="auto"/>
            </w:tcBorders>
          </w:tcPr>
          <w:p w14:paraId="0681C101" w14:textId="77777777" w:rsidR="001031D9" w:rsidRPr="00C0453A" w:rsidRDefault="001031D9" w:rsidP="001031D9">
            <w:pPr>
              <w:pStyle w:val="normal0"/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 xml:space="preserve">Execution time </w:t>
            </w:r>
            <w:r>
              <w:rPr>
                <w:sz w:val="18"/>
                <w:szCs w:val="18"/>
              </w:rPr>
              <w:br/>
              <w:t>std. deviation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608E6" w14:textId="0433625C" w:rsidR="001031D9" w:rsidRPr="00F77862" w:rsidRDefault="0094181F" w:rsidP="001031D9">
            <w:pPr>
              <w:pStyle w:val="normal0"/>
              <w:spacing w:before="220" w:after="0" w:line="240" w:lineRule="auto"/>
              <w:contextualSpacing/>
              <w:jc w:val="center"/>
              <w:outlineLvl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Slow</w:t>
            </w:r>
            <w:r w:rsidR="001031D9" w:rsidRPr="00F77862">
              <w:rPr>
                <w:sz w:val="18"/>
                <w:szCs w:val="18"/>
              </w:rPr>
              <w:t>down</w:t>
            </w:r>
          </w:p>
        </w:tc>
      </w:tr>
      <w:tr w:rsidR="001031D9" w14:paraId="0966ED2A" w14:textId="77777777" w:rsidTr="001031D9">
        <w:trPr>
          <w:trHeight w:val="85"/>
        </w:trPr>
        <w:tc>
          <w:tcPr>
            <w:tcW w:w="1234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2C655" w14:textId="77777777" w:rsidR="001031D9" w:rsidRPr="00832144" w:rsidRDefault="001031D9" w:rsidP="001031D9">
            <w:pPr>
              <w:pStyle w:val="normal0"/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70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F86AA" w14:textId="77777777" w:rsidR="001031D9" w:rsidRPr="00832144" w:rsidRDefault="001031D9" w:rsidP="001031D9">
            <w:pPr>
              <w:pStyle w:val="normal0"/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E1527" w14:textId="77777777" w:rsidR="001031D9" w:rsidRPr="00F77862" w:rsidRDefault="001031D9" w:rsidP="001031D9">
            <w:pPr>
              <w:pStyle w:val="normal0"/>
              <w:spacing w:before="220" w:after="0" w:line="240" w:lineRule="auto"/>
              <w:contextualSpacing/>
              <w:jc w:val="center"/>
              <w:outlineLvl w:val="4"/>
              <w:rPr>
                <w:sz w:val="18"/>
                <w:szCs w:val="18"/>
              </w:rPr>
            </w:pPr>
            <w:proofErr w:type="gramStart"/>
            <w:r w:rsidRPr="00832144">
              <w:rPr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E5A7F" w14:textId="77777777" w:rsidR="001031D9" w:rsidRPr="00F77862" w:rsidRDefault="001031D9" w:rsidP="001031D9">
            <w:pPr>
              <w:pStyle w:val="normal0"/>
              <w:spacing w:before="220" w:after="0" w:line="240" w:lineRule="auto"/>
              <w:contextualSpacing/>
              <w:jc w:val="center"/>
              <w:outlineLvl w:val="4"/>
              <w:rPr>
                <w:sz w:val="18"/>
                <w:szCs w:val="18"/>
              </w:rPr>
            </w:pPr>
            <w:proofErr w:type="spellStart"/>
            <w:proofErr w:type="gramStart"/>
            <w:r w:rsidRPr="00F77862">
              <w:rPr>
                <w:sz w:val="18"/>
                <w:szCs w:val="18"/>
              </w:rPr>
              <w:t>docker</w:t>
            </w:r>
            <w:proofErr w:type="spellEnd"/>
            <w:proofErr w:type="gramEnd"/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2B88B" w14:textId="77777777" w:rsidR="001031D9" w:rsidRPr="00F77862" w:rsidRDefault="001031D9" w:rsidP="001031D9">
            <w:pPr>
              <w:pStyle w:val="normal0"/>
              <w:spacing w:before="220" w:after="0" w:line="240" w:lineRule="auto"/>
              <w:contextualSpacing/>
              <w:jc w:val="center"/>
              <w:outlineLvl w:val="4"/>
              <w:rPr>
                <w:sz w:val="18"/>
                <w:szCs w:val="18"/>
              </w:rPr>
            </w:pPr>
            <w:proofErr w:type="gramStart"/>
            <w:r w:rsidRPr="00F77862">
              <w:rPr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E7075" w14:textId="77777777" w:rsidR="001031D9" w:rsidRPr="00F77862" w:rsidRDefault="001031D9" w:rsidP="001031D9">
            <w:pPr>
              <w:pStyle w:val="normal0"/>
              <w:spacing w:before="220" w:after="0" w:line="240" w:lineRule="auto"/>
              <w:contextualSpacing/>
              <w:jc w:val="center"/>
              <w:outlineLvl w:val="4"/>
              <w:rPr>
                <w:sz w:val="18"/>
                <w:szCs w:val="18"/>
              </w:rPr>
            </w:pPr>
            <w:proofErr w:type="spellStart"/>
            <w:proofErr w:type="gramStart"/>
            <w:r w:rsidRPr="00F77862">
              <w:rPr>
                <w:sz w:val="18"/>
                <w:szCs w:val="18"/>
              </w:rPr>
              <w:t>docker</w:t>
            </w:r>
            <w:proofErr w:type="spellEnd"/>
            <w:proofErr w:type="gramEnd"/>
          </w:p>
        </w:tc>
        <w:tc>
          <w:tcPr>
            <w:tcW w:w="992" w:type="dxa"/>
          </w:tcPr>
          <w:p w14:paraId="2E5D08AE" w14:textId="77777777" w:rsidR="001031D9" w:rsidRPr="00F77862" w:rsidRDefault="001031D9" w:rsidP="001031D9">
            <w:pPr>
              <w:pStyle w:val="normal0"/>
              <w:spacing w:after="0" w:line="240" w:lineRule="auto"/>
              <w:jc w:val="center"/>
              <w:rPr>
                <w:sz w:val="18"/>
                <w:szCs w:val="18"/>
              </w:rPr>
            </w:pPr>
            <w:proofErr w:type="gramStart"/>
            <w:r w:rsidRPr="00F77862">
              <w:rPr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993" w:type="dxa"/>
          </w:tcPr>
          <w:p w14:paraId="4222BC53" w14:textId="77777777" w:rsidR="001031D9" w:rsidRPr="00F77862" w:rsidRDefault="001031D9" w:rsidP="001031D9">
            <w:pPr>
              <w:pStyle w:val="normal0"/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F77862">
              <w:rPr>
                <w:sz w:val="18"/>
                <w:szCs w:val="18"/>
              </w:rPr>
              <w:t>docker</w:t>
            </w:r>
            <w:proofErr w:type="spellEnd"/>
            <w:proofErr w:type="gramEnd"/>
          </w:p>
        </w:tc>
        <w:tc>
          <w:tcPr>
            <w:tcW w:w="1134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F9012" w14:textId="77777777" w:rsidR="001031D9" w:rsidRPr="00F77862" w:rsidRDefault="001031D9" w:rsidP="001031D9">
            <w:pPr>
              <w:pStyle w:val="normal0"/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1031D9" w14:paraId="20EFE5E8" w14:textId="77777777" w:rsidTr="001031D9">
        <w:tc>
          <w:tcPr>
            <w:tcW w:w="1234" w:type="dxa"/>
            <w:tcBorders>
              <w:top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529F1" w14:textId="77777777" w:rsidR="001031D9" w:rsidRPr="00F77862" w:rsidRDefault="001031D9" w:rsidP="001031D9">
            <w:pPr>
              <w:pStyle w:val="normal0"/>
              <w:spacing w:before="220" w:after="0" w:line="240" w:lineRule="auto"/>
              <w:contextualSpacing/>
              <w:jc w:val="both"/>
              <w:outlineLvl w:val="4"/>
              <w:rPr>
                <w:sz w:val="18"/>
                <w:szCs w:val="18"/>
              </w:rPr>
            </w:pPr>
            <w:r w:rsidRPr="00F77862">
              <w:rPr>
                <w:sz w:val="18"/>
                <w:szCs w:val="18"/>
              </w:rPr>
              <w:t>RNA-</w:t>
            </w:r>
            <w:proofErr w:type="spellStart"/>
            <w:r w:rsidRPr="00F77862">
              <w:rPr>
                <w:sz w:val="18"/>
                <w:szCs w:val="18"/>
              </w:rPr>
              <w:t>Seq</w:t>
            </w:r>
            <w:proofErr w:type="spellEnd"/>
          </w:p>
        </w:tc>
        <w:tc>
          <w:tcPr>
            <w:tcW w:w="709" w:type="dxa"/>
            <w:tcBorders>
              <w:top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6D98A" w14:textId="77777777" w:rsidR="001031D9" w:rsidRPr="00F77862" w:rsidRDefault="001031D9" w:rsidP="001031D9">
            <w:pPr>
              <w:pStyle w:val="normal0"/>
              <w:spacing w:before="220" w:after="0" w:line="240" w:lineRule="auto"/>
              <w:contextualSpacing/>
              <w:jc w:val="right"/>
              <w:outlineLvl w:val="4"/>
              <w:rPr>
                <w:sz w:val="18"/>
                <w:szCs w:val="18"/>
              </w:rPr>
            </w:pPr>
            <w:r w:rsidRPr="00F77862">
              <w:rPr>
                <w:sz w:val="18"/>
                <w:szCs w:val="18"/>
              </w:rPr>
              <w:t>9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7EE9" w14:textId="77777777" w:rsidR="001031D9" w:rsidRPr="00F77862" w:rsidRDefault="001031D9" w:rsidP="001031D9">
            <w:pPr>
              <w:pStyle w:val="normal0"/>
              <w:spacing w:before="220" w:after="0" w:line="240" w:lineRule="auto"/>
              <w:contextualSpacing/>
              <w:jc w:val="right"/>
              <w:outlineLvl w:val="4"/>
              <w:rPr>
                <w:sz w:val="18"/>
                <w:szCs w:val="18"/>
              </w:rPr>
            </w:pPr>
            <w:r w:rsidRPr="00F77862">
              <w:rPr>
                <w:sz w:val="18"/>
                <w:szCs w:val="18"/>
              </w:rPr>
              <w:t>128.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5B38B" w14:textId="77777777" w:rsidR="001031D9" w:rsidRPr="00F77862" w:rsidRDefault="001031D9" w:rsidP="001031D9">
            <w:pPr>
              <w:pStyle w:val="normal0"/>
              <w:spacing w:before="220" w:after="0" w:line="240" w:lineRule="auto"/>
              <w:contextualSpacing/>
              <w:jc w:val="right"/>
              <w:outlineLvl w:val="4"/>
              <w:rPr>
                <w:sz w:val="18"/>
                <w:szCs w:val="18"/>
              </w:rPr>
            </w:pPr>
            <w:r w:rsidRPr="00F77862">
              <w:rPr>
                <w:sz w:val="18"/>
                <w:szCs w:val="18"/>
              </w:rPr>
              <w:t>128.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5C1EC" w14:textId="77777777" w:rsidR="001031D9" w:rsidRPr="00F77862" w:rsidRDefault="001031D9" w:rsidP="001031D9">
            <w:pPr>
              <w:pStyle w:val="normal0"/>
              <w:spacing w:before="220" w:after="0" w:line="240" w:lineRule="auto"/>
              <w:contextualSpacing/>
              <w:jc w:val="right"/>
              <w:outlineLvl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1,156</w:t>
            </w:r>
            <w:r w:rsidRPr="00F77862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9 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D6030" w14:textId="77777777" w:rsidR="001031D9" w:rsidRPr="00F77862" w:rsidRDefault="001031D9" w:rsidP="001031D9">
            <w:pPr>
              <w:pStyle w:val="normal0"/>
              <w:spacing w:before="220" w:after="0" w:line="240" w:lineRule="auto"/>
              <w:contextualSpacing/>
              <w:jc w:val="right"/>
              <w:outlineLvl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1,158</w:t>
            </w:r>
            <w:r w:rsidRPr="00F77862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32DFE908" w14:textId="77777777" w:rsidR="001031D9" w:rsidRPr="00F77862" w:rsidRDefault="001031D9" w:rsidP="001031D9">
            <w:pPr>
              <w:pStyle w:val="normal0"/>
              <w:spacing w:before="220" w:after="0" w:line="240" w:lineRule="auto"/>
              <w:contextualSpacing/>
              <w:jc w:val="right"/>
              <w:outlineLvl w:val="4"/>
              <w:rPr>
                <w:sz w:val="18"/>
                <w:szCs w:val="18"/>
              </w:rPr>
            </w:pPr>
            <w:r w:rsidRPr="00F77862">
              <w:rPr>
                <w:sz w:val="18"/>
                <w:szCs w:val="18"/>
              </w:rPr>
              <w:t>13.5</w:t>
            </w:r>
          </w:p>
        </w:tc>
        <w:tc>
          <w:tcPr>
            <w:tcW w:w="993" w:type="dxa"/>
            <w:tcBorders>
              <w:top w:val="single" w:sz="12" w:space="0" w:color="auto"/>
            </w:tcBorders>
          </w:tcPr>
          <w:p w14:paraId="52FB9858" w14:textId="77777777" w:rsidR="001031D9" w:rsidRPr="00F77862" w:rsidRDefault="001031D9" w:rsidP="001031D9">
            <w:pPr>
              <w:pStyle w:val="normal0"/>
              <w:spacing w:after="0" w:line="240" w:lineRule="auto"/>
              <w:jc w:val="right"/>
              <w:rPr>
                <w:sz w:val="18"/>
                <w:szCs w:val="18"/>
              </w:rPr>
            </w:pPr>
            <w:r w:rsidRPr="00F77862">
              <w:rPr>
                <w:sz w:val="18"/>
                <w:szCs w:val="18"/>
              </w:rPr>
              <w:t>6.7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049E7" w14:textId="77777777" w:rsidR="001031D9" w:rsidRPr="00F77862" w:rsidRDefault="001031D9" w:rsidP="001031D9">
            <w:pPr>
              <w:pStyle w:val="normal0"/>
              <w:spacing w:before="220" w:after="0" w:line="240" w:lineRule="auto"/>
              <w:contextualSpacing/>
              <w:jc w:val="right"/>
              <w:outlineLvl w:val="4"/>
              <w:rPr>
                <w:sz w:val="18"/>
                <w:szCs w:val="18"/>
              </w:rPr>
            </w:pPr>
            <w:bookmarkStart w:id="0" w:name="_GoBack"/>
            <w:bookmarkEnd w:id="0"/>
            <w:r>
              <w:rPr>
                <w:b/>
                <w:sz w:val="18"/>
                <w:szCs w:val="18"/>
              </w:rPr>
              <w:t>1</w:t>
            </w:r>
            <w:r w:rsidRPr="00F77862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001</w:t>
            </w:r>
          </w:p>
        </w:tc>
      </w:tr>
      <w:tr w:rsidR="001031D9" w14:paraId="49CD976C" w14:textId="77777777" w:rsidTr="001031D9">
        <w:tc>
          <w:tcPr>
            <w:tcW w:w="12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3B798" w14:textId="77777777" w:rsidR="001031D9" w:rsidRPr="00F77862" w:rsidRDefault="001031D9" w:rsidP="001031D9">
            <w:pPr>
              <w:pStyle w:val="normal0"/>
              <w:spacing w:before="220" w:after="0" w:line="240" w:lineRule="auto"/>
              <w:contextualSpacing/>
              <w:jc w:val="both"/>
              <w:outlineLvl w:val="4"/>
              <w:rPr>
                <w:sz w:val="18"/>
                <w:szCs w:val="18"/>
              </w:rPr>
            </w:pPr>
            <w:r w:rsidRPr="00F77862">
              <w:rPr>
                <w:sz w:val="18"/>
                <w:szCs w:val="18"/>
              </w:rPr>
              <w:t xml:space="preserve">Variant call. </w:t>
            </w:r>
          </w:p>
        </w:tc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7128A" w14:textId="77777777" w:rsidR="001031D9" w:rsidRPr="00F77862" w:rsidRDefault="001031D9" w:rsidP="001031D9">
            <w:pPr>
              <w:pStyle w:val="normal0"/>
              <w:spacing w:before="220" w:after="0" w:line="240" w:lineRule="auto"/>
              <w:contextualSpacing/>
              <w:jc w:val="right"/>
              <w:outlineLvl w:val="4"/>
              <w:rPr>
                <w:sz w:val="18"/>
                <w:szCs w:val="18"/>
              </w:rPr>
            </w:pPr>
            <w:r w:rsidRPr="00F77862">
              <w:rPr>
                <w:sz w:val="18"/>
                <w:szCs w:val="18"/>
              </w:rPr>
              <w:t>48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F2D8B" w14:textId="77777777" w:rsidR="001031D9" w:rsidRPr="00F77862" w:rsidRDefault="001031D9" w:rsidP="001031D9">
            <w:pPr>
              <w:pStyle w:val="normal0"/>
              <w:spacing w:before="220" w:after="0" w:line="240" w:lineRule="auto"/>
              <w:contextualSpacing/>
              <w:jc w:val="right"/>
              <w:outlineLvl w:val="4"/>
              <w:rPr>
                <w:sz w:val="18"/>
                <w:szCs w:val="18"/>
              </w:rPr>
            </w:pPr>
            <w:r w:rsidRPr="00F77862">
              <w:rPr>
                <w:sz w:val="18"/>
                <w:szCs w:val="18"/>
              </w:rPr>
              <w:t>26.1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31F89" w14:textId="77777777" w:rsidR="001031D9" w:rsidRPr="00F77862" w:rsidRDefault="001031D9" w:rsidP="001031D9">
            <w:pPr>
              <w:pStyle w:val="normal0"/>
              <w:spacing w:before="220" w:after="0" w:line="240" w:lineRule="auto"/>
              <w:contextualSpacing/>
              <w:jc w:val="right"/>
              <w:outlineLvl w:val="4"/>
              <w:rPr>
                <w:sz w:val="18"/>
                <w:szCs w:val="18"/>
              </w:rPr>
            </w:pPr>
            <w:r w:rsidRPr="00F77862">
              <w:rPr>
                <w:sz w:val="18"/>
                <w:szCs w:val="18"/>
              </w:rPr>
              <w:t>26.7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DB64A" w14:textId="77777777" w:rsidR="001031D9" w:rsidRPr="00F77862" w:rsidRDefault="00663ABD" w:rsidP="001031D9">
            <w:pPr>
              <w:pStyle w:val="normal0"/>
              <w:spacing w:before="220" w:after="0" w:line="240" w:lineRule="auto"/>
              <w:contextualSpacing/>
              <w:jc w:val="right"/>
              <w:outlineLvl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1,254.0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727D3" w14:textId="77777777" w:rsidR="001031D9" w:rsidRPr="00F77862" w:rsidRDefault="00663ABD" w:rsidP="001031D9">
            <w:pPr>
              <w:pStyle w:val="normal0"/>
              <w:spacing w:before="220" w:after="0" w:line="240" w:lineRule="auto"/>
              <w:contextualSpacing/>
              <w:jc w:val="right"/>
              <w:outlineLvl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1,283.8</w:t>
            </w:r>
          </w:p>
        </w:tc>
        <w:tc>
          <w:tcPr>
            <w:tcW w:w="992" w:type="dxa"/>
          </w:tcPr>
          <w:p w14:paraId="7E7F958D" w14:textId="77777777" w:rsidR="001031D9" w:rsidRPr="00F77862" w:rsidRDefault="001031D9" w:rsidP="001031D9">
            <w:pPr>
              <w:pStyle w:val="normal0"/>
              <w:spacing w:before="220" w:after="0" w:line="240" w:lineRule="auto"/>
              <w:contextualSpacing/>
              <w:jc w:val="right"/>
              <w:outlineLvl w:val="4"/>
              <w:rPr>
                <w:sz w:val="18"/>
                <w:szCs w:val="18"/>
              </w:rPr>
            </w:pPr>
            <w:r w:rsidRPr="00F77862">
              <w:rPr>
                <w:sz w:val="18"/>
                <w:szCs w:val="18"/>
              </w:rPr>
              <w:t>4.9</w:t>
            </w:r>
          </w:p>
        </w:tc>
        <w:tc>
          <w:tcPr>
            <w:tcW w:w="993" w:type="dxa"/>
          </w:tcPr>
          <w:p w14:paraId="7F99427F" w14:textId="77777777" w:rsidR="001031D9" w:rsidRPr="00F77862" w:rsidRDefault="001031D9" w:rsidP="001031D9">
            <w:pPr>
              <w:pStyle w:val="normal0"/>
              <w:spacing w:before="220" w:after="0" w:line="240" w:lineRule="auto"/>
              <w:contextualSpacing/>
              <w:jc w:val="right"/>
              <w:outlineLvl w:val="4"/>
              <w:rPr>
                <w:sz w:val="18"/>
                <w:szCs w:val="18"/>
              </w:rPr>
            </w:pPr>
            <w:r w:rsidRPr="00F77862">
              <w:rPr>
                <w:sz w:val="18"/>
                <w:szCs w:val="18"/>
              </w:rPr>
              <w:t>2.4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90124" w14:textId="77777777" w:rsidR="001031D9" w:rsidRPr="00F77862" w:rsidRDefault="001031D9" w:rsidP="001031D9">
            <w:pPr>
              <w:pStyle w:val="normal0"/>
              <w:spacing w:before="220" w:after="0" w:line="240" w:lineRule="auto"/>
              <w:contextualSpacing/>
              <w:jc w:val="right"/>
              <w:outlineLvl w:val="4"/>
              <w:rPr>
                <w:sz w:val="18"/>
                <w:szCs w:val="18"/>
              </w:rPr>
            </w:pPr>
            <w:r w:rsidRPr="00F77862">
              <w:rPr>
                <w:b/>
                <w:sz w:val="18"/>
                <w:szCs w:val="18"/>
              </w:rPr>
              <w:t>1.02</w:t>
            </w:r>
            <w:r w:rsidR="00663ABD">
              <w:rPr>
                <w:b/>
                <w:sz w:val="18"/>
                <w:szCs w:val="18"/>
              </w:rPr>
              <w:t>4</w:t>
            </w:r>
          </w:p>
        </w:tc>
      </w:tr>
      <w:tr w:rsidR="001031D9" w14:paraId="78871FC6" w14:textId="77777777" w:rsidTr="001031D9">
        <w:tc>
          <w:tcPr>
            <w:tcW w:w="1234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6DFCD" w14:textId="77777777" w:rsidR="001031D9" w:rsidRPr="00F77862" w:rsidRDefault="001031D9" w:rsidP="001031D9">
            <w:pPr>
              <w:pStyle w:val="normal0"/>
              <w:spacing w:before="220" w:after="0" w:line="240" w:lineRule="auto"/>
              <w:contextualSpacing/>
              <w:jc w:val="both"/>
              <w:outlineLvl w:val="4"/>
              <w:rPr>
                <w:sz w:val="18"/>
                <w:szCs w:val="18"/>
              </w:rPr>
            </w:pPr>
            <w:r w:rsidRPr="00F77862">
              <w:rPr>
                <w:sz w:val="18"/>
                <w:szCs w:val="18"/>
              </w:rPr>
              <w:t>Piper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4A5F3" w14:textId="77777777" w:rsidR="001031D9" w:rsidRPr="00F77862" w:rsidRDefault="001031D9" w:rsidP="001031D9">
            <w:pPr>
              <w:pStyle w:val="normal0"/>
              <w:spacing w:before="220" w:after="0" w:line="240" w:lineRule="auto"/>
              <w:contextualSpacing/>
              <w:jc w:val="right"/>
              <w:outlineLvl w:val="4"/>
              <w:rPr>
                <w:sz w:val="18"/>
                <w:szCs w:val="18"/>
              </w:rPr>
            </w:pPr>
            <w:r w:rsidRPr="00F77862">
              <w:rPr>
                <w:sz w:val="18"/>
                <w:szCs w:val="18"/>
              </w:rPr>
              <w:t>98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F131A" w14:textId="77777777" w:rsidR="001031D9" w:rsidRPr="00F77862" w:rsidRDefault="001031D9" w:rsidP="001031D9">
            <w:pPr>
              <w:pStyle w:val="normal0"/>
              <w:spacing w:before="220" w:after="0" w:line="240" w:lineRule="auto"/>
              <w:contextualSpacing/>
              <w:jc w:val="right"/>
              <w:outlineLvl w:val="4"/>
              <w:rPr>
                <w:sz w:val="18"/>
                <w:szCs w:val="18"/>
              </w:rPr>
            </w:pPr>
            <w:r w:rsidRPr="00F77862">
              <w:rPr>
                <w:sz w:val="18"/>
                <w:szCs w:val="18"/>
              </w:rPr>
              <w:t>0.6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C8C4A" w14:textId="77777777" w:rsidR="001031D9" w:rsidRPr="00F77862" w:rsidRDefault="001031D9" w:rsidP="001031D9">
            <w:pPr>
              <w:pStyle w:val="normal0"/>
              <w:spacing w:before="220" w:after="0" w:line="240" w:lineRule="auto"/>
              <w:contextualSpacing/>
              <w:jc w:val="right"/>
              <w:outlineLvl w:val="4"/>
              <w:rPr>
                <w:sz w:val="18"/>
                <w:szCs w:val="18"/>
              </w:rPr>
            </w:pPr>
            <w:r w:rsidRPr="00F77862">
              <w:rPr>
                <w:sz w:val="18"/>
                <w:szCs w:val="18"/>
              </w:rPr>
              <w:t>1.0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E9D11" w14:textId="77777777" w:rsidR="001031D9" w:rsidRPr="00F77862" w:rsidRDefault="001031D9" w:rsidP="001031D9">
            <w:pPr>
              <w:pStyle w:val="normal0"/>
              <w:spacing w:before="220" w:after="0" w:line="240" w:lineRule="auto"/>
              <w:contextualSpacing/>
              <w:jc w:val="right"/>
              <w:outlineLvl w:val="4"/>
              <w:rPr>
                <w:sz w:val="18"/>
                <w:szCs w:val="18"/>
              </w:rPr>
            </w:pPr>
            <w:r w:rsidRPr="00F77862">
              <w:rPr>
                <w:sz w:val="18"/>
                <w:szCs w:val="18"/>
              </w:rPr>
              <w:t>58.5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C7921" w14:textId="77777777" w:rsidR="001031D9" w:rsidRPr="00F77862" w:rsidRDefault="00663ABD" w:rsidP="001031D9">
            <w:pPr>
              <w:pStyle w:val="normal0"/>
              <w:spacing w:before="220" w:after="0" w:line="240" w:lineRule="auto"/>
              <w:contextualSpacing/>
              <w:jc w:val="right"/>
              <w:outlineLvl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96.5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625FCCAA" w14:textId="77777777" w:rsidR="001031D9" w:rsidRPr="00F77862" w:rsidRDefault="001031D9" w:rsidP="001031D9">
            <w:pPr>
              <w:pStyle w:val="normal0"/>
              <w:keepNext/>
              <w:spacing w:before="220" w:after="0" w:line="240" w:lineRule="auto"/>
              <w:contextualSpacing/>
              <w:jc w:val="right"/>
              <w:outlineLvl w:val="4"/>
              <w:rPr>
                <w:sz w:val="18"/>
                <w:szCs w:val="18"/>
              </w:rPr>
            </w:pPr>
            <w:r w:rsidRPr="00F77862">
              <w:rPr>
                <w:sz w:val="18"/>
                <w:szCs w:val="18"/>
              </w:rPr>
              <w:t>0.6</w:t>
            </w: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14:paraId="103B8242" w14:textId="77777777" w:rsidR="001031D9" w:rsidRPr="00F77862" w:rsidRDefault="001031D9" w:rsidP="001031D9">
            <w:pPr>
              <w:pStyle w:val="normal0"/>
              <w:keepNext/>
              <w:spacing w:before="220" w:after="0" w:line="240" w:lineRule="auto"/>
              <w:contextualSpacing/>
              <w:jc w:val="right"/>
              <w:outlineLvl w:val="4"/>
              <w:rPr>
                <w:sz w:val="18"/>
                <w:szCs w:val="18"/>
              </w:rPr>
            </w:pPr>
            <w:r w:rsidRPr="00F77862">
              <w:rPr>
                <w:sz w:val="18"/>
                <w:szCs w:val="18"/>
              </w:rPr>
              <w:t>2.6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0D20D" w14:textId="77777777" w:rsidR="001031D9" w:rsidRPr="00F77862" w:rsidRDefault="001031D9" w:rsidP="001031D9">
            <w:pPr>
              <w:pStyle w:val="normal0"/>
              <w:keepNext/>
              <w:spacing w:before="220" w:after="0" w:line="240" w:lineRule="auto"/>
              <w:contextualSpacing/>
              <w:jc w:val="right"/>
              <w:outlineLvl w:val="4"/>
              <w:rPr>
                <w:sz w:val="18"/>
                <w:szCs w:val="18"/>
              </w:rPr>
            </w:pPr>
            <w:r w:rsidRPr="00F77862">
              <w:rPr>
                <w:b/>
                <w:sz w:val="18"/>
                <w:szCs w:val="18"/>
              </w:rPr>
              <w:t>1.65</w:t>
            </w:r>
            <w:r w:rsidR="00663ABD">
              <w:rPr>
                <w:b/>
                <w:sz w:val="18"/>
                <w:szCs w:val="18"/>
              </w:rPr>
              <w:t>0</w:t>
            </w:r>
          </w:p>
        </w:tc>
      </w:tr>
    </w:tbl>
    <w:p w14:paraId="4F85FE31" w14:textId="49C82D11" w:rsidR="00AA014C" w:rsidRDefault="00AA014C" w:rsidP="00AA014C">
      <w:pPr>
        <w:pStyle w:val="Caption"/>
        <w:spacing w:before="120" w:after="240"/>
        <w:rPr>
          <w:noProof/>
        </w:rPr>
      </w:pPr>
      <w:r>
        <w:t xml:space="preserve">Table </w:t>
      </w:r>
      <w:r w:rsidR="0094181F">
        <w:fldChar w:fldCharType="begin"/>
      </w:r>
      <w:r w:rsidR="0094181F">
        <w:instrText xml:space="preserve"> SEQ Table \* ARABIC </w:instrText>
      </w:r>
      <w:r w:rsidR="0094181F">
        <w:fldChar w:fldCharType="separate"/>
      </w:r>
      <w:r>
        <w:rPr>
          <w:noProof/>
        </w:rPr>
        <w:t>1</w:t>
      </w:r>
      <w:r w:rsidR="0094181F">
        <w:rPr>
          <w:noProof/>
        </w:rPr>
        <w:fldChar w:fldCharType="end"/>
      </w:r>
      <w:r>
        <w:rPr>
          <w:noProof/>
        </w:rPr>
        <w:t xml:space="preserve"> – </w:t>
      </w:r>
      <w:r w:rsidR="0094181F" w:rsidRPr="0094181F">
        <w:rPr>
          <w:noProof/>
        </w:rPr>
        <w:t xml:space="preserve">Mean execution times for pipelines and tasks with and without Docker. Time is expressed in minutes. The mean and </w:t>
      </w:r>
      <w:r w:rsidR="0094181F">
        <w:rPr>
          <w:noProof/>
        </w:rPr>
        <w:t xml:space="preserve">the </w:t>
      </w:r>
      <w:r w:rsidR="0094181F" w:rsidRPr="0094181F">
        <w:rPr>
          <w:noProof/>
        </w:rPr>
        <w:t>standard deviation were estimated fr</w:t>
      </w:r>
      <w:r w:rsidR="0094181F">
        <w:rPr>
          <w:noProof/>
        </w:rPr>
        <w:t>om 10 separate runs. Slowdown</w:t>
      </w:r>
      <w:r w:rsidR="0094181F" w:rsidRPr="0094181F">
        <w:rPr>
          <w:noProof/>
        </w:rPr>
        <w:t xml:space="preserve"> represents the ratio of the mean execution time with Docker to the mean execution time when Docker was not used.</w:t>
      </w:r>
    </w:p>
    <w:p w14:paraId="72DAF413" w14:textId="77777777" w:rsidR="001031D9" w:rsidRPr="007424CD" w:rsidRDefault="001031D9" w:rsidP="007424CD"/>
    <w:sectPr w:rsidR="001031D9" w:rsidRPr="007424CD" w:rsidSect="00D846E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4CD"/>
    <w:rsid w:val="001031D9"/>
    <w:rsid w:val="002A64F8"/>
    <w:rsid w:val="00663ABD"/>
    <w:rsid w:val="007424CD"/>
    <w:rsid w:val="0094181F"/>
    <w:rsid w:val="009A353A"/>
    <w:rsid w:val="00AA014C"/>
    <w:rsid w:val="00D846ED"/>
    <w:rsid w:val="00E817CB"/>
    <w:rsid w:val="00FD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CE95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4CD"/>
    <w:pPr>
      <w:spacing w:after="200"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424CD"/>
    <w:pPr>
      <w:spacing w:after="200" w:line="276" w:lineRule="auto"/>
    </w:pPr>
    <w:rPr>
      <w:rFonts w:ascii="Arial" w:eastAsia="Arial" w:hAnsi="Arial" w:cs="Arial"/>
      <w:color w:val="000000"/>
      <w:sz w:val="20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7424C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14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14C"/>
    <w:rPr>
      <w:rFonts w:ascii="Lucida Grande" w:eastAsia="Arial" w:hAnsi="Lucida Grande" w:cs="Lucida Grande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4CD"/>
    <w:pPr>
      <w:spacing w:after="200"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424CD"/>
    <w:pPr>
      <w:spacing w:after="200" w:line="276" w:lineRule="auto"/>
    </w:pPr>
    <w:rPr>
      <w:rFonts w:ascii="Arial" w:eastAsia="Arial" w:hAnsi="Arial" w:cs="Arial"/>
      <w:color w:val="000000"/>
      <w:sz w:val="20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7424C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14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14C"/>
    <w:rPr>
      <w:rFonts w:ascii="Lucida Grande" w:eastAsia="Arial" w:hAnsi="Lucida Grande" w:cs="Lucida Grande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34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93</Words>
  <Characters>533</Characters>
  <Application>Microsoft Macintosh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</dc:creator>
  <cp:keywords/>
  <dc:description/>
  <cp:lastModifiedBy>Paolo</cp:lastModifiedBy>
  <cp:revision>5</cp:revision>
  <dcterms:created xsi:type="dcterms:W3CDTF">2015-08-28T13:41:00Z</dcterms:created>
  <dcterms:modified xsi:type="dcterms:W3CDTF">2015-09-03T11:56:00Z</dcterms:modified>
</cp:coreProperties>
</file>