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16E26" w14:textId="30BC1F16" w:rsidR="00BF357C" w:rsidRDefault="00CA6044">
      <w:r w:rsidRPr="00CA6044">
        <w:t>本环节目标：统一两项有序变量的分档阈值，使各</w:t>
      </w:r>
      <w:r w:rsidRPr="00CA6044">
        <w:t xml:space="preserve"> Agent </w:t>
      </w:r>
      <w:r w:rsidRPr="00CA6044">
        <w:t>在评定</w:t>
      </w:r>
      <w:r w:rsidRPr="00CA6044">
        <w:t>“</w:t>
      </w:r>
      <w:r w:rsidRPr="00CA6044">
        <w:t>方法透明度（</w:t>
      </w:r>
      <w:proofErr w:type="spellStart"/>
      <w:r w:rsidRPr="00CA6044">
        <w:t>MethodTransparency</w:t>
      </w:r>
      <w:proofErr w:type="spellEnd"/>
      <w:r w:rsidRPr="00CA6044">
        <w:t>）</w:t>
      </w:r>
      <w:r w:rsidRPr="00CA6044">
        <w:t>”</w:t>
      </w:r>
      <w:r w:rsidRPr="00CA6044">
        <w:t>与</w:t>
      </w:r>
      <w:r w:rsidRPr="00CA6044">
        <w:t>“</w:t>
      </w:r>
      <w:r w:rsidRPr="00CA6044">
        <w:t>方法规范度（</w:t>
      </w:r>
      <w:proofErr w:type="spellStart"/>
      <w:r w:rsidRPr="00CA6044">
        <w:t>MethodNormativity</w:t>
      </w:r>
      <w:proofErr w:type="spellEnd"/>
      <w:r w:rsidRPr="00CA6044">
        <w:t>）</w:t>
      </w:r>
      <w:r w:rsidRPr="00CA6044">
        <w:t>”</w:t>
      </w:r>
      <w:r w:rsidRPr="00CA6044">
        <w:t>时口径一致。</w:t>
      </w:r>
    </w:p>
    <w:p w14:paraId="3C0157AC" w14:textId="1A8D42AB" w:rsidR="00CA6044" w:rsidRDefault="00CA6044"/>
    <w:p w14:paraId="4BA4127F" w14:textId="77777777" w:rsidR="00CA6044" w:rsidRPr="00CA6044" w:rsidRDefault="00CA6044" w:rsidP="00CA6044">
      <w:pPr>
        <w:rPr>
          <w:b/>
          <w:bCs/>
        </w:rPr>
      </w:pPr>
      <w:r w:rsidRPr="00CA6044">
        <w:rPr>
          <w:b/>
          <w:bCs/>
        </w:rPr>
        <w:t>两条条款更新</w:t>
      </w:r>
    </w:p>
    <w:p w14:paraId="70667AE2" w14:textId="77777777" w:rsidR="00CA6044" w:rsidRPr="00CA6044" w:rsidRDefault="00CA6044" w:rsidP="00CA6044">
      <w:pPr>
        <w:rPr>
          <w:b/>
          <w:bCs/>
        </w:rPr>
      </w:pPr>
      <w:r w:rsidRPr="00CA6044">
        <w:rPr>
          <w:b/>
          <w:bCs/>
        </w:rPr>
        <w:t>R_TR_01</w:t>
      </w:r>
      <w:r w:rsidRPr="00CA6044">
        <w:rPr>
          <w:b/>
          <w:bCs/>
        </w:rPr>
        <w:t>｜</w:t>
      </w:r>
      <w:proofErr w:type="spellStart"/>
      <w:r w:rsidRPr="00CA6044">
        <w:rPr>
          <w:b/>
          <w:bCs/>
        </w:rPr>
        <w:t>MethodTransparency</w:t>
      </w:r>
      <w:proofErr w:type="spellEnd"/>
      <w:r w:rsidRPr="00CA6044">
        <w:rPr>
          <w:b/>
          <w:bCs/>
        </w:rPr>
        <w:t>（方法透明度）分档阈值</w:t>
      </w:r>
    </w:p>
    <w:p w14:paraId="26852DC2" w14:textId="77777777" w:rsidR="00CA6044" w:rsidRPr="00CA6044" w:rsidRDefault="00CA6044" w:rsidP="00CA6044">
      <w:r w:rsidRPr="00CA6044">
        <w:rPr>
          <w:b/>
          <w:bCs/>
        </w:rPr>
        <w:t>原口径：</w:t>
      </w:r>
    </w:p>
    <w:p w14:paraId="5E39367A" w14:textId="77777777" w:rsidR="00CA6044" w:rsidRPr="00CA6044" w:rsidRDefault="00CA6044" w:rsidP="00CA6044">
      <w:pPr>
        <w:numPr>
          <w:ilvl w:val="0"/>
          <w:numId w:val="1"/>
        </w:numPr>
      </w:pPr>
      <w:r w:rsidRPr="00CA6044">
        <w:t xml:space="preserve">≥2 </w:t>
      </w:r>
      <w:r w:rsidRPr="00CA6044">
        <w:t>项指标</w:t>
      </w:r>
      <w:r w:rsidRPr="00CA6044">
        <w:t xml:space="preserve"> → 2 </w:t>
      </w:r>
      <w:r w:rsidRPr="00CA6044">
        <w:t>档（中）</w:t>
      </w:r>
    </w:p>
    <w:p w14:paraId="53EBDFB4" w14:textId="77777777" w:rsidR="00CA6044" w:rsidRPr="00CA6044" w:rsidRDefault="00CA6044" w:rsidP="00CA6044">
      <w:pPr>
        <w:numPr>
          <w:ilvl w:val="0"/>
          <w:numId w:val="1"/>
        </w:numPr>
      </w:pPr>
      <w:r w:rsidRPr="00CA6044">
        <w:t xml:space="preserve">≥4 </w:t>
      </w:r>
      <w:r w:rsidRPr="00CA6044">
        <w:t>项指标</w:t>
      </w:r>
      <w:r w:rsidRPr="00CA6044">
        <w:t xml:space="preserve"> → 3 </w:t>
      </w:r>
      <w:r w:rsidRPr="00CA6044">
        <w:t>档（高）</w:t>
      </w:r>
    </w:p>
    <w:p w14:paraId="1AF1E01F" w14:textId="77777777" w:rsidR="00CA6044" w:rsidRPr="00CA6044" w:rsidRDefault="00CA6044" w:rsidP="00CA6044">
      <w:r w:rsidRPr="00CA6044">
        <w:rPr>
          <w:b/>
          <w:bCs/>
        </w:rPr>
        <w:t>更新建议：</w:t>
      </w:r>
    </w:p>
    <w:p w14:paraId="4C2FD609" w14:textId="77777777" w:rsidR="00CA6044" w:rsidRPr="00CA6044" w:rsidRDefault="00CA6044" w:rsidP="00CA6044">
      <w:pPr>
        <w:numPr>
          <w:ilvl w:val="0"/>
          <w:numId w:val="2"/>
        </w:numPr>
      </w:pPr>
      <w:r w:rsidRPr="00CA6044">
        <w:t>指标清单：方法段、数据来源、样本量</w:t>
      </w:r>
      <w:r w:rsidRPr="00CA6044">
        <w:t>/</w:t>
      </w:r>
      <w:r w:rsidRPr="00CA6044">
        <w:t>抽样、步骤</w:t>
      </w:r>
      <w:r w:rsidRPr="00CA6044">
        <w:t>/</w:t>
      </w:r>
      <w:r w:rsidRPr="00CA6044">
        <w:t>流程、软件或工具、编码</w:t>
      </w:r>
      <w:r w:rsidRPr="00CA6044">
        <w:t>/</w:t>
      </w:r>
      <w:r w:rsidRPr="00CA6044">
        <w:t>统计规则、可复现实例。</w:t>
      </w:r>
    </w:p>
    <w:p w14:paraId="6232E9C4" w14:textId="77777777" w:rsidR="00CA6044" w:rsidRPr="00CA6044" w:rsidRDefault="00CA6044" w:rsidP="00CA6044">
      <w:pPr>
        <w:numPr>
          <w:ilvl w:val="0"/>
          <w:numId w:val="2"/>
        </w:numPr>
      </w:pPr>
      <w:r w:rsidRPr="00CA6044">
        <w:t>计分方式修订为：</w:t>
      </w:r>
    </w:p>
    <w:p w14:paraId="563EDD84" w14:textId="77777777" w:rsidR="00CA6044" w:rsidRPr="00CA6044" w:rsidRDefault="00CA6044" w:rsidP="00CA6044">
      <w:pPr>
        <w:numPr>
          <w:ilvl w:val="1"/>
          <w:numId w:val="2"/>
        </w:numPr>
      </w:pPr>
      <w:r w:rsidRPr="00CA6044">
        <w:t>满足</w:t>
      </w:r>
      <w:r w:rsidRPr="00CA6044">
        <w:t xml:space="preserve"> 0–1 </w:t>
      </w:r>
      <w:r w:rsidRPr="00CA6044">
        <w:t>项</w:t>
      </w:r>
      <w:r w:rsidRPr="00CA6044">
        <w:t xml:space="preserve"> → 1 </w:t>
      </w:r>
      <w:r w:rsidRPr="00CA6044">
        <w:t>档（低）</w:t>
      </w:r>
    </w:p>
    <w:p w14:paraId="44C4FE93" w14:textId="77777777" w:rsidR="00CA6044" w:rsidRPr="00CA6044" w:rsidRDefault="00CA6044" w:rsidP="00CA6044">
      <w:pPr>
        <w:numPr>
          <w:ilvl w:val="1"/>
          <w:numId w:val="2"/>
        </w:numPr>
      </w:pPr>
      <w:r w:rsidRPr="00CA6044">
        <w:t>满足</w:t>
      </w:r>
      <w:r w:rsidRPr="00CA6044">
        <w:t xml:space="preserve"> 2–3 </w:t>
      </w:r>
      <w:r w:rsidRPr="00CA6044">
        <w:t>项</w:t>
      </w:r>
      <w:r w:rsidRPr="00CA6044">
        <w:t xml:space="preserve"> → 2 </w:t>
      </w:r>
      <w:r w:rsidRPr="00CA6044">
        <w:t>档（中）</w:t>
      </w:r>
    </w:p>
    <w:p w14:paraId="54671D46" w14:textId="77777777" w:rsidR="00CA6044" w:rsidRPr="00CA6044" w:rsidRDefault="00CA6044" w:rsidP="00CA6044">
      <w:pPr>
        <w:numPr>
          <w:ilvl w:val="1"/>
          <w:numId w:val="2"/>
        </w:numPr>
      </w:pPr>
      <w:r w:rsidRPr="00CA6044">
        <w:t>满足</w:t>
      </w:r>
      <w:r w:rsidRPr="00CA6044">
        <w:t xml:space="preserve"> ≥4 </w:t>
      </w:r>
      <w:r w:rsidRPr="00CA6044">
        <w:t>项</w:t>
      </w:r>
      <w:r w:rsidRPr="00CA6044">
        <w:t xml:space="preserve"> → 3 </w:t>
      </w:r>
      <w:r w:rsidRPr="00CA6044">
        <w:t>档（高）</w:t>
      </w:r>
    </w:p>
    <w:p w14:paraId="12DAF866" w14:textId="77777777" w:rsidR="00CA6044" w:rsidRPr="00CA6044" w:rsidRDefault="00CA6044" w:rsidP="00CA6044">
      <w:pPr>
        <w:numPr>
          <w:ilvl w:val="0"/>
          <w:numId w:val="2"/>
        </w:numPr>
      </w:pPr>
      <w:r w:rsidRPr="00CA6044">
        <w:t>解释说明：透明度高低以</w:t>
      </w:r>
      <w:r w:rsidRPr="00CA6044">
        <w:t>“</w:t>
      </w:r>
      <w:r w:rsidRPr="00CA6044">
        <w:t>可复核线索数量</w:t>
      </w:r>
      <w:r w:rsidRPr="00CA6044">
        <w:t>”</w:t>
      </w:r>
      <w:r w:rsidRPr="00CA6044">
        <w:t>为准，不因文本篇幅或格式加权。</w:t>
      </w:r>
    </w:p>
    <w:p w14:paraId="75781F18" w14:textId="77777777" w:rsidR="00CA6044" w:rsidRPr="00CA6044" w:rsidRDefault="00CA6044" w:rsidP="00CA6044">
      <w:pPr>
        <w:rPr>
          <w:b/>
          <w:bCs/>
        </w:rPr>
      </w:pPr>
      <w:r w:rsidRPr="00CA6044">
        <w:rPr>
          <w:b/>
          <w:bCs/>
        </w:rPr>
        <w:t>R_NM_01</w:t>
      </w:r>
      <w:r w:rsidRPr="00CA6044">
        <w:rPr>
          <w:b/>
          <w:bCs/>
        </w:rPr>
        <w:t>｜</w:t>
      </w:r>
      <w:proofErr w:type="spellStart"/>
      <w:r w:rsidRPr="00CA6044">
        <w:rPr>
          <w:b/>
          <w:bCs/>
        </w:rPr>
        <w:t>MethodNormativity</w:t>
      </w:r>
      <w:proofErr w:type="spellEnd"/>
      <w:r w:rsidRPr="00CA6044">
        <w:rPr>
          <w:b/>
          <w:bCs/>
        </w:rPr>
        <w:t>（方法规范度）分档阈值</w:t>
      </w:r>
    </w:p>
    <w:p w14:paraId="1C4DC4D8" w14:textId="77777777" w:rsidR="00CA6044" w:rsidRPr="00CA6044" w:rsidRDefault="00CA6044" w:rsidP="00CA6044">
      <w:r w:rsidRPr="00CA6044">
        <w:rPr>
          <w:b/>
          <w:bCs/>
        </w:rPr>
        <w:t>原口径：</w:t>
      </w:r>
    </w:p>
    <w:p w14:paraId="6E856650" w14:textId="77777777" w:rsidR="00CA6044" w:rsidRPr="00CA6044" w:rsidRDefault="00CA6044" w:rsidP="00CA6044">
      <w:pPr>
        <w:numPr>
          <w:ilvl w:val="0"/>
          <w:numId w:val="3"/>
        </w:numPr>
      </w:pPr>
      <w:r w:rsidRPr="00CA6044">
        <w:t xml:space="preserve">2 </w:t>
      </w:r>
      <w:r w:rsidRPr="00CA6044">
        <w:t>档：存在</w:t>
      </w:r>
      <w:r w:rsidRPr="00CA6044">
        <w:t>“</w:t>
      </w:r>
      <w:r w:rsidRPr="00CA6044">
        <w:t>规范性论证链条</w:t>
      </w:r>
      <w:r w:rsidRPr="00CA6044">
        <w:t xml:space="preserve"> + </w:t>
      </w:r>
      <w:r w:rsidRPr="00CA6044">
        <w:t>规范层级引用（法条</w:t>
      </w:r>
      <w:r w:rsidRPr="00CA6044">
        <w:t>/</w:t>
      </w:r>
      <w:r w:rsidRPr="00CA6044">
        <w:t>原则</w:t>
      </w:r>
      <w:r w:rsidRPr="00CA6044">
        <w:t>/</w:t>
      </w:r>
      <w:r w:rsidRPr="00CA6044">
        <w:t>判例</w:t>
      </w:r>
      <w:r w:rsidRPr="00CA6044">
        <w:t>/</w:t>
      </w:r>
      <w:r w:rsidRPr="00CA6044">
        <w:t>学理</w:t>
      </w:r>
      <w:r w:rsidRPr="00CA6044">
        <w:t xml:space="preserve"> ≥ 1</w:t>
      </w:r>
      <w:r w:rsidRPr="00CA6044">
        <w:t>）</w:t>
      </w:r>
      <w:r w:rsidRPr="00CA6044">
        <w:t>”</w:t>
      </w:r>
      <w:r w:rsidRPr="00CA6044">
        <w:t>；</w:t>
      </w:r>
    </w:p>
    <w:p w14:paraId="0EB2EEB8" w14:textId="77777777" w:rsidR="00CA6044" w:rsidRPr="00CA6044" w:rsidRDefault="00CA6044" w:rsidP="00CA6044">
      <w:pPr>
        <w:numPr>
          <w:ilvl w:val="0"/>
          <w:numId w:val="3"/>
        </w:numPr>
      </w:pPr>
      <w:r w:rsidRPr="00CA6044">
        <w:t xml:space="preserve">3 </w:t>
      </w:r>
      <w:r w:rsidRPr="00CA6044">
        <w:t>档：在</w:t>
      </w:r>
      <w:r w:rsidRPr="00CA6044">
        <w:t xml:space="preserve"> 2 </w:t>
      </w:r>
      <w:r w:rsidRPr="00CA6044">
        <w:t>档</w:t>
      </w:r>
      <w:r w:rsidRPr="00CA6044">
        <w:t xml:space="preserve"> </w:t>
      </w:r>
      <w:r w:rsidRPr="00CA6044">
        <w:t>基础上增加</w:t>
      </w:r>
      <w:r w:rsidRPr="00CA6044">
        <w:t>“</w:t>
      </w:r>
      <w:r w:rsidRPr="00CA6044">
        <w:t>对立规则比较</w:t>
      </w:r>
      <w:r w:rsidRPr="00CA6044">
        <w:t>/</w:t>
      </w:r>
      <w:r w:rsidRPr="00CA6044">
        <w:t>反事实检验</w:t>
      </w:r>
      <w:r w:rsidRPr="00CA6044">
        <w:t>/</w:t>
      </w:r>
      <w:r w:rsidRPr="00CA6044">
        <w:t>检核清单</w:t>
      </w:r>
      <w:r w:rsidRPr="00CA6044">
        <w:t xml:space="preserve"> ≥ 1”</w:t>
      </w:r>
      <w:r w:rsidRPr="00CA6044">
        <w:t>。</w:t>
      </w:r>
    </w:p>
    <w:p w14:paraId="017CD2CD" w14:textId="77777777" w:rsidR="00CA6044" w:rsidRPr="00CA6044" w:rsidRDefault="00CA6044" w:rsidP="00CA6044">
      <w:r w:rsidRPr="00CA6044">
        <w:rPr>
          <w:b/>
          <w:bCs/>
        </w:rPr>
        <w:t>更新建议：</w:t>
      </w:r>
    </w:p>
    <w:p w14:paraId="2CAFC0AA" w14:textId="77777777" w:rsidR="00CA6044" w:rsidRPr="00CA6044" w:rsidRDefault="00CA6044" w:rsidP="00CA6044">
      <w:pPr>
        <w:numPr>
          <w:ilvl w:val="0"/>
          <w:numId w:val="4"/>
        </w:numPr>
      </w:pPr>
      <w:r w:rsidRPr="00CA6044">
        <w:t xml:space="preserve">1 </w:t>
      </w:r>
      <w:r w:rsidRPr="00CA6044">
        <w:t>档（低）：无规范性论证链条或</w:t>
      </w:r>
      <w:proofErr w:type="gramStart"/>
      <w:r w:rsidRPr="00CA6044">
        <w:t>仅价值</w:t>
      </w:r>
      <w:proofErr w:type="gramEnd"/>
      <w:r w:rsidRPr="00CA6044">
        <w:t>判断；</w:t>
      </w:r>
    </w:p>
    <w:p w14:paraId="6D7F0A74" w14:textId="77777777" w:rsidR="00CA6044" w:rsidRPr="00CA6044" w:rsidRDefault="00CA6044" w:rsidP="00CA6044">
      <w:pPr>
        <w:numPr>
          <w:ilvl w:val="0"/>
          <w:numId w:val="4"/>
        </w:numPr>
      </w:pPr>
      <w:r w:rsidRPr="00CA6044">
        <w:t xml:space="preserve">2 </w:t>
      </w:r>
      <w:r w:rsidRPr="00CA6044">
        <w:t>档（中）：具备基本论证链</w:t>
      </w:r>
      <w:r w:rsidRPr="00CA6044">
        <w:t xml:space="preserve"> + </w:t>
      </w:r>
      <w:r w:rsidRPr="00CA6044">
        <w:t>至少</w:t>
      </w:r>
      <w:r w:rsidRPr="00CA6044">
        <w:t xml:space="preserve"> 1 </w:t>
      </w:r>
      <w:proofErr w:type="gramStart"/>
      <w:r w:rsidRPr="00CA6044">
        <w:t>项规范</w:t>
      </w:r>
      <w:proofErr w:type="gramEnd"/>
      <w:r w:rsidRPr="00CA6044">
        <w:t>层级引用；</w:t>
      </w:r>
    </w:p>
    <w:p w14:paraId="3DC10189" w14:textId="77777777" w:rsidR="00CA6044" w:rsidRPr="00CA6044" w:rsidRDefault="00CA6044" w:rsidP="00CA6044">
      <w:pPr>
        <w:numPr>
          <w:ilvl w:val="0"/>
          <w:numId w:val="4"/>
        </w:numPr>
      </w:pPr>
      <w:r w:rsidRPr="00CA6044">
        <w:t xml:space="preserve">3 </w:t>
      </w:r>
      <w:r w:rsidRPr="00CA6044">
        <w:t>档（高）：在</w:t>
      </w:r>
      <w:r w:rsidRPr="00CA6044">
        <w:t xml:space="preserve"> 2 </w:t>
      </w:r>
      <w:r w:rsidRPr="00CA6044">
        <w:t>档</w:t>
      </w:r>
      <w:r w:rsidRPr="00CA6044">
        <w:t xml:space="preserve"> </w:t>
      </w:r>
      <w:r w:rsidRPr="00CA6044">
        <w:t>基础上具备</w:t>
      </w:r>
      <w:r w:rsidRPr="00CA6044">
        <w:t xml:space="preserve"> 1 </w:t>
      </w:r>
      <w:r w:rsidRPr="00CA6044">
        <w:t>项以上</w:t>
      </w:r>
      <w:r w:rsidRPr="00CA6044">
        <w:t>“</w:t>
      </w:r>
      <w:r w:rsidRPr="00CA6044">
        <w:t>比较</w:t>
      </w:r>
      <w:r w:rsidRPr="00CA6044">
        <w:t>/</w:t>
      </w:r>
      <w:r w:rsidRPr="00CA6044">
        <w:t>反事实</w:t>
      </w:r>
      <w:r w:rsidRPr="00CA6044">
        <w:t>/</w:t>
      </w:r>
      <w:r w:rsidRPr="00CA6044">
        <w:t>检核</w:t>
      </w:r>
      <w:r w:rsidRPr="00CA6044">
        <w:t>”</w:t>
      </w:r>
      <w:r w:rsidRPr="00CA6044">
        <w:t>机制；</w:t>
      </w:r>
    </w:p>
    <w:p w14:paraId="3064AA87" w14:textId="77777777" w:rsidR="00CA6044" w:rsidRPr="00CA6044" w:rsidRDefault="00CA6044" w:rsidP="00CA6044">
      <w:pPr>
        <w:numPr>
          <w:ilvl w:val="0"/>
          <w:numId w:val="4"/>
        </w:numPr>
      </w:pPr>
      <w:r w:rsidRPr="00CA6044">
        <w:t>解释说明：强调</w:t>
      </w:r>
      <w:r w:rsidRPr="00CA6044">
        <w:t>“</w:t>
      </w:r>
      <w:r w:rsidRPr="00CA6044">
        <w:t>规范论证的结构完整性</w:t>
      </w:r>
      <w:r w:rsidRPr="00CA6044">
        <w:t>”</w:t>
      </w:r>
      <w:r w:rsidRPr="00CA6044">
        <w:t>，而非</w:t>
      </w:r>
      <w:r w:rsidRPr="00CA6044">
        <w:t>“</w:t>
      </w:r>
      <w:r w:rsidRPr="00CA6044">
        <w:t>篇幅或引文数量</w:t>
      </w:r>
      <w:r w:rsidRPr="00CA6044">
        <w:t>”</w:t>
      </w:r>
      <w:r w:rsidRPr="00CA6044">
        <w:t>。</w:t>
      </w:r>
    </w:p>
    <w:p w14:paraId="38436427" w14:textId="09EC9F9C" w:rsidR="00CA6044" w:rsidRDefault="00CA6044"/>
    <w:p w14:paraId="4F66B1E3" w14:textId="77777777" w:rsidR="00CA6044" w:rsidRPr="00CA6044" w:rsidRDefault="00CA6044" w:rsidP="00CA6044">
      <w:r w:rsidRPr="00CA6044">
        <w:t>已采纳并写入以下更新内容：</w:t>
      </w:r>
    </w:p>
    <w:p w14:paraId="31C31EB8" w14:textId="77777777" w:rsidR="00CA6044" w:rsidRPr="00CA6044" w:rsidRDefault="00CA6044" w:rsidP="00CA6044">
      <w:pPr>
        <w:numPr>
          <w:ilvl w:val="0"/>
          <w:numId w:val="5"/>
        </w:numPr>
      </w:pPr>
      <w:r w:rsidRPr="00CA6044">
        <w:rPr>
          <w:b/>
          <w:bCs/>
        </w:rPr>
        <w:t>R_TR_01</w:t>
      </w:r>
      <w:r w:rsidRPr="00CA6044">
        <w:rPr>
          <w:b/>
          <w:bCs/>
        </w:rPr>
        <w:t>（方法透明度）</w:t>
      </w:r>
      <w:r w:rsidRPr="00CA6044">
        <w:t xml:space="preserve"> → </w:t>
      </w:r>
      <w:proofErr w:type="spellStart"/>
      <w:r w:rsidRPr="00CA6044">
        <w:t>after_text</w:t>
      </w:r>
      <w:proofErr w:type="spellEnd"/>
      <w:r w:rsidRPr="00CA6044">
        <w:t>：按</w:t>
      </w:r>
      <w:r w:rsidRPr="00CA6044">
        <w:t xml:space="preserve"> 0–1</w:t>
      </w:r>
      <w:r w:rsidRPr="00CA6044">
        <w:t>、</w:t>
      </w:r>
      <w:r w:rsidRPr="00CA6044">
        <w:t>2–3</w:t>
      </w:r>
      <w:r w:rsidRPr="00CA6044">
        <w:t>、</w:t>
      </w:r>
      <w:r w:rsidRPr="00CA6044">
        <w:t xml:space="preserve">≥4 </w:t>
      </w:r>
      <w:r w:rsidRPr="00CA6044">
        <w:t>项线索分档；七项指标清单保持固定。</w:t>
      </w:r>
    </w:p>
    <w:p w14:paraId="55B3E874" w14:textId="72F14CDB" w:rsidR="00CA6044" w:rsidRPr="00CA6044" w:rsidRDefault="00CA6044" w:rsidP="00CA6044">
      <w:pPr>
        <w:numPr>
          <w:ilvl w:val="0"/>
          <w:numId w:val="5"/>
        </w:numPr>
        <w:rPr>
          <w:rFonts w:hint="eastAsia"/>
        </w:rPr>
      </w:pPr>
      <w:r w:rsidRPr="00CA6044">
        <w:rPr>
          <w:b/>
          <w:bCs/>
        </w:rPr>
        <w:t>R_NM_01</w:t>
      </w:r>
      <w:r w:rsidRPr="00CA6044">
        <w:rPr>
          <w:b/>
          <w:bCs/>
        </w:rPr>
        <w:t>（方法规范度）</w:t>
      </w:r>
      <w:r w:rsidRPr="00CA6044">
        <w:t xml:space="preserve"> → </w:t>
      </w:r>
      <w:proofErr w:type="spellStart"/>
      <w:r w:rsidRPr="00CA6044">
        <w:t>after_text</w:t>
      </w:r>
      <w:proofErr w:type="spellEnd"/>
      <w:r w:rsidRPr="00CA6044">
        <w:t>：按论证链＋引用＋比较</w:t>
      </w:r>
      <w:r w:rsidRPr="00CA6044">
        <w:t>/</w:t>
      </w:r>
      <w:proofErr w:type="gramStart"/>
      <w:r w:rsidRPr="00CA6044">
        <w:t>反事实</w:t>
      </w:r>
      <w:proofErr w:type="gramEnd"/>
      <w:r w:rsidRPr="00CA6044">
        <w:t>结构分档；三档明晰。</w:t>
      </w:r>
    </w:p>
    <w:sectPr w:rsidR="00CA6044" w:rsidRPr="00CA60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74A2F" w14:textId="77777777" w:rsidR="00A92F7F" w:rsidRDefault="00A92F7F" w:rsidP="00CA6044">
      <w:r>
        <w:separator/>
      </w:r>
    </w:p>
  </w:endnote>
  <w:endnote w:type="continuationSeparator" w:id="0">
    <w:p w14:paraId="3B169EF6" w14:textId="77777777" w:rsidR="00A92F7F" w:rsidRDefault="00A92F7F" w:rsidP="00CA6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09C673" w14:textId="77777777" w:rsidR="00A92F7F" w:rsidRDefault="00A92F7F" w:rsidP="00CA6044">
      <w:r>
        <w:separator/>
      </w:r>
    </w:p>
  </w:footnote>
  <w:footnote w:type="continuationSeparator" w:id="0">
    <w:p w14:paraId="7DD9B844" w14:textId="77777777" w:rsidR="00A92F7F" w:rsidRDefault="00A92F7F" w:rsidP="00CA60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47698"/>
    <w:multiLevelType w:val="multilevel"/>
    <w:tmpl w:val="F9E6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523E2"/>
    <w:multiLevelType w:val="multilevel"/>
    <w:tmpl w:val="88D2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2D6A50"/>
    <w:multiLevelType w:val="multilevel"/>
    <w:tmpl w:val="937E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026001"/>
    <w:multiLevelType w:val="multilevel"/>
    <w:tmpl w:val="7D36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5C6C19"/>
    <w:multiLevelType w:val="multilevel"/>
    <w:tmpl w:val="B98A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540"/>
    <w:rsid w:val="000111A5"/>
    <w:rsid w:val="00015582"/>
    <w:rsid w:val="00051D34"/>
    <w:rsid w:val="000B6540"/>
    <w:rsid w:val="00181F0B"/>
    <w:rsid w:val="001B7527"/>
    <w:rsid w:val="001D1C60"/>
    <w:rsid w:val="00266236"/>
    <w:rsid w:val="00292439"/>
    <w:rsid w:val="003027D1"/>
    <w:rsid w:val="00315751"/>
    <w:rsid w:val="00421528"/>
    <w:rsid w:val="00505F08"/>
    <w:rsid w:val="005664CC"/>
    <w:rsid w:val="00597759"/>
    <w:rsid w:val="005C162B"/>
    <w:rsid w:val="006A116C"/>
    <w:rsid w:val="00725B63"/>
    <w:rsid w:val="007F690D"/>
    <w:rsid w:val="008068C1"/>
    <w:rsid w:val="00873A65"/>
    <w:rsid w:val="008B1766"/>
    <w:rsid w:val="008B3D82"/>
    <w:rsid w:val="008F37E9"/>
    <w:rsid w:val="00934DC0"/>
    <w:rsid w:val="00942B1D"/>
    <w:rsid w:val="00A61334"/>
    <w:rsid w:val="00A870CA"/>
    <w:rsid w:val="00A92F7F"/>
    <w:rsid w:val="00AE2B89"/>
    <w:rsid w:val="00AF32A1"/>
    <w:rsid w:val="00BF357C"/>
    <w:rsid w:val="00BF7055"/>
    <w:rsid w:val="00C73DE0"/>
    <w:rsid w:val="00CA6044"/>
    <w:rsid w:val="00CD650A"/>
    <w:rsid w:val="00D2532F"/>
    <w:rsid w:val="00D2545E"/>
    <w:rsid w:val="00D37D5C"/>
    <w:rsid w:val="00DA184F"/>
    <w:rsid w:val="00DF30FA"/>
    <w:rsid w:val="00E7012C"/>
    <w:rsid w:val="00E84B89"/>
    <w:rsid w:val="00E85970"/>
    <w:rsid w:val="00F50AE7"/>
    <w:rsid w:val="00FC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3AB845"/>
  <w15:chartTrackingRefBased/>
  <w15:docId w15:val="{A971D9C5-2277-4988-8BFA-F6A6FD238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DE0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60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A604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A60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A604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2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 wen</dc:creator>
  <cp:keywords/>
  <dc:description/>
  <cp:lastModifiedBy>winter wen</cp:lastModifiedBy>
  <cp:revision>2</cp:revision>
  <dcterms:created xsi:type="dcterms:W3CDTF">2025-10-07T07:05:00Z</dcterms:created>
  <dcterms:modified xsi:type="dcterms:W3CDTF">2025-10-07T07:06:00Z</dcterms:modified>
</cp:coreProperties>
</file>