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78E79" w14:textId="77777777" w:rsidR="00D35FAA" w:rsidRPr="00D35FAA" w:rsidRDefault="00D35FAA" w:rsidP="00D35FAA">
      <w:r w:rsidRPr="00D35FAA">
        <w:t>轮次</w:t>
      </w:r>
      <w:r w:rsidRPr="00D35FAA">
        <w:t>2</w:t>
      </w:r>
      <w:r w:rsidRPr="00D35FAA">
        <w:t>已正式启动并完成高优先级边界样本（僵持案例）的快速裁定。本轮的主要工作是依据新补丁规则</w:t>
      </w:r>
      <w:r w:rsidRPr="00D35FAA">
        <w:t xml:space="preserve"> R_MF_02</w:t>
      </w:r>
      <w:r w:rsidRPr="00D35FAA">
        <w:t>（针对</w:t>
      </w:r>
      <w:r w:rsidRPr="00D35FAA">
        <w:t>“</w:t>
      </w:r>
      <w:r w:rsidRPr="00D35FAA">
        <w:t>比较研究</w:t>
      </w:r>
      <w:r w:rsidRPr="00D35FAA">
        <w:t>”</w:t>
      </w:r>
      <w:r w:rsidRPr="00D35FAA">
        <w:t>的最低充分条件）和</w:t>
      </w:r>
      <w:r w:rsidRPr="00D35FAA">
        <w:t xml:space="preserve"> R_CN_01</w:t>
      </w:r>
      <w:r w:rsidRPr="00D35FAA">
        <w:t>（统一</w:t>
      </w:r>
      <w:r w:rsidRPr="00D35FAA">
        <w:t xml:space="preserve"> coder </w:t>
      </w:r>
      <w:r w:rsidRPr="00D35FAA">
        <w:t>注记触发格式），对轮次</w:t>
      </w:r>
      <w:r w:rsidRPr="00D35FAA">
        <w:t>1</w:t>
      </w:r>
      <w:r w:rsidRPr="00D35FAA">
        <w:t>中未达共识的</w:t>
      </w:r>
      <w:r w:rsidRPr="00D35FAA">
        <w:t xml:space="preserve"> 9 </w:t>
      </w:r>
      <w:r w:rsidRPr="00D35FAA">
        <w:t>篇论文（</w:t>
      </w:r>
      <w:proofErr w:type="spellStart"/>
      <w:r w:rsidRPr="00D35FAA">
        <w:t>paper_id</w:t>
      </w:r>
      <w:proofErr w:type="spellEnd"/>
      <w:r w:rsidRPr="00D35FAA">
        <w:t>：</w:t>
      </w:r>
      <w:r w:rsidRPr="00D35FAA">
        <w:t>16</w:t>
      </w:r>
      <w:r w:rsidRPr="00D35FAA">
        <w:t>、</w:t>
      </w:r>
      <w:r w:rsidRPr="00D35FAA">
        <w:t>19</w:t>
      </w:r>
      <w:r w:rsidRPr="00D35FAA">
        <w:t>、</w:t>
      </w:r>
      <w:r w:rsidRPr="00D35FAA">
        <w:t>51</w:t>
      </w:r>
      <w:r w:rsidRPr="00D35FAA">
        <w:t>、</w:t>
      </w:r>
      <w:r w:rsidRPr="00D35FAA">
        <w:t>53</w:t>
      </w:r>
      <w:r w:rsidRPr="00D35FAA">
        <w:t>、</w:t>
      </w:r>
      <w:r w:rsidRPr="00D35FAA">
        <w:t>55</w:t>
      </w:r>
      <w:r w:rsidRPr="00D35FAA">
        <w:t>、</w:t>
      </w:r>
      <w:r w:rsidRPr="00D35FAA">
        <w:t>61</w:t>
      </w:r>
      <w:r w:rsidRPr="00D35FAA">
        <w:t>、</w:t>
      </w:r>
      <w:r w:rsidRPr="00D35FAA">
        <w:t>66</w:t>
      </w:r>
      <w:r w:rsidRPr="00D35FAA">
        <w:t>、</w:t>
      </w:r>
      <w:r w:rsidRPr="00D35FAA">
        <w:t>70</w:t>
      </w:r>
      <w:r w:rsidRPr="00D35FAA">
        <w:t>、</w:t>
      </w:r>
      <w:r w:rsidRPr="00D35FAA">
        <w:t>71</w:t>
      </w:r>
      <w:r w:rsidRPr="00D35FAA">
        <w:t>）进行逐条审议。结果如下：</w:t>
      </w:r>
    </w:p>
    <w:p w14:paraId="16318B94" w14:textId="77777777" w:rsidR="00D35FAA" w:rsidRPr="00D35FAA" w:rsidRDefault="00D35FAA" w:rsidP="00D35FAA">
      <w:pPr>
        <w:numPr>
          <w:ilvl w:val="0"/>
          <w:numId w:val="1"/>
        </w:numPr>
      </w:pPr>
      <w:proofErr w:type="spellStart"/>
      <w:r w:rsidRPr="00D35FAA">
        <w:rPr>
          <w:b/>
          <w:bCs/>
        </w:rPr>
        <w:t>MethodFamily</w:t>
      </w:r>
      <w:proofErr w:type="spellEnd"/>
      <w:r w:rsidRPr="00D35FAA">
        <w:rPr>
          <w:b/>
          <w:bCs/>
        </w:rPr>
        <w:t>（方法家族分类）</w:t>
      </w:r>
    </w:p>
    <w:p w14:paraId="05C47B85" w14:textId="77777777" w:rsidR="00D35FAA" w:rsidRPr="00D35FAA" w:rsidRDefault="00D35FAA" w:rsidP="00D35FAA">
      <w:pPr>
        <w:numPr>
          <w:ilvl w:val="1"/>
          <w:numId w:val="1"/>
        </w:numPr>
      </w:pPr>
      <w:r w:rsidRPr="00D35FAA">
        <w:t>新规则要求：要将文献划为</w:t>
      </w:r>
      <w:r w:rsidRPr="00D35FAA">
        <w:t>“</w:t>
      </w:r>
      <w:r w:rsidRPr="00D35FAA">
        <w:t>比较研究</w:t>
      </w:r>
      <w:r w:rsidRPr="00D35FAA">
        <w:t>”</w:t>
      </w:r>
      <w:r w:rsidRPr="00D35FAA">
        <w:t>（</w:t>
      </w:r>
      <w:r w:rsidRPr="00D35FAA">
        <w:t>102</w:t>
      </w:r>
      <w:r w:rsidRPr="00D35FAA">
        <w:t>），必须至少满足</w:t>
      </w:r>
      <w:r w:rsidRPr="00D35FAA">
        <w:t>“</w:t>
      </w:r>
      <w:r w:rsidRPr="00D35FAA">
        <w:t>预设比较维度</w:t>
      </w:r>
      <w:r w:rsidRPr="00D35FAA">
        <w:t>”“</w:t>
      </w:r>
      <w:r w:rsidRPr="00D35FAA">
        <w:t>有对照基准</w:t>
      </w:r>
      <w:r w:rsidRPr="00D35FAA">
        <w:t>/</w:t>
      </w:r>
      <w:r w:rsidRPr="00D35FAA">
        <w:t>样本边界</w:t>
      </w:r>
      <w:r w:rsidRPr="00D35FAA">
        <w:t>”“</w:t>
      </w:r>
      <w:r w:rsidRPr="00D35FAA">
        <w:t>数据可相互印证</w:t>
      </w:r>
      <w:r w:rsidRPr="00D35FAA">
        <w:t>”</w:t>
      </w:r>
      <w:r w:rsidRPr="00D35FAA">
        <w:t>中的两项。</w:t>
      </w:r>
    </w:p>
    <w:p w14:paraId="5DC34D1F" w14:textId="77777777" w:rsidR="00D35FAA" w:rsidRPr="00D35FAA" w:rsidRDefault="00D35FAA" w:rsidP="00D35FAA">
      <w:pPr>
        <w:numPr>
          <w:ilvl w:val="1"/>
          <w:numId w:val="1"/>
        </w:numPr>
      </w:pPr>
      <w:r w:rsidRPr="00D35FAA">
        <w:t>经检视资料，这</w:t>
      </w:r>
      <w:r w:rsidRPr="00D35FAA">
        <w:t xml:space="preserve"> 9 </w:t>
      </w:r>
      <w:r w:rsidRPr="00D35FAA">
        <w:t>篇文献普遍缺乏明确的比较维度和</w:t>
      </w:r>
      <w:proofErr w:type="gramStart"/>
      <w:r w:rsidRPr="00D35FAA">
        <w:t>可</w:t>
      </w:r>
      <w:proofErr w:type="gramEnd"/>
      <w:r w:rsidRPr="00D35FAA">
        <w:t>互证的对照框架，难以满足比较研究最低条件。因此，本轮将</w:t>
      </w:r>
      <w:r w:rsidRPr="00D35FAA">
        <w:t xml:space="preserve"> </w:t>
      </w:r>
      <w:proofErr w:type="spellStart"/>
      <w:r w:rsidRPr="00D35FAA">
        <w:t>paper_id</w:t>
      </w:r>
      <w:proofErr w:type="spellEnd"/>
      <w:r w:rsidRPr="00D35FAA">
        <w:t xml:space="preserve"> 16</w:t>
      </w:r>
      <w:r w:rsidRPr="00D35FAA">
        <w:t>、</w:t>
      </w:r>
      <w:r w:rsidRPr="00D35FAA">
        <w:t>19</w:t>
      </w:r>
      <w:r w:rsidRPr="00D35FAA">
        <w:t>、</w:t>
      </w:r>
      <w:r w:rsidRPr="00D35FAA">
        <w:t>51</w:t>
      </w:r>
      <w:r w:rsidRPr="00D35FAA">
        <w:t>、</w:t>
      </w:r>
      <w:r w:rsidRPr="00D35FAA">
        <w:t>53</w:t>
      </w:r>
      <w:r w:rsidRPr="00D35FAA">
        <w:t>、</w:t>
      </w:r>
      <w:r w:rsidRPr="00D35FAA">
        <w:t>55</w:t>
      </w:r>
      <w:r w:rsidRPr="00D35FAA">
        <w:t>、</w:t>
      </w:r>
      <w:r w:rsidRPr="00D35FAA">
        <w:t>61</w:t>
      </w:r>
      <w:r w:rsidRPr="00D35FAA">
        <w:t>、</w:t>
      </w:r>
      <w:r w:rsidRPr="00D35FAA">
        <w:t xml:space="preserve">66 </w:t>
      </w:r>
      <w:r w:rsidRPr="00D35FAA">
        <w:t>归入</w:t>
      </w:r>
      <w:r w:rsidRPr="00D35FAA">
        <w:t xml:space="preserve"> </w:t>
      </w:r>
      <w:r w:rsidRPr="00D35FAA">
        <w:rPr>
          <w:b/>
          <w:bCs/>
        </w:rPr>
        <w:t>199</w:t>
      </w:r>
      <w:r w:rsidRPr="00D35FAA">
        <w:t>（规范</w:t>
      </w:r>
      <w:r w:rsidRPr="00D35FAA">
        <w:t>/</w:t>
      </w:r>
      <w:r w:rsidRPr="00D35FAA">
        <w:t>思辨，方法描述不充分）；将</w:t>
      </w:r>
      <w:r w:rsidRPr="00D35FAA">
        <w:t xml:space="preserve"> </w:t>
      </w:r>
      <w:proofErr w:type="spellStart"/>
      <w:r w:rsidRPr="00D35FAA">
        <w:t>paper_id</w:t>
      </w:r>
      <w:proofErr w:type="spellEnd"/>
      <w:r w:rsidRPr="00D35FAA">
        <w:t xml:space="preserve"> 70</w:t>
      </w:r>
      <w:r w:rsidRPr="00D35FAA">
        <w:t>、</w:t>
      </w:r>
      <w:r w:rsidRPr="00D35FAA">
        <w:t xml:space="preserve">71 </w:t>
      </w:r>
      <w:r w:rsidRPr="00D35FAA">
        <w:t>因至少呈现两个比较维度且有案例对照，定为</w:t>
      </w:r>
      <w:r w:rsidRPr="00D35FAA">
        <w:t xml:space="preserve"> </w:t>
      </w:r>
      <w:r w:rsidRPr="00D35FAA">
        <w:rPr>
          <w:b/>
          <w:bCs/>
        </w:rPr>
        <w:t>102</w:t>
      </w:r>
      <w:r w:rsidRPr="00D35FAA">
        <w:t>（比较研究）。</w:t>
      </w:r>
    </w:p>
    <w:p w14:paraId="287273C2" w14:textId="77777777" w:rsidR="00D35FAA" w:rsidRPr="00D35FAA" w:rsidRDefault="00D35FAA" w:rsidP="00D35FAA">
      <w:pPr>
        <w:numPr>
          <w:ilvl w:val="0"/>
          <w:numId w:val="1"/>
        </w:numPr>
      </w:pPr>
      <w:proofErr w:type="spellStart"/>
      <w:r w:rsidRPr="00D35FAA">
        <w:rPr>
          <w:b/>
          <w:bCs/>
        </w:rPr>
        <w:t>coder_notes_rule_code</w:t>
      </w:r>
      <w:proofErr w:type="spellEnd"/>
      <w:r w:rsidRPr="00D35FAA">
        <w:rPr>
          <w:b/>
          <w:bCs/>
        </w:rPr>
        <w:t>（注记规则编码）</w:t>
      </w:r>
    </w:p>
    <w:p w14:paraId="49CF969E" w14:textId="77777777" w:rsidR="00D35FAA" w:rsidRPr="00D35FAA" w:rsidRDefault="00D35FAA" w:rsidP="00D35FAA">
      <w:pPr>
        <w:numPr>
          <w:ilvl w:val="1"/>
          <w:numId w:val="1"/>
        </w:numPr>
      </w:pPr>
      <w:r w:rsidRPr="00D35FAA">
        <w:t>新规则明确了四类触发：</w:t>
      </w:r>
      <w:r w:rsidRPr="00D35FAA">
        <w:t xml:space="preserve">A </w:t>
      </w:r>
      <w:r w:rsidRPr="00D35FAA">
        <w:t>缺失补偿、</w:t>
      </w:r>
      <w:r w:rsidRPr="00D35FAA">
        <w:t xml:space="preserve">B </w:t>
      </w:r>
      <w:r w:rsidRPr="00D35FAA">
        <w:t>上下位比照、</w:t>
      </w:r>
      <w:r w:rsidRPr="00D35FAA">
        <w:t xml:space="preserve">C </w:t>
      </w:r>
      <w:r w:rsidRPr="00D35FAA">
        <w:t>示例优先级、</w:t>
      </w:r>
      <w:r w:rsidRPr="00D35FAA">
        <w:t xml:space="preserve">D </w:t>
      </w:r>
      <w:r w:rsidRPr="00D35FAA">
        <w:t>一致性回填，并规定注记使用</w:t>
      </w:r>
      <w:r w:rsidRPr="00D35FAA">
        <w:t xml:space="preserve"> A/B/C/D+</w:t>
      </w:r>
      <w:r w:rsidRPr="00D35FAA">
        <w:t>一句话格式。</w:t>
      </w:r>
    </w:p>
    <w:p w14:paraId="3BD20DA1" w14:textId="77777777" w:rsidR="00D35FAA" w:rsidRPr="00D35FAA" w:rsidRDefault="00D35FAA" w:rsidP="00D35FAA">
      <w:pPr>
        <w:numPr>
          <w:ilvl w:val="1"/>
          <w:numId w:val="1"/>
        </w:numPr>
      </w:pPr>
      <w:r w:rsidRPr="00D35FAA">
        <w:t>综合四位代理人原始注记，本轮采用</w:t>
      </w:r>
      <w:r w:rsidRPr="00D35FAA">
        <w:t>“</w:t>
      </w:r>
      <w:r w:rsidRPr="00D35FAA">
        <w:t>最常用且适用性较广</w:t>
      </w:r>
      <w:r w:rsidRPr="00D35FAA">
        <w:t>”</w:t>
      </w:r>
      <w:r w:rsidRPr="00D35FAA">
        <w:t>的编码为最终决议：</w:t>
      </w:r>
      <w:proofErr w:type="spellStart"/>
      <w:r w:rsidRPr="00D35FAA">
        <w:t>paper_id</w:t>
      </w:r>
      <w:proofErr w:type="spellEnd"/>
      <w:r w:rsidRPr="00D35FAA">
        <w:t xml:space="preserve"> 16 </w:t>
      </w:r>
      <w:r w:rsidRPr="00D35FAA">
        <w:t>使用</w:t>
      </w:r>
      <w:r w:rsidRPr="00D35FAA">
        <w:t xml:space="preserve"> </w:t>
      </w:r>
      <w:r w:rsidRPr="00D35FAA">
        <w:rPr>
          <w:b/>
          <w:bCs/>
        </w:rPr>
        <w:t>906</w:t>
      </w:r>
      <w:r w:rsidRPr="00D35FAA">
        <w:t>，</w:t>
      </w:r>
      <w:proofErr w:type="spellStart"/>
      <w:r w:rsidRPr="00D35FAA">
        <w:t>paper_id</w:t>
      </w:r>
      <w:proofErr w:type="spellEnd"/>
      <w:r w:rsidRPr="00D35FAA">
        <w:t xml:space="preserve"> 19 </w:t>
      </w:r>
      <w:r w:rsidRPr="00D35FAA">
        <w:t>采用</w:t>
      </w:r>
      <w:r w:rsidRPr="00D35FAA">
        <w:t xml:space="preserve"> </w:t>
      </w:r>
      <w:r w:rsidRPr="00D35FAA">
        <w:rPr>
          <w:b/>
          <w:bCs/>
        </w:rPr>
        <w:t>902</w:t>
      </w:r>
      <w:r w:rsidRPr="00D35FAA">
        <w:t>，其余各篇均统一为</w:t>
      </w:r>
      <w:r w:rsidRPr="00D35FAA">
        <w:t xml:space="preserve"> </w:t>
      </w:r>
      <w:r w:rsidRPr="00D35FAA">
        <w:rPr>
          <w:b/>
          <w:bCs/>
        </w:rPr>
        <w:t>906</w:t>
      </w:r>
      <w:r w:rsidRPr="00D35FAA">
        <w:t>。</w:t>
      </w:r>
    </w:p>
    <w:p w14:paraId="0461B85A" w14:textId="77777777" w:rsidR="00D35FAA" w:rsidRPr="00D35FAA" w:rsidRDefault="00D35FAA" w:rsidP="00D35FAA">
      <w:r w:rsidRPr="00D35FAA">
        <w:t>本轮裁定后，所有僵持样本已转换为</w:t>
      </w:r>
      <w:r w:rsidRPr="00D35FAA">
        <w:t>“</w:t>
      </w:r>
      <w:r w:rsidRPr="00D35FAA">
        <w:t>多数</w:t>
      </w:r>
      <w:r w:rsidRPr="00D35FAA">
        <w:t>”</w:t>
      </w:r>
      <w:r w:rsidRPr="00D35FAA">
        <w:t>决，</w:t>
      </w:r>
      <w:r w:rsidRPr="00D35FAA">
        <w:t xml:space="preserve">adjudication_template_round2_complete.csv </w:t>
      </w:r>
      <w:r w:rsidRPr="00D35FAA">
        <w:t>列中填入了新的</w:t>
      </w:r>
      <w:r w:rsidRPr="00D35FAA">
        <w:t xml:space="preserve"> </w:t>
      </w:r>
      <w:proofErr w:type="spellStart"/>
      <w:r w:rsidRPr="00D35FAA">
        <w:t>proposed_consensus</w:t>
      </w:r>
      <w:proofErr w:type="spellEnd"/>
      <w:r w:rsidRPr="00D35FAA">
        <w:t xml:space="preserve"> </w:t>
      </w:r>
      <w:r w:rsidRPr="00D35FAA">
        <w:t>和</w:t>
      </w:r>
      <w:r w:rsidRPr="00D35FAA">
        <w:t xml:space="preserve"> </w:t>
      </w:r>
      <w:proofErr w:type="spellStart"/>
      <w:r w:rsidRPr="00D35FAA">
        <w:t>rationale_rule_ids</w:t>
      </w:r>
      <w:proofErr w:type="spellEnd"/>
      <w:r w:rsidRPr="00D35FAA">
        <w:t>（分别为</w:t>
      </w:r>
      <w:r w:rsidRPr="00D35FAA">
        <w:t xml:space="preserve"> R_MF_02 </w:t>
      </w:r>
      <w:r w:rsidRPr="00D35FAA">
        <w:t>和</w:t>
      </w:r>
      <w:r w:rsidRPr="00D35FAA">
        <w:t xml:space="preserve"> R_CN_01</w:t>
      </w:r>
      <w:r w:rsidRPr="00D35FAA">
        <w:t>），并标注了决定时间和决策人（</w:t>
      </w:r>
      <w:r w:rsidRPr="00D35FAA">
        <w:t>PI</w:t>
      </w:r>
      <w:r w:rsidRPr="00D35FAA">
        <w:t>）。这一裁决有助于显著提升方法门类及注记规则的一致性，为接续计算整体</w:t>
      </w:r>
      <w:r w:rsidRPr="00D35FAA">
        <w:t xml:space="preserve"> </w:t>
      </w:r>
      <w:proofErr w:type="spellStart"/>
      <w:r w:rsidRPr="00D35FAA">
        <w:t>Krippendorff</w:t>
      </w:r>
      <w:proofErr w:type="gramStart"/>
      <w:r w:rsidRPr="00D35FAA">
        <w:t>’</w:t>
      </w:r>
      <w:proofErr w:type="gramEnd"/>
      <w:r w:rsidRPr="00D35FAA">
        <w:t>s</w:t>
      </w:r>
      <w:proofErr w:type="spellEnd"/>
      <w:r w:rsidRPr="00D35FAA">
        <w:t xml:space="preserve"> α </w:t>
      </w:r>
      <w:r w:rsidRPr="00D35FAA">
        <w:t>与进入下一轮的闸口提供清晰底稿。</w:t>
      </w:r>
    </w:p>
    <w:p w14:paraId="598D4695" w14:textId="77777777" w:rsidR="00BF357C" w:rsidRPr="00D35FAA" w:rsidRDefault="00BF357C"/>
    <w:sectPr w:rsidR="00BF357C" w:rsidRPr="00D35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4F303" w14:textId="77777777" w:rsidR="00483439" w:rsidRDefault="00483439" w:rsidP="00D35FAA">
      <w:r>
        <w:separator/>
      </w:r>
    </w:p>
  </w:endnote>
  <w:endnote w:type="continuationSeparator" w:id="0">
    <w:p w14:paraId="111B7889" w14:textId="77777777" w:rsidR="00483439" w:rsidRDefault="00483439" w:rsidP="00D35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117D2" w14:textId="77777777" w:rsidR="00483439" w:rsidRDefault="00483439" w:rsidP="00D35FAA">
      <w:r>
        <w:separator/>
      </w:r>
    </w:p>
  </w:footnote>
  <w:footnote w:type="continuationSeparator" w:id="0">
    <w:p w14:paraId="239DFE16" w14:textId="77777777" w:rsidR="00483439" w:rsidRDefault="00483439" w:rsidP="00D35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259FA"/>
    <w:multiLevelType w:val="multilevel"/>
    <w:tmpl w:val="21D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B3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483439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5FAA"/>
    <w:rsid w:val="00D37D5C"/>
    <w:rsid w:val="00D908B3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D2F6ED-E549-42A4-9953-52DBE1A6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5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5F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5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5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3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2025-10-07T07:41:00Z</dcterms:created>
  <dcterms:modified xsi:type="dcterms:W3CDTF">2025-10-07T07:41:00Z</dcterms:modified>
</cp:coreProperties>
</file>