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13DB7">
      <w:pPr>
        <w:rPr>
          <w:rFonts w:hint="eastAsia"/>
        </w:rPr>
      </w:pPr>
      <w:r>
        <w:rPr>
          <w:rFonts w:hint="eastAsia"/>
        </w:rPr>
        <w:t>研究流程阅读指南</w:t>
      </w:r>
    </w:p>
    <w:p w14:paraId="412DB554">
      <w:pPr>
        <w:rPr>
          <w:rFonts w:hint="eastAsia"/>
        </w:rPr>
      </w:pPr>
    </w:p>
    <w:p w14:paraId="4E26C5C8">
      <w:pPr>
        <w:rPr>
          <w:rFonts w:hint="eastAsia"/>
        </w:rPr>
      </w:pPr>
      <w:r>
        <w:rPr>
          <w:rFonts w:hint="eastAsia"/>
        </w:rPr>
        <w:t>1.样本形成：检索—初筛—定样本</w:t>
      </w:r>
    </w:p>
    <w:p w14:paraId="2B1DCE32">
      <w:pPr>
        <w:rPr>
          <w:rFonts w:hint="eastAsia"/>
        </w:rPr>
      </w:pPr>
      <w:r>
        <w:rPr>
          <w:rFonts w:hint="eastAsia"/>
        </w:rPr>
        <w:t>样本以CNKI总库为主来源，覆盖1999年3月—2025年9月公开发表的中文期刊论文；检索时间为2025年9月9日，初得1060篇，经去重、体裁与来源核验后保留800篇作为研究母集。</w:t>
      </w:r>
    </w:p>
    <w:p w14:paraId="4B9EBDBA">
      <w:pPr>
        <w:rPr>
          <w:rFonts w:hint="eastAsia"/>
        </w:rPr>
      </w:pPr>
      <w:r>
        <w:rPr>
          <w:rFonts w:hint="eastAsia"/>
        </w:rPr>
        <w:t>后续所有编码与建模均以paper_id为唯一主键（同一篇论文“一行一条记录”），避免重复特征集造成维度膨胀，并保证表之间可一键对齐。</w:t>
      </w:r>
    </w:p>
    <w:p w14:paraId="6F484527">
      <w:pPr>
        <w:rPr>
          <w:rFonts w:hint="eastAsia"/>
        </w:rPr>
      </w:pPr>
    </w:p>
    <w:p w14:paraId="4144A78D">
      <w:pPr>
        <w:rPr>
          <w:rFonts w:hint="eastAsia"/>
        </w:rPr>
      </w:pPr>
      <w:r>
        <w:rPr>
          <w:rFonts w:hint="eastAsia"/>
        </w:rPr>
        <w:t>2.预处理最小表：字段、文本锚点与初始透明度</w:t>
      </w:r>
    </w:p>
    <w:p w14:paraId="39852898">
      <w:pPr>
        <w:rPr>
          <w:rFonts w:hint="eastAsia"/>
        </w:rPr>
      </w:pPr>
      <w:r>
        <w:rPr>
          <w:rFonts w:hint="eastAsia"/>
        </w:rPr>
        <w:t>预处理阶段构造“最小输入表”（一篇论文一行），其核心字段被明确为：题名（title）、年份（year）、主题类型（topic）、显性研究方法文本（method_text_explicit）、隐性研究方法文本（method_text_implicit）、方法透明度（MethodTransparency）。</w:t>
      </w:r>
    </w:p>
    <w:p w14:paraId="70FEFFA0">
      <w:pPr>
        <w:rPr>
          <w:rFonts w:hint="eastAsia"/>
        </w:rPr>
      </w:pPr>
    </w:p>
    <w:p w14:paraId="58F3AEB5">
      <w:pPr>
        <w:rPr>
          <w:rFonts w:hint="eastAsia"/>
        </w:rPr>
      </w:pPr>
      <w:r>
        <w:rPr>
          <w:rFonts w:hint="eastAsia"/>
        </w:rPr>
        <w:t>2.1主题类型（topic）的四类口径</w:t>
      </w:r>
    </w:p>
    <w:p w14:paraId="06C5098D">
      <w:pPr>
        <w:rPr>
          <w:rFonts w:hint="eastAsia"/>
        </w:rPr>
      </w:pPr>
      <w:r>
        <w:rPr>
          <w:rFonts w:hint="eastAsia"/>
        </w:rPr>
        <w:t>topic为单标签主主题，四类分别是：国家安全学一级学科论文、二级学科论文、国家安全学领域论文、国家安全选题论文，并给出了判定依据（“文章选题或主要内容”）。</w:t>
      </w:r>
    </w:p>
    <w:p w14:paraId="4DD7F05C">
      <w:pPr>
        <w:rPr>
          <w:rFonts w:hint="eastAsia"/>
        </w:rPr>
      </w:pPr>
      <w:r>
        <w:rPr>
          <w:rFonts w:hint="eastAsia"/>
        </w:rPr>
        <w:t>在BN节点定义中，topic的取值集合被固化为{1,2,3,4}（未知=0），与前文样本定义一致。</w:t>
      </w:r>
    </w:p>
    <w:p w14:paraId="655549CA">
      <w:pPr>
        <w:rPr>
          <w:rFonts w:hint="eastAsia"/>
        </w:rPr>
      </w:pPr>
    </w:p>
    <w:p w14:paraId="3BFBF388">
      <w:pPr>
        <w:rPr>
          <w:rFonts w:hint="eastAsia"/>
        </w:rPr>
      </w:pPr>
      <w:r>
        <w:rPr>
          <w:rFonts w:hint="eastAsia"/>
        </w:rPr>
        <w:t>2.2显性/隐性方法文本：两类“证据锚点”</w:t>
      </w:r>
    </w:p>
    <w:p w14:paraId="1776E2A5">
      <w:pPr>
        <w:rPr>
          <w:rFonts w:hint="eastAsia"/>
        </w:rPr>
      </w:pPr>
      <w:r>
        <w:rPr>
          <w:rFonts w:hint="eastAsia"/>
        </w:rPr>
        <w:t>显性研究方法文本（method_text_explicit）：论文中明确声明方法/数据/模型的原句或短段（100–300字）。</w:t>
      </w:r>
    </w:p>
    <w:p w14:paraId="48F2154B">
      <w:pPr>
        <w:rPr>
          <w:rFonts w:hint="eastAsia"/>
        </w:rPr>
      </w:pPr>
      <w:r>
        <w:rPr>
          <w:rFonts w:hint="eastAsia"/>
        </w:rPr>
        <w:t>隐性研究方法文本（method_text_implicit）：结果、分析、讨论、案例描述、访谈流程、统计与建模描述等关键句（100–300字）。</w:t>
      </w:r>
    </w:p>
    <w:p w14:paraId="0E466691">
      <w:pPr>
        <w:rPr>
          <w:rFonts w:hint="eastAsia"/>
        </w:rPr>
      </w:pPr>
      <w:r>
        <w:rPr>
          <w:rFonts w:hint="eastAsia"/>
        </w:rPr>
        <w:t>这两类文本的功能，是把“方法信息散落在全文各处”的常见写法统一为可审计的摘录锚点，为SCALE编码与后续争议裁决提供同一份证据底座。</w:t>
      </w:r>
    </w:p>
    <w:p w14:paraId="7E3A911F">
      <w:pPr>
        <w:rPr>
          <w:rFonts w:hint="eastAsia"/>
        </w:rPr>
      </w:pPr>
    </w:p>
    <w:p w14:paraId="02A96CDB">
      <w:pPr>
        <w:rPr>
          <w:rFonts w:hint="eastAsia"/>
        </w:rPr>
      </w:pPr>
      <w:r>
        <w:rPr>
          <w:rFonts w:hint="eastAsia"/>
        </w:rPr>
        <w:t>2.3方法透明度（MethodTransparency）：分档定义</w:t>
      </w:r>
    </w:p>
    <w:p w14:paraId="251F0FC1">
      <w:pPr>
        <w:rPr>
          <w:rFonts w:hint="eastAsia"/>
        </w:rPr>
      </w:pPr>
      <w:r>
        <w:rPr>
          <w:rFonts w:hint="eastAsia"/>
        </w:rPr>
        <w:t>方法透明度（MethodTransparency）的分档（高/中/低）在定稿方案中给出了明确操作性定义：</w:t>
      </w:r>
    </w:p>
    <w:p w14:paraId="5C2952C7">
      <w:pPr>
        <w:rPr>
          <w:rFonts w:hint="eastAsia"/>
        </w:rPr>
      </w:pPr>
      <w:r>
        <w:rPr>
          <w:rFonts w:hint="eastAsia"/>
        </w:rPr>
        <w:t>高（High）：有独立“研究设计/方法”小节，清晰列出方法名称、数据来源/规模、步骤或软件，并给出复现线索（代码/附录/数据说明）；中（Medium）与低（Low）分别对应“方法词明确但数据/步骤模糊”和“无方法小节或仅空泛术语”。</w:t>
      </w:r>
    </w:p>
    <w:p w14:paraId="3E6E3910">
      <w:pPr>
        <w:rPr>
          <w:rFonts w:hint="eastAsia"/>
        </w:rPr>
      </w:pPr>
      <w:r>
        <w:rPr>
          <w:rFonts w:hint="eastAsia"/>
        </w:rPr>
        <w:t>同时，MethodTransparency被定位为“SCALE的输入字段”，而“唯一进入BN的特征来自SCALE最终编码表”。</w:t>
      </w:r>
    </w:p>
    <w:p w14:paraId="042E5EA7">
      <w:pPr>
        <w:rPr>
          <w:rFonts w:hint="eastAsia"/>
        </w:rPr>
      </w:pPr>
    </w:p>
    <w:p w14:paraId="285AF027">
      <w:pPr>
        <w:rPr>
          <w:rFonts w:hint="eastAsia"/>
        </w:rPr>
      </w:pPr>
      <w:r>
        <w:rPr>
          <w:rFonts w:hint="eastAsia"/>
        </w:rPr>
        <w:t>二、SCALE编码与封版变量表</w:t>
      </w:r>
    </w:p>
    <w:p w14:paraId="1A1B77B6">
      <w:pPr>
        <w:rPr>
          <w:rFonts w:hint="eastAsia"/>
        </w:rPr>
      </w:pPr>
      <w:r>
        <w:rPr>
          <w:rFonts w:hint="eastAsia"/>
        </w:rPr>
        <w:t>1.SCALE的角色：把“文本→变量”的主观性压缩到可核对的规则体系</w:t>
      </w:r>
    </w:p>
    <w:p w14:paraId="27BC7C30">
      <w:pPr>
        <w:rPr>
          <w:rFonts w:hint="eastAsia"/>
        </w:rPr>
      </w:pPr>
      <w:r>
        <w:rPr>
          <w:rFonts w:hint="eastAsia"/>
        </w:rPr>
        <w:t>定稿方案对SCALE的定位是：前端以SCALE框架完成“文本→变量”的人机协同编码，并设置一致性门槛；后端再进入贝叶斯网络（BayesianNetwork,BN）完成结构/参数学习与情境推演。</w:t>
      </w:r>
    </w:p>
    <w:p w14:paraId="4A5117F9">
      <w:pPr>
        <w:rPr>
          <w:rFonts w:hint="eastAsia"/>
        </w:rPr>
      </w:pPr>
      <w:r>
        <w:rPr>
          <w:rFonts w:hint="eastAsia"/>
        </w:rPr>
        <w:t>因此，SCALE阶段的核心交付，不是“更漂亮的叙述”，而是：规则（codebook）—理由（ruleID+解释）—一致性（α/κ）—封版表（scale_labels.csv）的闭环。</w:t>
      </w:r>
    </w:p>
    <w:p w14:paraId="1C8151C6">
      <w:pPr>
        <w:rPr>
          <w:rFonts w:hint="eastAsia"/>
        </w:rPr>
      </w:pPr>
    </w:p>
    <w:p w14:paraId="68597FD2">
      <w:pPr>
        <w:rPr>
          <w:rFonts w:hint="eastAsia"/>
        </w:rPr>
      </w:pPr>
      <w:r>
        <w:rPr>
          <w:rFonts w:hint="eastAsia"/>
        </w:rPr>
        <w:t>2.多代理配置：四类学科背景与“方法光谱”</w:t>
      </w:r>
    </w:p>
    <w:p w14:paraId="40AB46C7">
      <w:pPr>
        <w:rPr>
          <w:rFonts w:hint="eastAsia"/>
        </w:rPr>
      </w:pPr>
      <w:r>
        <w:rPr>
          <w:rFonts w:hint="eastAsia"/>
        </w:rPr>
        <w:t>SCALE采用四个代理（Agent），其学科背景与偏好被固化为：法学（规范性优先）、政治学/管理学（社会科学实证优先）、安全科学/情报学（建模/数学方法优先）、哲学/思政（思辨与话语敏感）。四类代理共同形成“规范—实证—技术—思辨”的方法光谱。</w:t>
      </w:r>
    </w:p>
    <w:p w14:paraId="62790D47">
      <w:pPr>
        <w:rPr>
          <w:rFonts w:hint="eastAsia"/>
        </w:rPr>
      </w:pPr>
      <w:r>
        <w:rPr>
          <w:rFonts w:hint="eastAsia"/>
        </w:rPr>
        <w:t>与此相配套，操作手册要求记录模型名称/版本、部署方式、温度/随机种子等元信息，以保证后续可追溯。</w:t>
      </w:r>
    </w:p>
    <w:p w14:paraId="13FD441E">
      <w:pPr>
        <w:rPr>
          <w:rFonts w:hint="eastAsia"/>
        </w:rPr>
      </w:pPr>
    </w:p>
    <w:p w14:paraId="4CDC9FA0">
      <w:pPr>
        <w:rPr>
          <w:rFonts w:hint="eastAsia"/>
        </w:rPr>
      </w:pPr>
      <w:r>
        <w:rPr>
          <w:rFonts w:hint="eastAsia"/>
        </w:rPr>
        <w:t>3.代码簿（codebook）与规则粒度：可离散、可举例、可排除</w:t>
      </w:r>
    </w:p>
    <w:p w14:paraId="47EB76B5">
      <w:pPr>
        <w:rPr>
          <w:rFonts w:hint="eastAsia"/>
        </w:rPr>
      </w:pPr>
      <w:r>
        <w:rPr>
          <w:rFonts w:hint="eastAsia"/>
        </w:rPr>
        <w:t>SCALE的规则体系以代码簿（codebook）版本链为载体：从v0起步，经校准讨论演化至v1，再在主编码后裁决冻结为v*。</w:t>
      </w:r>
    </w:p>
    <w:p w14:paraId="415C4617">
      <w:pPr>
        <w:rPr>
          <w:rFonts w:hint="eastAsia"/>
        </w:rPr>
      </w:pPr>
      <w:r>
        <w:rPr>
          <w:rFonts w:hint="eastAsia"/>
        </w:rPr>
        <w:t>规则粒度要求被明确为“每条规则仅覆盖一个明确定义的情景/类别”，并配套记录：ID、名称、定义、正/反示例、排除条件与适用边界。</w:t>
      </w:r>
    </w:p>
    <w:p w14:paraId="4CE862BD">
      <w:pPr>
        <w:rPr>
          <w:rFonts w:hint="eastAsia"/>
        </w:rPr>
      </w:pPr>
      <w:r>
        <w:rPr>
          <w:rFonts w:hint="eastAsia"/>
        </w:rPr>
        <w:t>独立编码时，每条样本须输出“标签+适用规则ID+1–2句理由”。</w:t>
      </w:r>
    </w:p>
    <w:p w14:paraId="31AC3D90">
      <w:pPr>
        <w:rPr>
          <w:rFonts w:hint="eastAsia"/>
        </w:rPr>
      </w:pPr>
    </w:p>
    <w:p w14:paraId="0983EEB0">
      <w:pPr>
        <w:rPr>
          <w:rFonts w:hint="eastAsia"/>
        </w:rPr>
      </w:pPr>
      <w:r>
        <w:rPr>
          <w:rFonts w:hint="eastAsia"/>
        </w:rPr>
        <w:t>4.编码执行：校准轮→一致性闸门→主编码→冻结→金标外部效度</w:t>
      </w:r>
    </w:p>
    <w:p w14:paraId="3FF0D7F0">
      <w:pPr>
        <w:rPr>
          <w:rFonts w:hint="eastAsia"/>
        </w:rPr>
      </w:pPr>
      <w:r>
        <w:rPr>
          <w:rFonts w:hint="eastAsia"/>
        </w:rPr>
        <w:t>4.1校准轮（calibration）：80篇、K=2</w:t>
      </w:r>
    </w:p>
    <w:p w14:paraId="14C83D88">
      <w:pPr>
        <w:rPr>
          <w:rFonts w:hint="eastAsia"/>
        </w:rPr>
      </w:pPr>
      <w:r>
        <w:rPr>
          <w:rFonts w:hint="eastAsia"/>
        </w:rPr>
        <w:t>校准轮抽样10%（80篇）独立编码→冲突池→讨论轮次上限K=2→代码簿v0→v1。</w:t>
      </w:r>
    </w:p>
    <w:p w14:paraId="4E81E6F7">
      <w:pPr>
        <w:rPr>
          <w:rFonts w:hint="eastAsia"/>
        </w:rPr>
      </w:pPr>
    </w:p>
    <w:p w14:paraId="12A20500">
      <w:pPr>
        <w:rPr>
          <w:rFonts w:hint="eastAsia"/>
        </w:rPr>
      </w:pPr>
      <w:r>
        <w:rPr>
          <w:rFonts w:hint="eastAsia"/>
        </w:rPr>
        <w:t>4.2一致性门槛：克里彭多夫α（Krippendorff’sα）的双阈值</w:t>
      </w:r>
    </w:p>
    <w:p w14:paraId="6822B53D">
      <w:pPr>
        <w:rPr>
          <w:rFonts w:hint="eastAsia"/>
        </w:rPr>
      </w:pPr>
      <w:r>
        <w:rPr>
          <w:rFonts w:hint="eastAsia"/>
        </w:rPr>
        <w:t>一致性门槛被固化为：α≥0.80（理想）；α≥0.67（可接受；低于者返工或变量降级为辅助/Unknown）。</w:t>
      </w:r>
    </w:p>
    <w:p w14:paraId="533D61B7">
      <w:pPr>
        <w:rPr>
          <w:rFonts w:hint="eastAsia"/>
        </w:rPr>
      </w:pPr>
      <w:r>
        <w:rPr>
          <w:rFonts w:hint="eastAsia"/>
        </w:rPr>
        <w:t>操作手册进一步强调：α的度量层级、置信区间/自助法细节、以及κ（如采用）都应记录在一致性报告中。</w:t>
      </w:r>
    </w:p>
    <w:p w14:paraId="56EB23FA">
      <w:pPr>
        <w:rPr>
          <w:rFonts w:hint="eastAsia"/>
        </w:rPr>
      </w:pPr>
    </w:p>
    <w:p w14:paraId="5D94A7CA">
      <w:pPr>
        <w:rPr>
          <w:rFonts w:hint="eastAsia"/>
        </w:rPr>
      </w:pPr>
      <w:r>
        <w:rPr>
          <w:rFonts w:hint="eastAsia"/>
        </w:rPr>
        <w:t>4.3主编码与冻结：v1全样本编码、分歧裁决与v*</w:t>
      </w:r>
    </w:p>
    <w:p w14:paraId="019954BF">
      <w:pPr>
        <w:rPr>
          <w:rFonts w:hint="eastAsia"/>
        </w:rPr>
      </w:pPr>
      <w:r>
        <w:rPr>
          <w:rFonts w:hint="eastAsia"/>
        </w:rPr>
        <w:t>主编码以v1编码全体；每条记录保留“规则ID+一句理由”；残余分歧按“理由充分优先/资深代理仲裁/专家裁决”冻结为v*。</w:t>
      </w:r>
    </w:p>
    <w:p w14:paraId="5E375A55">
      <w:pPr>
        <w:rPr>
          <w:rFonts w:hint="eastAsia"/>
        </w:rPr>
      </w:pPr>
      <w:r>
        <w:rPr>
          <w:rFonts w:hint="eastAsia"/>
        </w:rPr>
        <w:t>操作手册对冻结给出清晰定义：产出最终标签集与最终代码簿v*，进入统计环节。</w:t>
      </w:r>
    </w:p>
    <w:p w14:paraId="502C6393">
      <w:pPr>
        <w:rPr>
          <w:rFonts w:hint="eastAsia"/>
        </w:rPr>
      </w:pPr>
    </w:p>
    <w:p w14:paraId="549F999F">
      <w:pPr>
        <w:rPr>
          <w:rFonts w:hint="eastAsia"/>
        </w:rPr>
      </w:pPr>
      <w:r>
        <w:rPr>
          <w:rFonts w:hint="eastAsia"/>
        </w:rPr>
        <w:t>4.4金标集（goldset）：40篇，仅用于评估编码质量</w:t>
      </w:r>
    </w:p>
    <w:p w14:paraId="442CEE09">
      <w:pPr>
        <w:rPr>
          <w:rFonts w:hint="eastAsia"/>
        </w:rPr>
      </w:pPr>
      <w:r>
        <w:rPr>
          <w:rFonts w:hint="eastAsia"/>
        </w:rPr>
        <w:t>金标集为“双盲40篇”，仅用于评估编码质量（准确率/F1），不参与主线建模口径的再调整。</w:t>
      </w:r>
    </w:p>
    <w:p w14:paraId="634C2933">
      <w:pPr>
        <w:rPr>
          <w:rFonts w:hint="eastAsia"/>
        </w:rPr>
      </w:pPr>
    </w:p>
    <w:p w14:paraId="1D1A4426">
      <w:pPr>
        <w:rPr>
          <w:rFonts w:hint="eastAsia"/>
        </w:rPr>
      </w:pPr>
      <w:r>
        <w:rPr>
          <w:rFonts w:hint="eastAsia"/>
        </w:rPr>
        <w:t>5.封版变量表：scale_labels.csv（800×10）与Unknown/0规则</w:t>
      </w:r>
    </w:p>
    <w:p w14:paraId="6BA55C31">
      <w:pPr>
        <w:rPr>
          <w:rFonts w:hint="eastAsia"/>
        </w:rPr>
      </w:pPr>
      <w:r>
        <w:rPr>
          <w:rFonts w:hint="eastAsia"/>
        </w:rPr>
        <w:t>封版输出表（唯一入BN的最终变量表）为scale_labels.csv。</w:t>
      </w:r>
    </w:p>
    <w:p w14:paraId="10160A58">
      <w:pPr>
        <w:rPr>
          <w:rFonts w:hint="eastAsia"/>
        </w:rPr>
      </w:pPr>
      <w:r>
        <w:rPr>
          <w:rFonts w:hint="eastAsia"/>
        </w:rPr>
        <w:t>其结构被明确为800×10：以paper_id为主键，包含year、topic，以及三类方法变量（MethodTag、Methodology、MethodFamily）与四类情境变量（PolicySalience、PoliticalSensitivity、SecrecyConstraint、DataAccess）。</w:t>
      </w:r>
    </w:p>
    <w:p w14:paraId="676D1BA3">
      <w:pPr>
        <w:rPr>
          <w:rFonts w:hint="eastAsia"/>
        </w:rPr>
      </w:pPr>
      <w:r>
        <w:rPr>
          <w:rFonts w:hint="eastAsia"/>
        </w:rPr>
        <w:t>缺失处理的最终口径是双层写法，但落到入模时只有一个数值规则：</w:t>
      </w:r>
    </w:p>
    <w:p w14:paraId="416BE117">
      <w:pPr>
        <w:rPr>
          <w:rFonts w:hint="eastAsia"/>
        </w:rPr>
      </w:pPr>
      <w:r>
        <w:rPr>
          <w:rFonts w:hint="eastAsia"/>
        </w:rPr>
        <w:t>概念层面：Unknown/缺失；</w:t>
      </w:r>
    </w:p>
    <w:p w14:paraId="4BF5621F">
      <w:pPr>
        <w:rPr>
          <w:rFonts w:hint="eastAsia"/>
        </w:rPr>
      </w:pPr>
      <w:r>
        <w:rPr>
          <w:rFonts w:hint="eastAsia"/>
        </w:rPr>
        <w:t>入模层面：统一数值编码为0，作为显式状态参与估计；不做数值插补或隐式删除。</w:t>
      </w:r>
    </w:p>
    <w:p w14:paraId="07287857">
      <w:pPr>
        <w:rPr>
          <w:rFonts w:hint="eastAsia"/>
        </w:rPr>
      </w:pPr>
    </w:p>
    <w:p w14:paraId="6BE8CD40">
      <w:pPr>
        <w:rPr>
          <w:rFonts w:hint="eastAsia"/>
        </w:rPr>
      </w:pPr>
      <w:r>
        <w:rPr>
          <w:rFonts w:hint="eastAsia"/>
        </w:rPr>
        <w:t>6.变量操作化与离散化：分档方式与锚点/排除例</w:t>
      </w:r>
    </w:p>
    <w:p w14:paraId="76099F94">
      <w:pPr>
        <w:rPr>
          <w:rFonts w:hint="eastAsia"/>
        </w:rPr>
      </w:pPr>
      <w:r>
        <w:rPr>
          <w:rFonts w:hint="eastAsia"/>
        </w:rPr>
        <w:t>变量操作化与离散化被写成“锚点+排除例”的规则体系，统一口径与分档；各变量离散分档均允许Unknown/NA，并在建模入模时统一编码为0。</w:t>
      </w:r>
    </w:p>
    <w:p w14:paraId="23316FB2">
      <w:pPr>
        <w:rPr>
          <w:rFonts w:hint="eastAsia"/>
        </w:rPr>
      </w:pPr>
      <w:r>
        <w:rPr>
          <w:rFonts w:hint="eastAsia"/>
        </w:rPr>
        <w:t>离散化策略为：主用等频4档；极端不平衡并为3档；缺失统一Unknown。</w:t>
      </w:r>
    </w:p>
    <w:p w14:paraId="5C2359D9">
      <w:pPr>
        <w:rPr>
          <w:rFonts w:hint="eastAsia"/>
        </w:rPr>
      </w:pPr>
    </w:p>
    <w:p w14:paraId="7A6698F0">
      <w:pPr>
        <w:rPr>
          <w:rFonts w:hint="eastAsia"/>
        </w:rPr>
      </w:pPr>
      <w:r>
        <w:rPr>
          <w:rFonts w:hint="eastAsia"/>
        </w:rPr>
        <w:t>三、贝叶斯网络（BayesianNetwork,BN）主线：结构学习、稳健性与情境推演</w:t>
      </w:r>
    </w:p>
    <w:p w14:paraId="32B01162">
      <w:pPr>
        <w:rPr>
          <w:rFonts w:hint="eastAsia"/>
        </w:rPr>
      </w:pPr>
      <w:r>
        <w:rPr>
          <w:rFonts w:hint="eastAsia"/>
        </w:rPr>
        <w:t>1.输入节点集：封版表+年段派生</w:t>
      </w:r>
    </w:p>
    <w:p w14:paraId="68B49553">
      <w:pPr>
        <w:rPr>
          <w:rFonts w:hint="eastAsia"/>
        </w:rPr>
      </w:pPr>
      <w:r>
        <w:rPr>
          <w:rFonts w:hint="eastAsia"/>
        </w:rPr>
        <w:t>BN输入数据为已封版的SCALE全量数据表（n=800），变量均为离散化取值并与变量字典对齐；时间字段year覆盖1999–2025，并派生YearBin（1999–2014/2015–2019/2020–2025）用于结构稳定性与外推评估。</w:t>
      </w:r>
    </w:p>
    <w:p w14:paraId="7B48B1A9">
      <w:pPr>
        <w:rPr>
          <w:rFonts w:hint="eastAsia"/>
        </w:rPr>
      </w:pPr>
      <w:r>
        <w:rPr>
          <w:rFonts w:hint="eastAsia"/>
        </w:rPr>
        <w:t>YearBin的边界固定且未知=0：1=1999–2014；2=2015–2019；3=2020–2025；未知=0。</w:t>
      </w:r>
    </w:p>
    <w:p w14:paraId="40C9C922">
      <w:pPr>
        <w:rPr>
          <w:rFonts w:hint="eastAsia"/>
        </w:rPr>
      </w:pPr>
    </w:p>
    <w:p w14:paraId="158C879E">
      <w:pPr>
        <w:rPr>
          <w:rFonts w:hint="eastAsia"/>
        </w:rPr>
      </w:pPr>
      <w:r>
        <w:rPr>
          <w:rFonts w:hint="eastAsia"/>
        </w:rPr>
        <w:t>2.结构学习：方案A/B对比与主模型确定</w:t>
      </w:r>
    </w:p>
    <w:p w14:paraId="5EB0EEAB">
      <w:pPr>
        <w:rPr>
          <w:rFonts w:hint="eastAsia"/>
        </w:rPr>
      </w:pPr>
      <w:r>
        <w:rPr>
          <w:rFonts w:hint="eastAsia"/>
        </w:rPr>
        <w:t>正文明确存在“方案Avs方案B”的结构学习评分比较（表3），并在确定以方案B作为后续分析主模型后，再进入自举稳定性检验。</w:t>
      </w:r>
    </w:p>
    <w:p w14:paraId="2495291D">
      <w:pPr>
        <w:rPr>
          <w:rFonts w:hint="eastAsia"/>
        </w:rPr>
      </w:pPr>
      <w:r>
        <w:rPr>
          <w:rFonts w:hint="eastAsia"/>
        </w:rPr>
        <w:t>这一结构（A/B评分→择优→稳定性）也在定稿方案中被固化为标准流程。</w:t>
      </w:r>
    </w:p>
    <w:p w14:paraId="3D15555B">
      <w:pPr>
        <w:rPr>
          <w:rFonts w:hint="eastAsia"/>
        </w:rPr>
      </w:pPr>
    </w:p>
    <w:p w14:paraId="1F9DDC85">
      <w:pPr>
        <w:rPr>
          <w:rFonts w:hint="eastAsia"/>
        </w:rPr>
      </w:pPr>
      <w:r>
        <w:rPr>
          <w:rFonts w:hint="eastAsia"/>
        </w:rPr>
        <w:t>3.算法、先验与约束：HC+BIC主、PC辅；两档先验对比</w:t>
      </w:r>
    </w:p>
    <w:p w14:paraId="6F178473">
      <w:pPr>
        <w:rPr>
          <w:rFonts w:hint="eastAsia"/>
        </w:rPr>
      </w:pPr>
      <w:r>
        <w:rPr>
          <w:rFonts w:hint="eastAsia"/>
        </w:rPr>
        <w:t>定稿方案将学习与推断写为：结构学习以爬山搜索（Hill-Climb,HC）+贝叶斯信息准则（BIC）为主，PC（PCalgorithm）为辅。</w:t>
      </w:r>
    </w:p>
    <w:p w14:paraId="5A058CAD">
      <w:pPr>
        <w:rPr>
          <w:rFonts w:hint="eastAsia"/>
        </w:rPr>
      </w:pPr>
      <w:r>
        <w:rPr>
          <w:rFonts w:hint="eastAsia"/>
        </w:rPr>
        <w:t>先验强度采用两档对比：“无先验vs中等先验”，并给出参数先验为狄利克雷先验（Dirichletprior）α=1.5，同时引入边惩罚λ（中）。</w:t>
      </w:r>
    </w:p>
    <w:p w14:paraId="49785AFD">
      <w:pPr>
        <w:rPr>
          <w:rFonts w:hint="eastAsia"/>
        </w:rPr>
      </w:pPr>
      <w:r>
        <w:rPr>
          <w:rFonts w:hint="eastAsia"/>
        </w:rPr>
        <w:t>结构约束使用最小白/黑名单：白名单包含topic→MethodFamily、PolicySalience→MethodFamily、YearBin→*、MethodFamily→MethodNormativity；黑名单禁止方法变量反向指向情境变量等。</w:t>
      </w:r>
    </w:p>
    <w:p w14:paraId="03087269">
      <w:pPr>
        <w:rPr>
          <w:rFonts w:hint="eastAsia"/>
        </w:rPr>
      </w:pPr>
    </w:p>
    <w:p w14:paraId="4F598730">
      <w:pPr>
        <w:rPr>
          <w:rFonts w:hint="eastAsia"/>
        </w:rPr>
      </w:pPr>
      <w:r>
        <w:rPr>
          <w:rFonts w:hint="eastAsia"/>
        </w:rPr>
        <w:t>4.“MVP→生长”结构：按假说分层加入变量</w:t>
      </w:r>
    </w:p>
    <w:p w14:paraId="7F24672D">
      <w:pPr>
        <w:rPr>
          <w:rFonts w:hint="eastAsia"/>
        </w:rPr>
      </w:pPr>
      <w:r>
        <w:rPr>
          <w:rFonts w:hint="eastAsia"/>
        </w:rPr>
        <w:t>BN主线采用“最小可行模型（MVP）→小步生长”的控制复杂度策略：</w:t>
      </w:r>
    </w:p>
    <w:p w14:paraId="7C370B89">
      <w:pPr>
        <w:rPr>
          <w:rFonts w:hint="eastAsia"/>
        </w:rPr>
      </w:pPr>
      <w:r>
        <w:rPr>
          <w:rFonts w:hint="eastAsia"/>
        </w:rPr>
        <w:t>MVP节点（5–6个）：topic、YearBin、PolicySalience、MethodFamily（目标）、MethodNormativity（MethodTransparency可选）。</w:t>
      </w:r>
    </w:p>
    <w:p w14:paraId="10FFFC22">
      <w:pPr>
        <w:rPr>
          <w:rFonts w:hint="eastAsia"/>
        </w:rPr>
      </w:pPr>
      <w:r>
        <w:rPr>
          <w:rFonts w:hint="eastAsia"/>
        </w:rPr>
        <w:t>生长一：加入DataAccess，检验其对MethodFamily与MethodNormativity的路径增量。</w:t>
      </w:r>
    </w:p>
    <w:p w14:paraId="46DA0FB8">
      <w:pPr>
        <w:rPr>
          <w:rFonts w:hint="eastAsia"/>
        </w:rPr>
      </w:pPr>
      <w:r>
        <w:rPr>
          <w:rFonts w:hint="eastAsia"/>
        </w:rPr>
        <w:t>生长二：加入PoliticalSensitivity，与PolicySalience并置，观察相对贡献与条件独立/屏蔽关系。</w:t>
      </w:r>
    </w:p>
    <w:p w14:paraId="0324CB8B">
      <w:pPr>
        <w:rPr>
          <w:rFonts w:hint="eastAsia"/>
        </w:rPr>
      </w:pPr>
      <w:r>
        <w:rPr>
          <w:rFonts w:hint="eastAsia"/>
        </w:rPr>
        <w:t>生长三（H3中介链）：加入MethodTransparency，并开放PoliticalSensitivity→MethodTransparency、SecrecyConstraint→MethodTransparency、MethodTransparency→MethodNormativity的路径，用于集中检验“透明度中介”。</w:t>
      </w:r>
    </w:p>
    <w:p w14:paraId="74D6EDD5">
      <w:pPr>
        <w:rPr>
          <w:rFonts w:hint="eastAsia"/>
        </w:rPr>
      </w:pPr>
    </w:p>
    <w:p w14:paraId="1F5E9668">
      <w:pPr>
        <w:rPr>
          <w:rFonts w:hint="eastAsia"/>
        </w:rPr>
      </w:pPr>
      <w:r>
        <w:rPr>
          <w:rFonts w:hint="eastAsia"/>
        </w:rPr>
        <w:t>5.稳健性：自举（bootstrap）与稳定边阈值</w:t>
      </w:r>
    </w:p>
    <w:p w14:paraId="059E30DD">
      <w:pPr>
        <w:rPr>
          <w:rFonts w:hint="eastAsia"/>
        </w:rPr>
      </w:pPr>
      <w:r>
        <w:rPr>
          <w:rFonts w:hint="eastAsia"/>
        </w:rPr>
        <w:t>正文在“表3之后—图4/图5”部分给出了自举稳定性检验的完整叙述：</w:t>
      </w:r>
    </w:p>
    <w:p w14:paraId="62814387">
      <w:pPr>
        <w:rPr>
          <w:rFonts w:hint="eastAsia"/>
        </w:rPr>
      </w:pPr>
      <w:r>
        <w:rPr>
          <w:rFonts w:hint="eastAsia"/>
        </w:rPr>
        <w:t>在保持变量集合与约束设定不变的前提下，多次重抽样、每轮重新运行结构学习，统计边出现频率并形成边频率矩阵（图4）。</w:t>
      </w:r>
    </w:p>
    <w:p w14:paraId="46020FB9">
      <w:pPr>
        <w:rPr>
          <w:rFonts w:hint="eastAsia"/>
        </w:rPr>
      </w:pPr>
      <w:r>
        <w:rPr>
          <w:rFonts w:hint="eastAsia"/>
        </w:rPr>
        <w:t>图4的频率分布显示多数候选边集中在0.3–0.6，超过0.7的高频边极少；据此采用freq≥0.7作为“稳定边”阈值，仅将跨越阈值的边纳入稳定骨架（图5）。</w:t>
      </w:r>
    </w:p>
    <w:p w14:paraId="42563F2F">
      <w:pPr>
        <w:rPr>
          <w:rFonts w:hint="eastAsia"/>
        </w:rPr>
      </w:pPr>
      <w:r>
        <w:rPr>
          <w:rFonts w:hint="eastAsia"/>
        </w:rPr>
        <w:t>在稳定骨架的解释上，正文明确指出：YearBin与PolicySalience、MethodFamily形成相对稳健主链，其他情境变量与细粒度方法子类未形成跨样本高度一致的联系。</w:t>
      </w:r>
    </w:p>
    <w:p w14:paraId="585C3907">
      <w:pPr>
        <w:rPr>
          <w:rFonts w:hint="eastAsia"/>
        </w:rPr>
      </w:pPr>
    </w:p>
    <w:p w14:paraId="6A2B578F">
      <w:pPr>
        <w:rPr>
          <w:rFonts w:hint="eastAsia"/>
        </w:rPr>
      </w:pPr>
      <w:r>
        <w:rPr>
          <w:rFonts w:hint="eastAsia"/>
        </w:rPr>
        <w:t>6.外推评估：按年段“早期训练→后期测试”</w:t>
      </w:r>
    </w:p>
    <w:p w14:paraId="6A8EA23A">
      <w:pPr>
        <w:rPr>
          <w:rFonts w:hint="eastAsia"/>
        </w:rPr>
      </w:pPr>
      <w:r>
        <w:rPr>
          <w:rFonts w:hint="eastAsia"/>
        </w:rPr>
        <w:t>定稿方案将外推评估写为按年段“早期训练→后期测试”；若目标为分类给出Accuracy/F1/AUC，若为有序适配度给出MAE/QLoss，并再次固化YearBin边界与year不直接入模的规则。</w:t>
      </w:r>
    </w:p>
    <w:p w14:paraId="6136EDFF">
      <w:pPr>
        <w:rPr>
          <w:rFonts w:hint="eastAsia"/>
        </w:rPr>
      </w:pPr>
    </w:p>
    <w:p w14:paraId="5B4D4B58">
      <w:pPr>
        <w:rPr>
          <w:rFonts w:hint="eastAsia"/>
        </w:rPr>
      </w:pPr>
      <w:r>
        <w:rPr>
          <w:rFonts w:hint="eastAsia"/>
        </w:rPr>
        <w:t>7.情境推演：do算子（do-operator）与“方法—场景匹配矩阵”</w:t>
      </w:r>
    </w:p>
    <w:p w14:paraId="13D2BA63">
      <w:pPr>
        <w:rPr>
          <w:rFonts w:hint="eastAsia"/>
        </w:rPr>
      </w:pPr>
      <w:r>
        <w:rPr>
          <w:rFonts w:hint="eastAsia"/>
        </w:rPr>
        <w:t>情境化示范被限定为≤2个为主，输出“方法—场景匹配矩阵”；其操作形式是对情境变量做少量反事实干预（do-operator），观察方法门类（MethodFamily）与方法规范度（MethodNormativity）的后验变化。</w:t>
      </w:r>
    </w:p>
    <w:p w14:paraId="40D73703">
      <w:pPr>
        <w:rPr>
          <w:rFonts w:hint="eastAsia"/>
        </w:rPr>
      </w:pPr>
      <w:r>
        <w:rPr>
          <w:rFonts w:hint="eastAsia"/>
        </w:rPr>
        <w:t>对H3的推演被明确标注为“拓展性机制检验（依托补充透明度表/替代构造），仅作机制推演/旁证，不与H1/H2同等强度”，并通过两种干预序列对比：提升敏感/保密vs同时强制透明度为High。</w:t>
      </w:r>
    </w:p>
    <w:p w14:paraId="2A67A784">
      <w:pPr>
        <w:rPr>
          <w:rFonts w:hint="eastAsia"/>
        </w:rPr>
      </w:pPr>
    </w:p>
    <w:p w14:paraId="711594BC">
      <w:pPr>
        <w:rPr>
          <w:rFonts w:hint="eastAsia"/>
        </w:rPr>
      </w:pPr>
      <w:r>
        <w:rPr>
          <w:rFonts w:hint="eastAsia"/>
        </w:rPr>
        <w:t>四、Unknown：显式状态入模与（可选）机制诊断</w:t>
      </w:r>
    </w:p>
    <w:p w14:paraId="583DE6D5">
      <w:pPr>
        <w:rPr>
          <w:rFonts w:hint="eastAsia"/>
        </w:rPr>
      </w:pPr>
      <w:r>
        <w:rPr>
          <w:rFonts w:hint="eastAsia"/>
        </w:rPr>
        <w:t>1.主线口径：Unknown/0作为显式类别</w:t>
      </w:r>
    </w:p>
    <w:p w14:paraId="403E47C3">
      <w:pPr>
        <w:rPr>
          <w:rFonts w:hint="eastAsia"/>
        </w:rPr>
      </w:pPr>
      <w:r>
        <w:rPr>
          <w:rFonts w:hint="eastAsia"/>
        </w:rPr>
        <w:t>Unknown在进入BN时保持为显式状态参与估计，不进行数值填补或隐式删除，以满足“最小必要披露原则”与可追溯底线要求。</w:t>
      </w:r>
    </w:p>
    <w:p w14:paraId="118BBE48">
      <w:pPr>
        <w:rPr>
          <w:rFonts w:hint="eastAsia"/>
        </w:rPr>
      </w:pPr>
      <w:r>
        <w:rPr>
          <w:rFonts w:hint="eastAsia"/>
        </w:rPr>
        <w:t>这一点在定稿方案中被重复固化：概念层面Unknown/NA，入模统一编码0并保留为显式状态。</w:t>
      </w:r>
    </w:p>
    <w:p w14:paraId="35CCCDB5">
      <w:pPr>
        <w:rPr>
          <w:rFonts w:hint="eastAsia"/>
        </w:rPr>
      </w:pPr>
      <w:r>
        <w:rPr>
          <w:rFonts w:hint="eastAsia"/>
        </w:rPr>
        <w:t>2.机制诊断：把Unknown从“技术缺失”转化为“语境信号”（独立小节）</w:t>
      </w:r>
    </w:p>
    <w:p w14:paraId="5004C410">
      <w:pPr>
        <w:rPr>
          <w:rFonts w:hint="eastAsia"/>
        </w:rPr>
      </w:pPr>
      <w:r>
        <w:rPr>
          <w:rFonts w:hint="eastAsia"/>
        </w:rPr>
        <w:t>定稿方案将Unknown机制诊断作为独立小节（4.3）写明了操作流程：</w:t>
      </w:r>
    </w:p>
    <w:p w14:paraId="6A54D87D">
      <w:pPr>
        <w:rPr>
          <w:rFonts w:hint="eastAsia"/>
        </w:rPr>
      </w:pPr>
      <w:r>
        <w:rPr>
          <w:rFonts w:hint="eastAsia"/>
        </w:rPr>
        <w:t>先在分析阶段生成缺失指示变量（missingnessindicators），例如M_DataAccess=1{DataAccess=Unknown}、M_Secrecy=1{SecrecyConstraint=Unknown}。</w:t>
      </w:r>
    </w:p>
    <w:p w14:paraId="6BF0BDC3">
      <w:pPr>
        <w:rPr>
          <w:rFonts w:hint="eastAsia"/>
        </w:rPr>
      </w:pPr>
      <w:r>
        <w:rPr>
          <w:rFonts w:hint="eastAsia"/>
        </w:rPr>
        <w:t>描述性检验：比较高/中/低PolicySalience组别中M_DataAccess的比例差异（条形图/列联表）。</w:t>
      </w:r>
    </w:p>
    <w:p w14:paraId="306ED516">
      <w:pPr>
        <w:rPr>
          <w:rFonts w:hint="eastAsia"/>
        </w:rPr>
      </w:pPr>
      <w:r>
        <w:rPr>
          <w:rFonts w:hint="eastAsia"/>
        </w:rPr>
        <w:t>统计检验：卡方检验（PolicySalience3档×M_DataAccess0/1）；必要时可选轻量Logit，以M_DataAccess为因变量、PolicySalience为主效应并控制YearBin、topic（可选PoliticalSensitivity）。</w:t>
      </w:r>
    </w:p>
    <w:p w14:paraId="04579B29">
      <w:pPr>
        <w:rPr>
          <w:rFonts w:hint="eastAsia"/>
        </w:rPr>
      </w:pPr>
      <w:r>
        <w:rPr>
          <w:rFonts w:hint="eastAsia"/>
        </w:rPr>
        <w:t>与BN的联动口径：Unknown机制诊断作为拓展性旁证材料，主结论仍以BN主实验（H1/H2）为中心。</w:t>
      </w:r>
    </w:p>
    <w:p w14:paraId="46DE83E0">
      <w:pPr>
        <w:rPr>
          <w:rFonts w:hint="eastAsia"/>
        </w:rPr>
      </w:pPr>
    </w:p>
    <w:p w14:paraId="2E78C92E">
      <w:pPr>
        <w:rPr>
          <w:rFonts w:hint="eastAsia"/>
        </w:rPr>
      </w:pPr>
      <w:r>
        <w:rPr>
          <w:rFonts w:hint="eastAsia"/>
        </w:rPr>
        <w:t>附：参数、标准与术语</w:t>
      </w:r>
    </w:p>
    <w:p w14:paraId="205DA22C">
      <w:pPr>
        <w:rPr>
          <w:rFonts w:hint="eastAsia"/>
        </w:rPr>
      </w:pPr>
      <w:r>
        <w:rPr>
          <w:rFonts w:hint="eastAsia"/>
        </w:rPr>
        <w:t>A.固化参数与质量门槛（便于对照正文/图表）</w:t>
      </w:r>
    </w:p>
    <w:p w14:paraId="4F3A3904">
      <w:pPr>
        <w:rPr>
          <w:rFonts w:hint="eastAsia"/>
        </w:rPr>
      </w:pPr>
      <w:r>
        <w:rPr>
          <w:rFonts w:hint="eastAsia"/>
        </w:rPr>
        <w:t>样本规模：800（n=800）</w:t>
      </w:r>
    </w:p>
    <w:p w14:paraId="41DAC629">
      <w:pPr>
        <w:rPr>
          <w:rFonts w:hint="eastAsia"/>
        </w:rPr>
      </w:pPr>
      <w:r>
        <w:rPr>
          <w:rFonts w:hint="eastAsia"/>
        </w:rPr>
        <w:t>校准轮样本：80（10%）</w:t>
      </w:r>
    </w:p>
    <w:p w14:paraId="34C14AD8">
      <w:pPr>
        <w:rPr>
          <w:rFonts w:hint="eastAsia" w:eastAsiaTheme="minorEastAsia"/>
          <w:lang w:eastAsia="zh-CN"/>
        </w:rPr>
      </w:pPr>
      <w:r>
        <w:rPr>
          <w:rFonts w:hint="eastAsia"/>
        </w:rPr>
        <w:t>讨论轮次上限：K=2</w:t>
      </w:r>
    </w:p>
    <w:p w14:paraId="5AC344D0">
      <w:pPr>
        <w:rPr>
          <w:rFonts w:hint="eastAsia"/>
        </w:rPr>
      </w:pPr>
      <w:r>
        <w:rPr>
          <w:rFonts w:hint="eastAsia"/>
        </w:rPr>
        <w:t>一致性门槛：Krippendorff’sα≥0.80（理想）；≥0.67（可接受）</w:t>
      </w:r>
    </w:p>
    <w:p w14:paraId="6A81A3C4">
      <w:pPr>
        <w:rPr>
          <w:rFonts w:hint="eastAsia"/>
        </w:rPr>
      </w:pPr>
      <w:r>
        <w:rPr>
          <w:rFonts w:hint="eastAsia"/>
        </w:rPr>
        <w:t>金标集：40（双盲）</w:t>
      </w:r>
    </w:p>
    <w:p w14:paraId="7560186D">
      <w:pPr>
        <w:rPr>
          <w:rFonts w:hint="eastAsia" w:eastAsiaTheme="minorEastAsia"/>
          <w:lang w:eastAsia="zh-CN"/>
        </w:rPr>
      </w:pPr>
      <w:r>
        <w:rPr>
          <w:rFonts w:hint="eastAsia"/>
        </w:rPr>
        <w:t>结构学习：爬山搜索（Hill-Climb）+BIC（Bayesian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Information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Criterion）；PC算法（PC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algorithm）为辅</w:t>
      </w:r>
    </w:p>
    <w:p w14:paraId="69F03384">
      <w:pPr>
        <w:rPr>
          <w:rFonts w:hint="eastAsia"/>
        </w:rPr>
      </w:pPr>
      <w:r>
        <w:rPr>
          <w:rFonts w:hint="eastAsia"/>
        </w:rPr>
        <w:t>先验对比：无先验vs中等先验；狄利克雷先验（Dirichlet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prior）α=1.5；边惩罚λ（中）</w:t>
      </w:r>
    </w:p>
    <w:p w14:paraId="5F670C18">
      <w:pPr>
        <w:rPr>
          <w:rFonts w:hint="eastAsia" w:eastAsiaTheme="minorEastAsia"/>
          <w:lang w:eastAsia="zh-CN"/>
        </w:rPr>
      </w:pPr>
      <w:r>
        <w:rPr>
          <w:rFonts w:hint="eastAsia"/>
        </w:rPr>
        <w:t>自举（bootstrap）稳定性：边频率阈值freq≥0.7；多数边频率集中0.3–0.6</w:t>
      </w:r>
    </w:p>
    <w:p w14:paraId="5842BC8C">
      <w:pPr>
        <w:rPr>
          <w:rFonts w:hint="eastAsia"/>
        </w:rPr>
      </w:pPr>
      <w:r>
        <w:rPr>
          <w:rFonts w:hint="eastAsia"/>
        </w:rPr>
        <w:t>Unknown：概念Unknown/NA；入模编码0；显式状态参与估计；不插补、不隐删</w:t>
      </w:r>
    </w:p>
    <w:p w14:paraId="5BD1AC17">
      <w:pPr>
        <w:rPr>
          <w:rFonts w:hint="eastAsia"/>
        </w:rPr>
      </w:pPr>
    </w:p>
    <w:p w14:paraId="2D3C9808">
      <w:pPr>
        <w:rPr>
          <w:rFonts w:hint="eastAsia"/>
        </w:rPr>
      </w:pPr>
      <w:r>
        <w:rPr>
          <w:rFonts w:hint="eastAsia"/>
        </w:rPr>
        <w:t>B.核心变量与编码口径</w:t>
      </w:r>
    </w:p>
    <w:p w14:paraId="3CB712AD">
      <w:pPr>
        <w:rPr>
          <w:rFonts w:hint="eastAsia"/>
        </w:rPr>
      </w:pPr>
      <w:r>
        <w:rPr>
          <w:rFonts w:hint="eastAsia"/>
        </w:rPr>
        <w:t>（下列变量均出自封版表scale_labels.csv的800×10主结构）</w:t>
      </w:r>
    </w:p>
    <w:p w14:paraId="5095F334">
      <w:pPr>
        <w:rPr>
          <w:rFonts w:hint="eastAsia"/>
        </w:rPr>
      </w:pPr>
      <w:r>
        <w:rPr>
          <w:rFonts w:hint="eastAsia"/>
        </w:rPr>
        <w:t>方法主轴（MethodTag）：10/20/30/40（规范/实证/思辨/技术）</w:t>
      </w:r>
    </w:p>
    <w:p w14:paraId="12D7FE54">
      <w:pPr>
        <w:rPr>
          <w:rFonts w:hint="eastAsia" w:eastAsiaTheme="minorEastAsia"/>
          <w:lang w:eastAsia="zh-CN"/>
        </w:rPr>
      </w:pPr>
      <w:r>
        <w:rPr>
          <w:rFonts w:hint="eastAsia"/>
        </w:rPr>
        <w:t>方法学类型（Methodology）：1=规范；2=定性；3=定量；4=混合；5=技术建模；未知=0</w:t>
      </w:r>
    </w:p>
    <w:p w14:paraId="669A20F9">
      <w:pPr>
        <w:rPr>
          <w:rFonts w:hint="eastAsia"/>
        </w:rPr>
      </w:pPr>
      <w:r>
        <w:rPr>
          <w:rFonts w:hint="eastAsia"/>
        </w:rPr>
        <w:t>方法门类（MethodFamily）：901…909；未知=0（映射聚合详见附录表M-1）</w:t>
      </w:r>
    </w:p>
    <w:p w14:paraId="09C8762C">
      <w:pPr>
        <w:rPr>
          <w:rFonts w:hint="eastAsia" w:eastAsiaTheme="minorEastAsia"/>
          <w:lang w:eastAsia="zh-CN"/>
        </w:rPr>
      </w:pPr>
      <w:r>
        <w:rPr>
          <w:rFonts w:hint="eastAsia"/>
        </w:rPr>
        <w:t>政策显著性（PolicySalience）：1=低；2=中；3=高；未知=0</w:t>
      </w:r>
    </w:p>
    <w:p w14:paraId="09893511">
      <w:pPr>
        <w:rPr>
          <w:rFonts w:hint="eastAsia" w:eastAsiaTheme="minorEastAsia"/>
          <w:lang w:eastAsia="zh-CN"/>
        </w:rPr>
      </w:pPr>
      <w:r>
        <w:rPr>
          <w:rFonts w:hint="eastAsia"/>
        </w:rPr>
        <w:t>政治敏感性（PoliticalSensitivity）：1=低；2=中；3=高；未知=0</w:t>
      </w:r>
    </w:p>
    <w:p w14:paraId="05DAB91A">
      <w:pPr>
        <w:rPr>
          <w:rFonts w:hint="eastAsia" w:eastAsiaTheme="minorEastAsia"/>
          <w:lang w:eastAsia="zh-CN"/>
        </w:rPr>
      </w:pPr>
      <w:r>
        <w:rPr>
          <w:rFonts w:hint="eastAsia"/>
        </w:rPr>
        <w:t>保密/披露限制（Secrecy</w:t>
      </w:r>
      <w:bookmarkStart w:id="0" w:name="_GoBack"/>
      <w:bookmarkEnd w:id="0"/>
      <w:r>
        <w:rPr>
          <w:rFonts w:hint="eastAsia"/>
        </w:rPr>
        <w:t>Constraint）：1=弱/低；2=中；3=强/高；未知=0</w:t>
      </w:r>
    </w:p>
    <w:p w14:paraId="5F1DF3D9">
      <w:pPr>
        <w:rPr>
          <w:rFonts w:hint="eastAsia" w:eastAsiaTheme="minorEastAsia"/>
          <w:lang w:eastAsia="zh-CN"/>
        </w:rPr>
      </w:pPr>
      <w:r>
        <w:rPr>
          <w:rFonts w:hint="eastAsia"/>
        </w:rPr>
        <w:t>数据可得性（DataAccess）：1=难/低；2=中；3=易/高；未知=0</w:t>
      </w:r>
    </w:p>
    <w:p w14:paraId="54C6D8CB">
      <w:pPr>
        <w:rPr>
          <w:rFonts w:hint="eastAsia" w:eastAsiaTheme="minorEastAsia"/>
          <w:lang w:eastAsia="zh-CN"/>
        </w:rPr>
      </w:pPr>
      <w:r>
        <w:rPr>
          <w:rFonts w:hint="eastAsia"/>
        </w:rPr>
        <w:t>年份分箱（YearBin）：1=1999–2014；2=2015–2019；3=2020–2025；未知=0</w:t>
      </w:r>
    </w:p>
    <w:p w14:paraId="3166644F">
      <w:pPr>
        <w:rPr>
          <w:rFonts w:hint="eastAsia"/>
        </w:rPr>
      </w:pPr>
    </w:p>
    <w:p w14:paraId="7BEA2797">
      <w:pPr>
        <w:rPr>
          <w:rFonts w:hint="eastAsia"/>
        </w:rPr>
      </w:pPr>
      <w:r>
        <w:rPr>
          <w:rFonts w:hint="eastAsia"/>
        </w:rPr>
        <w:t>C.BN关键术语</w:t>
      </w:r>
    </w:p>
    <w:p w14:paraId="635CB8AF">
      <w:pPr>
        <w:rPr>
          <w:rFonts w:hint="eastAsia"/>
        </w:rPr>
      </w:pPr>
      <w:r>
        <w:rPr>
          <w:rFonts w:hint="eastAsia"/>
        </w:rPr>
        <w:t>贝叶斯网络（Bayesian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Network,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BN）</w:t>
      </w:r>
    </w:p>
    <w:p w14:paraId="1E40639C">
      <w:pPr>
        <w:rPr>
          <w:rFonts w:hint="eastAsia"/>
        </w:rPr>
      </w:pPr>
      <w:r>
        <w:rPr>
          <w:rFonts w:hint="eastAsia"/>
        </w:rPr>
        <w:t>结构学习（Structure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learning）</w:t>
      </w:r>
    </w:p>
    <w:p w14:paraId="46F11F9C">
      <w:pPr>
        <w:rPr>
          <w:rFonts w:hint="eastAsia"/>
        </w:rPr>
      </w:pPr>
      <w:r>
        <w:rPr>
          <w:rFonts w:hint="eastAsia"/>
        </w:rPr>
        <w:t>参数估计（Parameter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estimation）</w:t>
      </w:r>
    </w:p>
    <w:p w14:paraId="6161087A">
      <w:pPr>
        <w:rPr>
          <w:rFonts w:hint="eastAsia"/>
        </w:rPr>
      </w:pPr>
      <w:r>
        <w:rPr>
          <w:rFonts w:hint="eastAsia"/>
        </w:rPr>
        <w:t>爬山搜索（Hill-Climb,HC）</w:t>
      </w:r>
    </w:p>
    <w:p w14:paraId="1E7A8FA7">
      <w:pPr>
        <w:rPr>
          <w:rFonts w:hint="eastAsia"/>
        </w:rPr>
      </w:pPr>
      <w:r>
        <w:rPr>
          <w:rFonts w:hint="eastAsia"/>
        </w:rPr>
        <w:t>贝叶斯信息准则（Bayesian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Information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Criterion,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BIC）</w:t>
      </w:r>
    </w:p>
    <w:p w14:paraId="16279BBE">
      <w:pPr>
        <w:rPr>
          <w:rFonts w:hint="eastAsia"/>
        </w:rPr>
      </w:pPr>
      <w:r>
        <w:rPr>
          <w:rFonts w:hint="eastAsia"/>
        </w:rPr>
        <w:t>PC算法（PC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algorithm）</w:t>
      </w:r>
    </w:p>
    <w:p w14:paraId="1C2385DF">
      <w:pPr>
        <w:rPr>
          <w:rFonts w:hint="eastAsia"/>
        </w:rPr>
      </w:pPr>
      <w:r>
        <w:rPr>
          <w:rFonts w:hint="eastAsia"/>
        </w:rPr>
        <w:t>狄利克雷先验（Dirichlet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prior）</w:t>
      </w:r>
    </w:p>
    <w:p w14:paraId="7560EA9D">
      <w:pPr>
        <w:rPr>
          <w:rFonts w:hint="eastAsia"/>
        </w:rPr>
      </w:pPr>
      <w:r>
        <w:rPr>
          <w:rFonts w:hint="eastAsia"/>
        </w:rPr>
        <w:t>自举（Bootstrap/bootstrap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resampling）</w:t>
      </w:r>
    </w:p>
    <w:p w14:paraId="3A1F67B0">
      <w:pPr>
        <w:rPr>
          <w:rFonts w:hint="eastAsia"/>
        </w:rPr>
      </w:pPr>
      <w:r>
        <w:rPr>
          <w:rFonts w:hint="eastAsia"/>
        </w:rPr>
        <w:t>边频率（Edge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frequency）</w:t>
      </w:r>
    </w:p>
    <w:p w14:paraId="374B5E37">
      <w:pPr>
        <w:rPr>
          <w:rFonts w:hint="eastAsia"/>
        </w:rPr>
      </w:pPr>
      <w:r>
        <w:rPr>
          <w:rFonts w:hint="eastAsia"/>
        </w:rPr>
        <w:t>稳定边阈值（Stability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threshold）</w:t>
      </w:r>
    </w:p>
    <w:p w14:paraId="48C03489">
      <w:pPr>
        <w:rPr>
          <w:rFonts w:hint="eastAsia"/>
        </w:rPr>
      </w:pPr>
      <w:r>
        <w:rPr>
          <w:rFonts w:hint="eastAsia"/>
        </w:rPr>
        <w:t>稳定骨架（Stable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skeleton）</w:t>
      </w:r>
    </w:p>
    <w:p w14:paraId="6541500E">
      <w:pPr>
        <w:rPr>
          <w:rFonts w:hint="eastAsia"/>
        </w:rPr>
      </w:pPr>
      <w:r>
        <w:rPr>
          <w:rFonts w:hint="eastAsia"/>
        </w:rPr>
        <w:t>反事实干预（Intervention）与do算子（do-operator）</w:t>
      </w:r>
    </w:p>
    <w:p w14:paraId="433F9AE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EC1E28"/>
    <w:rsid w:val="34547452"/>
    <w:rsid w:val="38114B38"/>
    <w:rsid w:val="3CAE2FC4"/>
    <w:rsid w:val="40FA191E"/>
    <w:rsid w:val="41A4459A"/>
    <w:rsid w:val="4D81436B"/>
    <w:rsid w:val="50D87E55"/>
    <w:rsid w:val="634D3DA2"/>
    <w:rsid w:val="68EF7146"/>
    <w:rsid w:val="6DD357B7"/>
    <w:rsid w:val="7A6B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2024-06-05T06:16:00Z</dcterms:created>
  <dc:creator>Winter Wen</dc:creator>
  <cp:lastModifiedBy>Winter Wen</cp:lastModifiedBy>
  <dcterms:modified xsi:type="dcterms:W3CDTF">2026-03-04T11:34:56Z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F51FD6FCC7AE4A38A765D647590BFF11_12</vt:lpwstr>
  </property>
  <property fmtid="{D5CDD505-2E9C-101B-9397-08002B2CF9AE}" pid="4" name="KSOTemplateDocerSaveRecord">
    <vt:lpwstr>eyJoZGlkIjoiMzI5Zjk2MjYzMmM4NDZiNDg1ZWVjNGNkNDJiMTNjOWQifQ==</vt:lpwstr>
  </property>
</Properties>
</file>