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430BFA">
      <w:pPr>
        <w:rPr>
          <w:rFonts w:hint="eastAsia"/>
          <w:b/>
          <w:bCs/>
        </w:rPr>
      </w:pPr>
      <w:r>
        <w:rPr>
          <w:rFonts w:hint="eastAsia"/>
          <w:b/>
          <w:bCs/>
          <w:lang w:eastAsia="zh-CN"/>
        </w:rPr>
        <w:t>SCALE</w:t>
      </w:r>
      <w:r>
        <w:rPr>
          <w:rFonts w:hint="eastAsia"/>
          <w:b/>
          <w:bCs/>
        </w:rPr>
        <w:t>操作手册</w:t>
      </w:r>
    </w:p>
    <w:p w14:paraId="05449F40">
      <w:pPr>
        <w:rPr>
          <w:rFonts w:hint="eastAsia"/>
        </w:rPr>
      </w:pPr>
    </w:p>
    <w:p w14:paraId="37232059">
      <w:pPr>
        <w:rPr>
          <w:rFonts w:hint="eastAsia"/>
        </w:rPr>
      </w:pPr>
      <w:r>
        <w:rPr>
          <w:rFonts w:hint="eastAsia"/>
        </w:rPr>
        <w:t>0. 核心目标（对应原文三阶段 + 人类干预）</w:t>
      </w:r>
    </w:p>
    <w:p w14:paraId="54B89914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阶段：独立文本编码 → 代理间协作讨论 → 动态代码簿（codebook）演化；同时预留人类专家干预入口。这些阶段在原文被明确为框架的关键相位。</w:t>
      </w:r>
    </w:p>
    <w:p w14:paraId="6D535A59">
      <w:pPr>
        <w:rPr>
          <w:rFonts w:hint="eastAsia"/>
        </w:rPr>
      </w:pPr>
    </w:p>
    <w:p w14:paraId="2AFF119B">
      <w:pPr>
        <w:rPr>
          <w:rFonts w:hint="eastAsia"/>
        </w:rPr>
      </w:pPr>
      <w:r>
        <w:rPr>
          <w:rFonts w:hint="eastAsia"/>
        </w:rPr>
        <w:t>1. 研究准备（变量与代码簿起始版）</w:t>
      </w:r>
    </w:p>
    <w:p w14:paraId="785E7B55">
      <w:pPr>
        <w:rPr>
          <w:rFonts w:hint="eastAsia"/>
        </w:rPr>
      </w:pPr>
      <w:r>
        <w:rPr>
          <w:rFonts w:hint="eastAsia"/>
        </w:rPr>
        <w:t>1.1 变量拆解（研究到可编码）</w:t>
      </w:r>
    </w:p>
    <w:p w14:paraId="22F534D9">
      <w:pPr>
        <w:rPr>
          <w:rFonts w:hint="eastAsia"/>
        </w:rPr>
      </w:pPr>
      <w:r>
        <w:rPr>
          <w:rFonts w:hint="eastAsia"/>
        </w:rPr>
        <w:t>将研究问题拆解为可编码维度（如“立场/框架/行为/对象/强度”等），并标注测量水平（名义/顺序/区间），以便后续统计映射。</w:t>
      </w:r>
    </w:p>
    <w:p w14:paraId="12E6A433">
      <w:pPr>
        <w:rPr>
          <w:rFonts w:hint="eastAsia"/>
        </w:rPr>
      </w:pPr>
      <w:r>
        <w:rPr>
          <w:rFonts w:hint="eastAsia"/>
        </w:rPr>
        <w:t>记录：维度清单、测量水平与预期统计用法（如名义→虚拟变量）。</w:t>
      </w:r>
    </w:p>
    <w:p w14:paraId="61A0CAAD">
      <w:pPr>
        <w:rPr>
          <w:rFonts w:hint="eastAsia"/>
        </w:rPr>
      </w:pPr>
      <w:r>
        <w:rPr>
          <w:rFonts w:hint="eastAsia"/>
        </w:rPr>
        <w:t>1.2 初始化代码簿 v0（两种起始途径）</w:t>
      </w:r>
    </w:p>
    <w:p w14:paraId="21AEC5E9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途径 A：先验规则。由人类专家预置 N′条规则（定义+正/反示例+排除条件）。</w:t>
      </w:r>
    </w:p>
    <w:p w14:paraId="437F05BB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途径 B：空白起始（∅）。允许代理在后续提出并迭代生成规则。</w:t>
      </w:r>
    </w:p>
    <w:p w14:paraId="460597A0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达标标准：每条规则仅覆盖一个明确定义的情景/类别（便于离散分类）。</w:t>
      </w:r>
    </w:p>
    <w:p w14:paraId="1897C77F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记录：规则清单（ID、名称、定义、正/反示例、排除条件、适用边界）。</w:t>
      </w:r>
    </w:p>
    <w:p w14:paraId="57B6AAEC">
      <w:pPr>
        <w:rPr>
          <w:rFonts w:hint="eastAsia"/>
        </w:rPr>
      </w:pPr>
      <w:r>
        <w:rPr>
          <w:rFonts w:hint="eastAsia"/>
        </w:rPr>
        <w:t>（原文允许 codebook 以预置规则或空白开始；规则应便于将文本归入离散类别。）</w:t>
      </w:r>
    </w:p>
    <w:p w14:paraId="7642FEFD">
      <w:pPr>
        <w:ind w:firstLine="210" w:firstLineChars="100"/>
        <w:rPr>
          <w:rFonts w:hint="eastAsia"/>
        </w:rPr>
      </w:pPr>
      <w:r>
        <w:rPr>
          <w:rFonts w:hint="eastAsia"/>
        </w:rPr>
        <w:t>示例（名义维度“立场”）</w:t>
      </w:r>
    </w:p>
    <w:p w14:paraId="6DC445D1">
      <w:pPr>
        <w:ind w:firstLine="210" w:firstLineChars="100"/>
        <w:rPr>
          <w:rFonts w:hint="eastAsia"/>
        </w:rPr>
      </w:pPr>
      <w:r>
        <w:rPr>
          <w:rFonts w:hint="eastAsia"/>
        </w:rPr>
        <w:t>规则 R1（正向）：出现“支持/赞成/积极评价”的明示语句；排除：讽刺反语。</w:t>
      </w:r>
    </w:p>
    <w:p w14:paraId="781D9197">
      <w:pPr>
        <w:ind w:firstLine="210" w:firstLineChars="100"/>
        <w:rPr>
          <w:rFonts w:hint="eastAsia"/>
        </w:rPr>
      </w:pPr>
      <w:r>
        <w:rPr>
          <w:rFonts w:hint="eastAsia"/>
        </w:rPr>
        <w:t>规则 R2（负向）：出现“反对/批评/否定”的明示语句；排除：转述他人观点且无作者立场。</w:t>
      </w:r>
    </w:p>
    <w:p w14:paraId="5B00CA2C">
      <w:pPr>
        <w:ind w:firstLine="210" w:firstLineChars="100"/>
        <w:rPr>
          <w:rFonts w:hint="eastAsia"/>
        </w:rPr>
      </w:pPr>
      <w:r>
        <w:rPr>
          <w:rFonts w:hint="eastAsia"/>
        </w:rPr>
        <w:t>规则 R3（中性）：事实性叙述，无明显态度词与评判。</w:t>
      </w:r>
    </w:p>
    <w:p w14:paraId="08A8626B">
      <w:pPr>
        <w:ind w:firstLine="210" w:firstLineChars="100"/>
        <w:rPr>
          <w:rFonts w:hint="eastAsia"/>
        </w:rPr>
      </w:pPr>
    </w:p>
    <w:p w14:paraId="4969C616">
      <w:pPr>
        <w:rPr>
          <w:rFonts w:hint="eastAsia"/>
        </w:rPr>
      </w:pPr>
      <w:r>
        <w:rPr>
          <w:rFonts w:hint="eastAsia"/>
        </w:rPr>
        <w:t>2. 代理（LLM agents）配置</w:t>
      </w:r>
    </w:p>
    <w:p w14:paraId="49AFC706">
      <w:pPr>
        <w:rPr>
          <w:rFonts w:hint="eastAsia"/>
        </w:rPr>
      </w:pPr>
      <w:r>
        <w:rPr>
          <w:rFonts w:hint="eastAsia"/>
        </w:rPr>
        <w:t>2.1 代理数量与底模</w:t>
      </w:r>
    </w:p>
    <w:p w14:paraId="7532C9FA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数量 N≥3（建议 3–5），底层可用同一强性能 LLM（本地或云端均可；方法对部署不设硬性限制）。</w:t>
      </w:r>
    </w:p>
    <w:p w14:paraId="318712CE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记录：模型名称/版本、部署方式、温度/随机种子等（保证复现）。</w:t>
      </w:r>
    </w:p>
    <w:p w14:paraId="7C09BA97">
      <w:pPr>
        <w:rPr>
          <w:rFonts w:hint="eastAsia"/>
        </w:rPr>
      </w:pPr>
      <w:r>
        <w:rPr>
          <w:rFonts w:hint="eastAsia"/>
        </w:rPr>
        <w:t>（原文将 N 个代理视作“资深社会科学家”的模拟个体。）</w:t>
      </w:r>
    </w:p>
    <w:p w14:paraId="0A5C8A63">
      <w:pPr>
        <w:rPr>
          <w:rFonts w:hint="eastAsia"/>
        </w:rPr>
      </w:pPr>
      <w:r>
        <w:rPr>
          <w:rFonts w:hint="eastAsia"/>
        </w:rPr>
        <w:t>2.2 人设（persona）定义</w:t>
      </w:r>
    </w:p>
    <w:p w14:paraId="6AA7B5DB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为每个代理写 system prompt，植入不同的专业背景/偏好（如：理论一致性优先、语境敏感型、证据阈值严格型），以形成可预期的视角差异。</w:t>
      </w:r>
    </w:p>
    <w:p w14:paraId="58F0AC0A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记录：每个 persona 的要素：专业背景、经验年限、判断偏好、典型容错策略。</w:t>
      </w:r>
    </w:p>
    <w:p w14:paraId="5F4AB1AB">
      <w:pPr>
        <w:rPr>
          <w:rFonts w:hint="eastAsia"/>
        </w:rPr>
      </w:pPr>
      <w:r>
        <w:rPr>
          <w:rFonts w:hint="eastAsia"/>
        </w:rPr>
        <w:t>（原文明确以 persona 强化“角色扮演”，提高讨论与规则演化的真实性。）</w:t>
      </w:r>
    </w:p>
    <w:p w14:paraId="4D5A664D">
      <w:pPr>
        <w:ind w:firstLine="210" w:firstLineChars="100"/>
        <w:rPr>
          <w:rFonts w:hint="eastAsia"/>
        </w:rPr>
      </w:pPr>
      <w:r>
        <w:rPr>
          <w:rFonts w:hint="eastAsia"/>
        </w:rPr>
        <w:t>persona 样例</w:t>
      </w:r>
    </w:p>
    <w:p w14:paraId="3402C27F">
      <w:pPr>
        <w:ind w:firstLine="210" w:firstLineChars="100"/>
        <w:rPr>
          <w:rFonts w:hint="eastAsia"/>
        </w:rPr>
      </w:pPr>
      <w:r>
        <w:rPr>
          <w:rFonts w:hint="eastAsia"/>
        </w:rPr>
        <w:t>P1“理论一致性优先”：严格按定义操作，宁缺毋滥；</w:t>
      </w:r>
    </w:p>
    <w:p w14:paraId="47BCDE48">
      <w:pPr>
        <w:ind w:firstLine="210" w:firstLineChars="100"/>
        <w:rPr>
          <w:rFonts w:hint="eastAsia"/>
        </w:rPr>
      </w:pPr>
      <w:r>
        <w:rPr>
          <w:rFonts w:hint="eastAsia"/>
        </w:rPr>
        <w:t>P2“语境敏感型”：重语用线索和暗示性表达；</w:t>
      </w:r>
    </w:p>
    <w:p w14:paraId="4AFFD673">
      <w:pPr>
        <w:ind w:firstLine="210" w:firstLineChars="100"/>
        <w:rPr>
          <w:rFonts w:hint="eastAsia"/>
        </w:rPr>
      </w:pPr>
      <w:r>
        <w:rPr>
          <w:rFonts w:hint="eastAsia"/>
        </w:rPr>
        <w:t>P3“证据阈值严格”：必须出现“明确指示词”方编码为正/负向。</w:t>
      </w:r>
    </w:p>
    <w:p w14:paraId="059CCBD5">
      <w:pPr>
        <w:ind w:firstLine="210" w:firstLineChars="100"/>
        <w:rPr>
          <w:rFonts w:hint="eastAsia"/>
        </w:rPr>
      </w:pPr>
    </w:p>
    <w:p w14:paraId="71526DA5">
      <w:pPr>
        <w:rPr>
          <w:rFonts w:hint="eastAsia"/>
        </w:rPr>
      </w:pPr>
      <w:r>
        <w:rPr>
          <w:rFonts w:hint="eastAsia"/>
        </w:rPr>
        <w:t>3. 校准轮（小样本独立编码 → 发现分歧）</w:t>
      </w:r>
    </w:p>
    <w:p w14:paraId="3F774AA8">
      <w:pPr>
        <w:rPr>
          <w:rFonts w:hint="eastAsia"/>
        </w:rPr>
      </w:pPr>
      <w:r>
        <w:rPr>
          <w:rFonts w:hint="eastAsia"/>
        </w:rPr>
        <w:t>3.1 选取校准集</w:t>
      </w:r>
    </w:p>
    <w:p w14:paraId="44F20DC3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抽取 50–100 条具代表性的文本（最低可按原文“10–20 条”下限起步）。</w:t>
      </w:r>
    </w:p>
    <w:p w14:paraId="3F697814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记录：抽样方式、文本 ID 列表。 （原文给出小样本独立编码的量级示例。）</w:t>
      </w:r>
    </w:p>
    <w:p w14:paraId="08600565">
      <w:pPr>
        <w:rPr>
          <w:rFonts w:hint="eastAsia"/>
        </w:rPr>
      </w:pPr>
      <w:r>
        <w:rPr>
          <w:rFonts w:hint="eastAsia"/>
        </w:rPr>
        <w:t>3.2 独立编码（各代理并行、互不可见）</w:t>
      </w:r>
    </w:p>
    <w:p w14:paraId="0CE8F664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每个代理按 同一 代码簿 v0，对同一批文本独立编码；必须写出“应用了哪条规则”的理由说明。</w:t>
      </w:r>
    </w:p>
    <w:p w14:paraId="38DDDD1F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达标标准：每条样本均给出（标签，适用规则 ID，1–2 句理由）。</w:t>
      </w:r>
    </w:p>
    <w:p w14:paraId="7766D81D">
      <w:pPr>
        <w:rPr>
          <w:rFonts w:hint="eastAsia"/>
        </w:rPr>
      </w:pPr>
      <w:r>
        <w:rPr>
          <w:rFonts w:hint="eastAsia"/>
        </w:rPr>
        <w:t>（原文强调各代理对相同批次文本进行独立分类，并由 prompt 约束其遵循代码簿。）</w:t>
      </w:r>
    </w:p>
    <w:p w14:paraId="6FC9F7FF">
      <w:pPr>
        <w:rPr>
          <w:rFonts w:hint="eastAsia"/>
        </w:rPr>
      </w:pPr>
      <w:r>
        <w:rPr>
          <w:rFonts w:hint="eastAsia"/>
        </w:rPr>
        <w:t>3.3 冲突清单</w:t>
      </w:r>
    </w:p>
    <w:p w14:paraId="2FBE6FA6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汇总同一文本在不同代理间的标签差异，形成“冲突池”。</w:t>
      </w:r>
    </w:p>
    <w:p w14:paraId="42C7778A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按冲突类型分组：定义歧义/边界重叠/类目缺失/语境误读等。</w:t>
      </w:r>
    </w:p>
    <w:p w14:paraId="06D180FC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记录：冲突样本 ID、各代理标签与理由、冲突类型标签。</w:t>
      </w:r>
    </w:p>
    <w:p w14:paraId="72F68B90">
      <w:pPr>
        <w:rPr>
          <w:rFonts w:hint="eastAsia"/>
        </w:rPr>
      </w:pPr>
    </w:p>
    <w:p w14:paraId="707C2AAD">
      <w:pPr>
        <w:rPr>
          <w:rFonts w:hint="eastAsia"/>
        </w:rPr>
      </w:pPr>
      <w:r>
        <w:rPr>
          <w:rFonts w:hint="eastAsia"/>
        </w:rPr>
        <w:t>4. 协作讨论（多轮、有限轮次 K）</w:t>
      </w:r>
    </w:p>
    <w:p w14:paraId="5A34FD0D">
      <w:pPr>
        <w:rPr>
          <w:rFonts w:hint="eastAsia"/>
        </w:rPr>
      </w:pPr>
      <w:r>
        <w:rPr>
          <w:rFonts w:hint="eastAsia"/>
        </w:rPr>
        <w:t>4.1 讨论流程</w:t>
      </w:r>
    </w:p>
    <w:p w14:paraId="12EE7BA7">
      <w:pPr>
        <w:rPr>
          <w:rFonts w:hint="eastAsia"/>
        </w:rPr>
      </w:pPr>
      <w:r>
        <w:rPr>
          <w:rFonts w:hint="eastAsia"/>
        </w:rPr>
        <w:t>对冲突样本启动“多轮讨论”，每一轮要求：</w:t>
      </w:r>
    </w:p>
    <w:p w14:paraId="76957DED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代理 A 陈述其标签与理由；</w:t>
      </w:r>
    </w:p>
    <w:p w14:paraId="4C07A664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代理 B/C 逐一点评并提出改判或维持理由；</w:t>
      </w:r>
      <w:bookmarkStart w:id="0" w:name="_GoBack"/>
      <w:bookmarkEnd w:id="0"/>
    </w:p>
    <w:p w14:paraId="0B9452C1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允许代理更新其标签与解释。</w:t>
      </w:r>
    </w:p>
    <w:p w14:paraId="76DFFAA0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终止条件：达到一致（全体同意）或达到最大轮次 K。</w:t>
      </w:r>
    </w:p>
    <w:p w14:paraId="18906E49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建议：K 取 2–3（原文仅指出“有最大轮次 K”，未规定具体数值）。</w:t>
      </w:r>
    </w:p>
    <w:p w14:paraId="5271C89E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记录：每轮每代理的标签/理由变更、共识与否。</w:t>
      </w:r>
    </w:p>
    <w:p w14:paraId="5A3452E5">
      <w:pPr>
        <w:rPr>
          <w:rFonts w:hint="eastAsia"/>
        </w:rPr>
      </w:pPr>
      <w:r>
        <w:rPr>
          <w:rFonts w:hint="eastAsia"/>
        </w:rPr>
        <w:t>（原文明确“多轮讨论、至一致或达上限”，并提供讨论用 prompt 于附录。）</w:t>
      </w:r>
    </w:p>
    <w:p w14:paraId="6D5C5550">
      <w:pPr>
        <w:rPr>
          <w:rFonts w:hint="eastAsia"/>
        </w:rPr>
      </w:pPr>
      <w:r>
        <w:rPr>
          <w:rFonts w:hint="eastAsia"/>
        </w:rPr>
        <w:t>4.2 人类专家定向干预</w:t>
      </w:r>
    </w:p>
    <w:p w14:paraId="5D29EE41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在讨论中，人类专家可定点介入（对关键条目给出解释、示例或直接裁决），或指令性/协作性干预（修改原则、指定约束）。</w:t>
      </w:r>
    </w:p>
    <w:p w14:paraId="4EC1FAEE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记录：介入时点、对象条目、干预方式（定向/广泛；协作/指令）、理由与影响。</w:t>
      </w:r>
    </w:p>
    <w:p w14:paraId="0CC16E04">
      <w:pPr>
        <w:rPr>
          <w:rFonts w:hint="eastAsia"/>
        </w:rPr>
      </w:pPr>
      <w:r>
        <w:rPr>
          <w:rFonts w:hint="eastAsia"/>
        </w:rPr>
        <w:t>（原文明确提供“定制化范围/角色”的人类干预模式，用于缓释偏差并对齐专家监督。）</w:t>
      </w:r>
    </w:p>
    <w:p w14:paraId="2EE2B4EE">
      <w:pPr>
        <w:rPr>
          <w:rFonts w:hint="eastAsia"/>
        </w:rPr>
      </w:pPr>
    </w:p>
    <w:p w14:paraId="71DAD633">
      <w:pPr>
        <w:rPr>
          <w:rFonts w:hint="eastAsia"/>
        </w:rPr>
      </w:pPr>
      <w:r>
        <w:rPr>
          <w:rFonts w:hint="eastAsia"/>
        </w:rPr>
        <w:t>5. 代码簿演化（形成 v1）</w:t>
      </w:r>
    </w:p>
    <w:p w14:paraId="3B65EA52">
      <w:pPr>
        <w:rPr>
          <w:rFonts w:hint="eastAsia"/>
        </w:rPr>
      </w:pPr>
      <w:r>
        <w:rPr>
          <w:rFonts w:hint="eastAsia"/>
        </w:rPr>
        <w:t>5.1 两类演化策略</w:t>
      </w:r>
    </w:p>
    <w:p w14:paraId="1451822B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增润式：保留原类别，补充“澄清性示例/解释/边界说明”。</w:t>
      </w:r>
    </w:p>
    <w:p w14:paraId="71FF7B1D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结构式：增删改类别（合并/拆分/新建），以动态调整类别集合。</w:t>
      </w:r>
    </w:p>
    <w:p w14:paraId="789D07B4">
      <w:pPr>
        <w:rPr>
          <w:rFonts w:hint="eastAsia"/>
        </w:rPr>
      </w:pPr>
      <w:r>
        <w:rPr>
          <w:rFonts w:hint="eastAsia"/>
        </w:rPr>
        <w:t>（原文明确这两类策略，并要求以讨论产出为依据再行细化直至一致。）</w:t>
      </w:r>
    </w:p>
    <w:p w14:paraId="0E740864">
      <w:pPr>
        <w:rPr>
          <w:rFonts w:hint="eastAsia"/>
        </w:rPr>
      </w:pPr>
      <w:r>
        <w:rPr>
          <w:rFonts w:hint="eastAsia"/>
        </w:rPr>
        <w:t>5.2 变更记录</w:t>
      </w:r>
    </w:p>
    <w:p w14:paraId="35BE02BF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对每条修改，记录：变更类型（增润/结构）、修改前后文本、动因（对应的冲突样本/讨论要点）、预期影响范围。</w:t>
      </w:r>
    </w:p>
    <w:p w14:paraId="35EF5EFB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输出 代码簿 v1，用于主编码轮。</w:t>
      </w:r>
    </w:p>
    <w:p w14:paraId="27E59426">
      <w:pPr>
        <w:ind w:firstLine="210" w:firstLineChars="100"/>
        <w:rPr>
          <w:rFonts w:hint="eastAsia"/>
        </w:rPr>
      </w:pPr>
      <w:r>
        <w:rPr>
          <w:rFonts w:hint="eastAsia"/>
        </w:rPr>
        <w:t>演化示例</w:t>
      </w:r>
    </w:p>
    <w:p w14:paraId="3FFDDF11">
      <w:pPr>
        <w:ind w:left="210" w:leftChars="100" w:firstLine="0" w:firstLineChars="0"/>
        <w:rPr>
          <w:rFonts w:hint="eastAsia"/>
        </w:rPr>
      </w:pPr>
      <w:r>
        <w:rPr>
          <w:rFonts w:hint="eastAsia"/>
        </w:rPr>
        <w:t>发现大量“反讽正评”被误判 → 在 R1（正向）中新增“排除：显著反讽标记（如引号+反语惯用式）”；为 R2（负向）新增示例“反语批评”。</w:t>
      </w:r>
    </w:p>
    <w:p w14:paraId="151CBCA0">
      <w:pPr>
        <w:rPr>
          <w:rFonts w:hint="eastAsia"/>
        </w:rPr>
      </w:pPr>
    </w:p>
    <w:p w14:paraId="408CCB3C">
      <w:pPr>
        <w:rPr>
          <w:rFonts w:hint="eastAsia"/>
        </w:rPr>
      </w:pPr>
      <w:r>
        <w:rPr>
          <w:rFonts w:hint="eastAsia"/>
        </w:rPr>
        <w:t>6. 主编码（全样本）与一致性评估</w:t>
      </w:r>
    </w:p>
    <w:p w14:paraId="1DEEF91A">
      <w:pPr>
        <w:rPr>
          <w:rFonts w:hint="eastAsia"/>
        </w:rPr>
      </w:pPr>
      <w:r>
        <w:rPr>
          <w:rFonts w:hint="eastAsia"/>
        </w:rPr>
        <w:t>6.1 全样本独立编码</w:t>
      </w:r>
    </w:p>
    <w:p w14:paraId="629F23A9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所有代理用代码簿 v1，对全体文本独立编码（流程同 3.2），并输出（标签、规则 ID、理由）。</w:t>
      </w:r>
    </w:p>
    <w:p w14:paraId="72DD39DA">
      <w:pPr>
        <w:rPr>
          <w:rFonts w:hint="eastAsia"/>
        </w:rPr>
      </w:pPr>
      <w:r>
        <w:rPr>
          <w:rFonts w:hint="eastAsia"/>
        </w:rPr>
        <w:t>6.2 一致性度量与门槛</w:t>
      </w:r>
    </w:p>
    <w:p w14:paraId="01267177">
      <w:pPr>
        <w:rPr>
          <w:rFonts w:hint="eastAsia"/>
        </w:rPr>
      </w:pPr>
    </w:p>
    <w:p w14:paraId="0039333C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以 Krippendorff’s α 为主评估（适配名义/顺序/区间，允许缺失），可辅以 Fleiss’ κ（多评者名义尺度）。</w:t>
      </w:r>
    </w:p>
    <w:p w14:paraId="324842E6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常用经验线：α≥0.80 可信；0.67–0.80 可“暂用”（需审慎与稳健性分析）；低于 0.67 建议返回第 4–5 步再演化一轮。</w:t>
      </w:r>
    </w:p>
    <w:p w14:paraId="2AD5CA31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记录：α（与度量层级）、置信区间/自助法细节、κ（如采用）。</w:t>
      </w:r>
    </w:p>
    <w:p w14:paraId="64433DAE">
      <w:pPr>
        <w:rPr>
          <w:rFonts w:hint="eastAsia"/>
        </w:rPr>
      </w:pPr>
      <w:r>
        <w:rPr>
          <w:rFonts w:hint="eastAsia"/>
        </w:rPr>
        <w:t>（α 的通用性、计算与推荐阈值讨论可见 Hayes &amp; Krippendorff 2007、Krippendorff 技术文档；κ 的多评者用法见标准资料。）</w:t>
      </w:r>
    </w:p>
    <w:p w14:paraId="32DABFA5">
      <w:pPr>
        <w:rPr>
          <w:rFonts w:hint="eastAsia"/>
        </w:rPr>
      </w:pPr>
      <w:r>
        <w:rPr>
          <w:rFonts w:hint="eastAsia"/>
        </w:rPr>
        <w:t>6.3 剩余分歧裁决与“冻结”</w:t>
      </w:r>
    </w:p>
    <w:p w14:paraId="7482DBCE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对仍分歧的样本，按“理由充分且贴合代码簿者优先”或“资深-persona 仲裁”原则裁决；必要时专家最终判定。</w:t>
      </w:r>
    </w:p>
    <w:p w14:paraId="65B25433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产出最终标签集与最终代码簿 v*，进入统计环节。</w:t>
      </w:r>
    </w:p>
    <w:p w14:paraId="0ADBCBD5">
      <w:pPr>
        <w:rPr>
          <w:rFonts w:hint="eastAsia"/>
        </w:rPr>
      </w:pPr>
      <w:r>
        <w:rPr>
          <w:rFonts w:hint="eastAsia"/>
        </w:rPr>
        <w:t>（裁决与冻结是把讨论/演化转化为可分析数据的必要闭环，符合原文“任务循环”理念。）</w:t>
      </w:r>
    </w:p>
    <w:p w14:paraId="6BB6B921">
      <w:pPr>
        <w:rPr>
          <w:rFonts w:hint="eastAsia"/>
        </w:rPr>
      </w:pPr>
    </w:p>
    <w:p w14:paraId="39B6A775">
      <w:pPr>
        <w:rPr>
          <w:rFonts w:hint="eastAsia"/>
        </w:rPr>
      </w:pPr>
      <w:r>
        <w:rPr>
          <w:rFonts w:hint="eastAsia"/>
        </w:rPr>
        <w:t>7. 变量工程与统计对接</w:t>
      </w:r>
    </w:p>
    <w:p w14:paraId="1647065D">
      <w:pPr>
        <w:rPr>
          <w:rFonts w:hint="eastAsia"/>
        </w:rPr>
      </w:pPr>
      <w:r>
        <w:rPr>
          <w:rFonts w:hint="eastAsia"/>
        </w:rPr>
        <w:t>7.1 变量映射</w:t>
      </w:r>
    </w:p>
    <w:p w14:paraId="710E1886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名义 → One-hot；顺序 → 整数刻度（并可做哑变量稳健性）；强度/频次 → 计数或比例；</w:t>
      </w:r>
    </w:p>
    <w:p w14:paraId="467634FC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文档/作者/时间窗聚合：定义聚合口径与层级。</w:t>
      </w:r>
    </w:p>
    <w:p w14:paraId="30D52BDF">
      <w:pPr>
        <w:rPr>
          <w:rFonts w:hint="eastAsia"/>
        </w:rPr>
      </w:pPr>
      <w:r>
        <w:rPr>
          <w:rFonts w:hint="eastAsia"/>
        </w:rPr>
        <w:t>7.2 统计分析与稳健性</w:t>
      </w:r>
    </w:p>
    <w:p w14:paraId="274EB49F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相关性（Spearman、Cramér’s V 等）与回归（Logit/有序 Logit/OLS/Poisson/负二项等）；</w:t>
      </w:r>
    </w:p>
    <w:p w14:paraId="6D63E976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稳健性：以“单代理标签”“多数表决标签”“人工金标子集”替代度量重复估计，比较结论稳定性。</w:t>
      </w:r>
    </w:p>
    <w:p w14:paraId="5D808634">
      <w:pPr>
        <w:rPr>
          <w:rFonts w:hint="eastAsia"/>
        </w:rPr>
      </w:pPr>
    </w:p>
    <w:p w14:paraId="33CA5737">
      <w:pPr>
        <w:rPr>
          <w:rFonts w:hint="eastAsia"/>
        </w:rPr>
      </w:pPr>
      <w:r>
        <w:rPr>
          <w:rFonts w:hint="eastAsia"/>
        </w:rPr>
        <w:t>8. 复现与合规（审计轨迹）</w:t>
      </w:r>
    </w:p>
    <w:p w14:paraId="0198D99A">
      <w:pPr>
        <w:rPr>
          <w:rFonts w:hint="eastAsia"/>
        </w:rPr>
      </w:pPr>
      <w:r>
        <w:rPr>
          <w:rFonts w:hint="eastAsia"/>
        </w:rPr>
        <w:t>8.1 必备材料清单</w:t>
      </w:r>
    </w:p>
    <w:p w14:paraId="510D49FC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模型信息（名称/版本/部署/参数）、代理 persona 文本、所有 prompt（编码、讨论、演化）引用自附录；</w:t>
      </w:r>
    </w:p>
    <w:p w14:paraId="15104715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代码簿版本链（v0→v1→v*）与变更日志；</w:t>
      </w:r>
    </w:p>
    <w:p w14:paraId="1C86C4AC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讨论与干预记录（时间轴、对象、结果）；</w:t>
      </w:r>
    </w:p>
    <w:p w14:paraId="2F8737DF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一致性报告（α 层级与区间、κ 如有）；</w:t>
      </w:r>
    </w:p>
    <w:p w14:paraId="49E7F4F9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数据导出与变量映射脚本/说明（可置附录/仓库）。</w:t>
      </w:r>
    </w:p>
    <w:p w14:paraId="4BC43015">
      <w:pPr>
        <w:rPr>
          <w:rFonts w:hint="eastAsia"/>
        </w:rPr>
      </w:pPr>
      <w:r>
        <w:rPr>
          <w:rFonts w:hint="eastAsia"/>
        </w:rPr>
        <w:t>（原文强调各阶段有明确 prompt 与步骤，需在可复核的轨迹中体现。）</w:t>
      </w:r>
    </w:p>
    <w:p w14:paraId="76BF8E97">
      <w:pPr>
        <w:rPr>
          <w:rFonts w:hint="eastAsia"/>
        </w:rPr>
      </w:pPr>
      <w:r>
        <w:rPr>
          <w:rFonts w:hint="eastAsia"/>
        </w:rPr>
        <w:t>8.2 部署与伦理</w:t>
      </w:r>
    </w:p>
    <w:p w14:paraId="6BA7EF97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原文未限定必须本地部署；若数据敏感/受限，优先本地；否则可用云 API，但须在方法中透明披露。</w:t>
      </w:r>
    </w:p>
    <w:p w14:paraId="62FC53CA">
      <w:pPr>
        <w:rPr>
          <w:rFonts w:hint="eastAsia"/>
        </w:rPr>
      </w:pPr>
    </w:p>
    <w:p w14:paraId="133A119A">
      <w:pPr>
        <w:rPr>
          <w:rFonts w:hint="eastAsia"/>
        </w:rPr>
      </w:pPr>
      <w:r>
        <w:rPr>
          <w:rFonts w:hint="eastAsia"/>
        </w:rPr>
        <w:t>9. 质量门槛与停机条件（建议）</w:t>
      </w:r>
    </w:p>
    <w:p w14:paraId="7D912C94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停机 1：校准轮结束后，冲突率显著下降且代码簿演化点变少；</w:t>
      </w:r>
    </w:p>
    <w:p w14:paraId="0DE6A6E2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停机 2：主编码后 Krippendorff’s α 达到或接近 0.80；低于 0.67 必须回滚再演化；</w:t>
      </w:r>
    </w:p>
    <w:p w14:paraId="2D627BF7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停机 3：新增讨论轮对 α 的边际改进 &lt; 0.02，且新增修改会破坏先前稳定性，可停止继续演化。</w:t>
      </w:r>
    </w:p>
    <w:p w14:paraId="5956D479">
      <w:pPr>
        <w:rPr>
          <w:rFonts w:hint="eastAsia"/>
        </w:rPr>
      </w:pPr>
      <w:r>
        <w:rPr>
          <w:rFonts w:hint="eastAsia"/>
        </w:rPr>
        <w:t>（α 的使用与解释参见 Hayes &amp; Krippendorff 2007 与 Krippendorff 技术文档。）</w:t>
      </w:r>
    </w:p>
    <w:p w14:paraId="085FEC36">
      <w:pPr>
        <w:rPr>
          <w:rFonts w:hint="eastAsia"/>
        </w:rPr>
      </w:pPr>
    </w:p>
    <w:p w14:paraId="52051B07">
      <w:pPr>
        <w:rPr>
          <w:rFonts w:hint="eastAsia"/>
        </w:rPr>
      </w:pPr>
      <w:r>
        <w:rPr>
          <w:rFonts w:hint="eastAsia"/>
        </w:rPr>
        <w:t>10. 最小示例：从分歧到演化</w:t>
      </w:r>
    </w:p>
    <w:p w14:paraId="08CB88CD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情境：三代理对同一条文本给出“正/中/负”三种立场。</w:t>
      </w:r>
    </w:p>
    <w:p w14:paraId="383497B5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讨论：P2 指出文本包含反语线索；P1 要求严格证据；P3 认为有情绪色彩但非明确态度。</w:t>
      </w:r>
    </w:p>
    <w:p w14:paraId="7ECAAE95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演化：在 R1/R2 中加入“反语识别与排除规则”，并为“中性”增补“反语但未明示立场”示例。</w:t>
      </w:r>
    </w:p>
    <w:p w14:paraId="1774D75B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效果：复编码后三者一致归入“中性-反语类”。（该流程与原文框图“先编码→讨论→演化→再用新代码簿”的任务循环一致。）</w:t>
      </w:r>
    </w:p>
    <w:p w14:paraId="5F2400A4">
      <w:pPr>
        <w:rPr>
          <w:rFonts w:hint="eastAsia"/>
        </w:rPr>
      </w:pPr>
    </w:p>
    <w:p w14:paraId="40619D53">
      <w:pPr>
        <w:rPr>
          <w:rFonts w:hint="eastAsia"/>
        </w:rPr>
      </w:pPr>
      <w:r>
        <w:rPr>
          <w:rFonts w:hint="eastAsia"/>
        </w:rPr>
        <w:t>参考依据（关键原文出处）</w:t>
      </w:r>
    </w:p>
    <w:p w14:paraId="5A4635C0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SCALE 原文：三阶段、代理与 persona、相同批次独立编码、讨论多轮与 K 上限、人类干预模式、两类代码簿演化策略与任务循环。</w:t>
      </w:r>
    </w:p>
    <w:p w14:paraId="16B3C517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一致性度量：Krippendorff’s α 的适用性与计算、作为通用标准的论证；实践中常见阈值解释与区间估计。</w:t>
      </w:r>
    </w:p>
    <w:p w14:paraId="48EAFFB2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κ 指标背景（辅佐名义尺度多评者）：Fleiss’ κ 概念与适用场景。</w:t>
      </w:r>
    </w:p>
    <w:p w14:paraId="047E4B7D">
      <w:pPr>
        <w:ind w:firstLine="210" w:firstLineChars="100"/>
        <w:rPr>
          <w:rFonts w:hint="eastAsia"/>
        </w:rPr>
      </w:pPr>
      <w:r>
        <w:rPr>
          <w:rFonts w:hint="eastAsia"/>
        </w:rPr>
        <w:t>以上手册已将“原文关键机制”细化为可操作标准与记录规范，保持方法学资格（独立编码-讨论-演化＋HITL），同时直接对接论文的数据分析与统计环节。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EC1E28"/>
    <w:rsid w:val="1F41162C"/>
    <w:rsid w:val="209E4C88"/>
    <w:rsid w:val="34547452"/>
    <w:rsid w:val="38114B38"/>
    <w:rsid w:val="3CAE2FC4"/>
    <w:rsid w:val="40FA191E"/>
    <w:rsid w:val="41A4459A"/>
    <w:rsid w:val="4D81436B"/>
    <w:rsid w:val="50D87E55"/>
    <w:rsid w:val="634D3DA2"/>
    <w:rsid w:val="68EF7146"/>
    <w:rsid w:val="6DD35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3020</Words>
  <Characters>3382</Characters>
  <Lines>0</Lines>
  <Paragraphs>0</Paragraphs>
  <TotalTime>7</TotalTime>
  <ScaleCrop>false</ScaleCrop>
  <LinksUpToDate>false</LinksUpToDate>
  <CharactersWithSpaces>3548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2024-06-05T06:16:00Z</dcterms:created>
  <dc:creator>Winter Wen</dc:creator>
  <cp:lastModifiedBy>Winter Wen</cp:lastModifiedBy>
  <dcterms:modified xsi:type="dcterms:W3CDTF">2026-03-04T11:35:45Z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F51FD6FCC7AE4A38A765D647590BFF11_12</vt:lpwstr>
  </property>
  <property fmtid="{D5CDD505-2E9C-101B-9397-08002B2CF9AE}" pid="4" name="KSOTemplateDocerSaveRecord">
    <vt:lpwstr>eyJoZGlkIjoiMzI5Zjk2MjYzMmM4NDZiNDg1ZWVjNGNkNDJiMTNjOWQifQ==</vt:lpwstr>
  </property>
</Properties>
</file>