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0A4F7" w14:textId="77777777" w:rsidR="0017635F" w:rsidRDefault="0017635F" w:rsidP="0017635F">
      <w:pPr>
        <w:pStyle w:val="a7"/>
      </w:pPr>
      <w:r>
        <w:t>本次检验以“方法门类—程序性锚点”为核心判别逻辑，针对总体 N=800 的已预处理样本实施一次性抽取 n=50 的等概率随机抽样（simple random sampling，固定种子以保证复现），目的在于回答两个问题：其一，在国家安全学写作生态下（方法表述偏弱、非实证比例较高），我们提出的“分层口径—门类观测—锚点准入—升级/降级—透明度分档”是否能在随机子集中稳定产出可复核、可统计的家族分类结论；其二，该规则对低透明度文本是否具备足够的适应性与操作性。之所以有必要进行该检验，系因当前大量论文只呈现“研究方式”（如定性/定量/混合）或工具名词（如NVivo、GIS、软件名），却未交代形成“方法”所必需的程序要件；若无一套可落地</w:t>
      </w:r>
      <w:proofErr w:type="gramStart"/>
      <w:r>
        <w:t>的锚点与</w:t>
      </w:r>
      <w:proofErr w:type="gramEnd"/>
      <w:r>
        <w:t>门类标准，编码和后续建模将不可避免地陷入标签化与主观化。</w:t>
      </w:r>
    </w:p>
    <w:p w14:paraId="16857FBC" w14:textId="77777777" w:rsidR="0017635F" w:rsidRDefault="0017635F" w:rsidP="0017635F">
      <w:pPr>
        <w:pStyle w:val="a7"/>
      </w:pPr>
      <w:r>
        <w:t>在样本代表性方面，抽样完成后对“方法透明度”的边际分布进行事后对齐检验：总体分布为 High≈26.25%、Medium≈48.38%、Low≈25.37，样本分布为 High=28.00%、Medium=48.00%、Low=24.00。二者差异均处在 n=50 条件下二项分布的常规抽样误差范围内（以 p≈0.5 估计，标准误差约 √[p(1</w:t>
      </w:r>
      <w:r>
        <w:rPr>
          <w:rFonts w:ascii="微软雅黑" w:eastAsia="微软雅黑" w:hAnsi="微软雅黑" w:cs="微软雅黑" w:hint="eastAsia"/>
        </w:rPr>
        <w:t>−</w:t>
      </w:r>
      <w:r>
        <w:t>p)/n]</w:t>
      </w:r>
      <w:r>
        <w:rPr>
          <w:rFonts w:hint="eastAsia"/>
        </w:rPr>
        <w:t>≈</w:t>
      </w:r>
      <w:r>
        <w:t>0.07），支持样本对总体的可比性。代表性成立后，进入门类判定</w:t>
      </w:r>
      <w:proofErr w:type="gramStart"/>
      <w:r>
        <w:t>与锚点核查</w:t>
      </w:r>
      <w:proofErr w:type="gramEnd"/>
      <w:r>
        <w:t>。</w:t>
      </w:r>
    </w:p>
    <w:p w14:paraId="1A820745" w14:textId="77777777" w:rsidR="0017635F" w:rsidRDefault="0017635F" w:rsidP="0017635F">
      <w:pPr>
        <w:pStyle w:val="a7"/>
      </w:pPr>
      <w:r>
        <w:t>判定流程遵循指导文档的四层口径：将“方法论”与“研究方式”置于上层框架，仅将满足“目的明确—步骤稳定—可复核”的策略视为“具体研究方法”；“技术与工具”（如问卷、访谈、编码软件、GIS 等）从属于方法记录，不独立作为方法标签。具体操作时，仅以“显性方法文本”和“隐性方法文本”两列为证据，先检索程序性锚点（如数据来源与样本量、编码与一致性/信度指标、处理—对照或随机化设计、模型设定与估计量、参数/校准与仿真设置、常见统计/定量软件与定性编码软件的使用说明等），再匹配方法家族的特征词域（调查研究、统计与计量、实验/准实验/自然实验、系统动力学/仿真、文本/内容/话语分析、案例研究、过程溯源、历史与比较历史、民族志/参与观察、社会网络分析、参与式/行动研究等）。当文本同时命中定量与定性两端时，仅在两端各自均</w:t>
      </w:r>
      <w:proofErr w:type="gramStart"/>
      <w:r>
        <w:t>出现锚点证据</w:t>
      </w:r>
      <w:proofErr w:type="gramEnd"/>
      <w:r>
        <w:t>时方认定为“混合方法”（混合从严）；若仅出现“理论/概念/政策解读/法学规范解释/模型构想/述评回顾”等而无数据、编码、参数、设计、稳健性等程序要件，则归入“规范/思辨（非实证）”。对个别仅出现“回归/模型/机制/路径”等名词而未见程序要件的条目，标注“锚点不足”，提示在人工一致性校准中审慎降级，避免标签型误判。</w:t>
      </w:r>
    </w:p>
    <w:p w14:paraId="095DAFD8" w14:textId="77777777" w:rsidR="0017635F" w:rsidRDefault="0017635F" w:rsidP="0017635F">
      <w:pPr>
        <w:pStyle w:val="a7"/>
      </w:pPr>
      <w:r>
        <w:t>就可行性而言，该流程能够在方法弱表述环境下稳定运行，其关键在于：第一，门类清单覆盖了国家安全学的主干谱系（安全治理、法治安全、公共安全与应急、网络信息安全、战争与冲突研究、工程与系统安全等常见场景均有对应家族）；第二，程序</w:t>
      </w:r>
      <w:proofErr w:type="gramStart"/>
      <w:r>
        <w:t>性锚点被</w:t>
      </w:r>
      <w:proofErr w:type="gramEnd"/>
      <w:r>
        <w:t>具象化为可检索的文本证据，既能支持人工编码，也可服务半自动审校与一致性校准（后续可用Cohen</w:t>
      </w:r>
      <w:proofErr w:type="gramStart"/>
      <w:r>
        <w:t>’</w:t>
      </w:r>
      <w:proofErr w:type="gramEnd"/>
      <w:r>
        <w:t xml:space="preserve">s κ 或 </w:t>
      </w:r>
      <w:proofErr w:type="spellStart"/>
      <w:r>
        <w:t>Krippendorff</w:t>
      </w:r>
      <w:proofErr w:type="gramStart"/>
      <w:r>
        <w:t>’</w:t>
      </w:r>
      <w:proofErr w:type="gramEnd"/>
      <w:r>
        <w:t>s</w:t>
      </w:r>
      <w:proofErr w:type="spellEnd"/>
      <w:r>
        <w:t xml:space="preserve"> α 验证一致性）；第三，“工具从属、混合从严”的两条约束有效抑制“把工具当方法”“把并列段落当混合”的系统性偏差。由此，在不增加作者写作负担的前提下，</w:t>
      </w:r>
      <w:proofErr w:type="gramStart"/>
      <w:r>
        <w:t>判定既</w:t>
      </w:r>
      <w:proofErr w:type="gramEnd"/>
      <w:r>
        <w:t>保留了复核线索，也为后续追补“缺失锚点”提供明确清单。</w:t>
      </w:r>
    </w:p>
    <w:p w14:paraId="6A2FB9C6" w14:textId="77777777" w:rsidR="0017635F" w:rsidRDefault="0017635F" w:rsidP="0017635F">
      <w:pPr>
        <w:pStyle w:val="a7"/>
      </w:pPr>
      <w:r>
        <w:lastRenderedPageBreak/>
        <w:t>检验结果显示，50 条样本的家族分布为：规范/思辨（非实证）14 篇，统计与计量13 篇，文本/内容/话语分析5 篇，混合方法5 篇，实验/准实验/自然实验4 篇，系统动力学/仿真4 篇，历史与比较历史2 篇，参与式/行动研究1 篇，案例研究1 篇，社会网络分析1 篇。所有被认定为“混合”的个案均满足“两端各自具备锚点”的从严标准；对“模型/机制/路径/回归”仅名词化提及而无程序要件的条目统一加注“锚点不足”。该分布一方面揭示了现实文本生态中“非实证—弱程序”的显著存在，另一方面也表明在存在足够证据时，定量、实验/准实验、仿真/系统动力学、文本计量/话语分析等门类均可被清晰识别，规则具有跨范式适配能力。</w:t>
      </w:r>
    </w:p>
    <w:p w14:paraId="43F6C5A2" w14:textId="77777777" w:rsidR="0017635F" w:rsidRDefault="0017635F" w:rsidP="0017635F">
      <w:pPr>
        <w:pStyle w:val="a7"/>
      </w:pPr>
      <w:r>
        <w:t>从规范性与操作标准看，本次检验坚持三项底线：其一，“方法≠方式≠工具”，方法必须以</w:t>
      </w:r>
      <w:proofErr w:type="gramStart"/>
      <w:r>
        <w:t>程序锚点为准入</w:t>
      </w:r>
      <w:proofErr w:type="gramEnd"/>
      <w:r>
        <w:t>条件；其二，“混合从严”，必须量/</w:t>
      </w:r>
      <w:proofErr w:type="gramStart"/>
      <w:r>
        <w:t>质双锚点</w:t>
      </w:r>
      <w:proofErr w:type="gramEnd"/>
      <w:r>
        <w:t>同时成</w:t>
      </w:r>
      <w:proofErr w:type="gramStart"/>
      <w:r>
        <w:t>立方可</w:t>
      </w:r>
      <w:proofErr w:type="gramEnd"/>
      <w:r>
        <w:t>认定；其三，“可复核优先”，每条判定均</w:t>
      </w:r>
      <w:proofErr w:type="gramStart"/>
      <w:r>
        <w:t>保留锚点与</w:t>
      </w:r>
      <w:proofErr w:type="gramEnd"/>
      <w:r>
        <w:t>决策说明，便于再次审计、</w:t>
      </w:r>
      <w:proofErr w:type="gramStart"/>
      <w:r>
        <w:t>复跑与</w:t>
      </w:r>
      <w:proofErr w:type="gramEnd"/>
      <w:r>
        <w:t>一致性评估。配合“方法透明度”的信息性分档（而非惩罚性标签），该规则既能在随机子集中产出稳定结论，也为作者与编辑部提供了明确的改进清单：补齐数据来源与样本、补足编码与一致性、补充设计与参数与稳健性检验，即可从“规范/思辨”顺畅升级</w:t>
      </w:r>
      <w:proofErr w:type="gramStart"/>
      <w:r>
        <w:t>至相应</w:t>
      </w:r>
      <w:proofErr w:type="gramEnd"/>
      <w:r>
        <w:t>的定性、定量或混合家族。整体而言，检验证实该规则在当前国家安全学语境下具有良好的可操作性、可复核性与稳健性。</w:t>
      </w:r>
    </w:p>
    <w:p w14:paraId="6AE6870E" w14:textId="77777777" w:rsidR="00BF357C" w:rsidRPr="0017635F" w:rsidRDefault="00BF357C"/>
    <w:sectPr w:rsidR="00BF357C" w:rsidRPr="001763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7EEE2" w14:textId="77777777" w:rsidR="00255B37" w:rsidRDefault="00255B37" w:rsidP="0017635F">
      <w:r>
        <w:separator/>
      </w:r>
    </w:p>
  </w:endnote>
  <w:endnote w:type="continuationSeparator" w:id="0">
    <w:p w14:paraId="1F12285C" w14:textId="77777777" w:rsidR="00255B37" w:rsidRDefault="00255B37" w:rsidP="00176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5EFD5" w14:textId="77777777" w:rsidR="00255B37" w:rsidRDefault="00255B37" w:rsidP="0017635F">
      <w:r>
        <w:separator/>
      </w:r>
    </w:p>
  </w:footnote>
  <w:footnote w:type="continuationSeparator" w:id="0">
    <w:p w14:paraId="07DC5928" w14:textId="77777777" w:rsidR="00255B37" w:rsidRDefault="00255B37" w:rsidP="001763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9C"/>
    <w:rsid w:val="000111A5"/>
    <w:rsid w:val="00015582"/>
    <w:rsid w:val="00051D34"/>
    <w:rsid w:val="0017635F"/>
    <w:rsid w:val="00181F0B"/>
    <w:rsid w:val="001B7527"/>
    <w:rsid w:val="001D1C60"/>
    <w:rsid w:val="00255B37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7029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1BCBD8B-DD1A-408F-A62E-BA7E3169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3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63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63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635F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763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8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2025-10-04T12:49:00Z</dcterms:created>
  <dcterms:modified xsi:type="dcterms:W3CDTF">2025-10-04T12:50:00Z</dcterms:modified>
</cp:coreProperties>
</file>