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2C1DE0" w14:textId="77777777" w:rsidR="00657066" w:rsidRDefault="00657066" w:rsidP="00657066">
      <w:pPr>
        <w:pStyle w:val="NormalWeb"/>
      </w:pPr>
      <w:r>
        <w:t xml:space="preserve">This figure summarizes how the Cartesian X–Z version of the </w:t>
      </w:r>
      <w:proofErr w:type="spellStart"/>
      <w:r>
        <w:t>Zapdos</w:t>
      </w:r>
      <w:proofErr w:type="spellEnd"/>
      <w:r>
        <w:t xml:space="preserve"> solver advances the plasma solution by one time step.</w:t>
      </w:r>
    </w:p>
    <w:p w14:paraId="3282E30E" w14:textId="77777777" w:rsidR="00657066" w:rsidRDefault="00657066" w:rsidP="00657066">
      <w:pPr>
        <w:pStyle w:val="NormalWeb"/>
      </w:pPr>
      <w:r>
        <w:t>The main idea is that we first define the physical model and computational domain, and then, at every time step, solve one fully coupled nonlinear system. Once that system converges, we accept the solution and use it to initialize the next step.</w:t>
      </w:r>
    </w:p>
    <w:p w14:paraId="624D7144" w14:textId="77777777" w:rsidR="00657066" w:rsidRDefault="00657066" w:rsidP="00657066">
      <w:pPr>
        <w:pStyle w:val="NormalWeb"/>
      </w:pPr>
      <w:r>
        <w:t>Starting at the top, the first three blocks describe quantities that are defined before time stepping begins.</w:t>
      </w:r>
    </w:p>
    <w:p w14:paraId="4FFF2E18" w14:textId="77777777" w:rsidR="00657066" w:rsidRDefault="00657066" w:rsidP="00657066">
      <w:pPr>
        <w:pStyle w:val="NormalWeb"/>
      </w:pPr>
      <w:r>
        <w:t>First, we create the geometry and finite-element mesh. In this example, the computational domain is a 25-by-30-centimeter chamber containing roughly 48,000 quadrilateral elements. We use first-order, or Q1, nodal basis functions, with additional mesh refinement near the target and the wafer, where stronger gradients are expected.</w:t>
      </w:r>
    </w:p>
    <w:p w14:paraId="0B983A3F" w14:textId="77777777" w:rsidR="00657066" w:rsidRDefault="00657066" w:rsidP="00657066">
      <w:pPr>
        <w:pStyle w:val="NormalWeb"/>
      </w:pPr>
      <w:r>
        <w:t>Next, we define the initial plasma state. The solution vector contains the electron density, copper-ion density, electron energy, and electric potential. The density and energy variables are represented logarithmically, which helps maintain positive physical values during the nonlinear solve. We also prescribe the neutral-gas distribution, the magnetic-field components, and the normalized secondary-electron-emission, or SEE, profile.</w:t>
      </w:r>
    </w:p>
    <w:p w14:paraId="69FF2919" w14:textId="77777777" w:rsidR="00657066" w:rsidRDefault="00657066" w:rsidP="00657066">
      <w:pPr>
        <w:pStyle w:val="NormalWeb"/>
      </w:pPr>
      <w:r>
        <w:t>The third setup block contains the boundary conditions and operating controls. These include the powered target, grounded wafer, side-wall loss conditions, voltage waveform, SEE cap, and the filtering used in the feedback calculation.</w:t>
      </w:r>
    </w:p>
    <w:p w14:paraId="7CD89658" w14:textId="77777777" w:rsidR="00657066" w:rsidRDefault="00657066" w:rsidP="00657066">
      <w:pPr>
        <w:pStyle w:val="NormalWeb"/>
      </w:pPr>
      <w:r>
        <w:t>After this setup, we begin time stepping. For each new time level, the solver goes through the six stages shown along the bottom.</w:t>
      </w:r>
    </w:p>
    <w:p w14:paraId="1C0CAE40" w14:textId="77777777" w:rsidR="00657066" w:rsidRDefault="00657066" w:rsidP="00657066">
      <w:pPr>
        <w:pStyle w:val="NormalWeb"/>
      </w:pPr>
      <w:r>
        <w:t>In step one, we start from the previously accepted state, choose a time-step size, and use the old solution as the initial guess for the new one.</w:t>
      </w:r>
    </w:p>
    <w:p w14:paraId="2D857F87" w14:textId="77777777" w:rsidR="00657066" w:rsidRDefault="00657066" w:rsidP="00657066">
      <w:pPr>
        <w:pStyle w:val="NormalWeb"/>
      </w:pPr>
      <w:r>
        <w:t>In step two, the code evaluates the local plasma physics at the current trial solution. The finite-element fields are interpolated within each element, the electric field is calculated from the gradient of the potential, and the local transport and reaction coefficients—such as mobility, diffusion, and reaction rates—are evaluated.</w:t>
      </w:r>
    </w:p>
    <w:p w14:paraId="757A334F" w14:textId="77777777" w:rsidR="00657066" w:rsidRDefault="00657066" w:rsidP="00657066">
      <w:pPr>
        <w:pStyle w:val="NormalWeb"/>
      </w:pPr>
      <w:r>
        <w:t>Step three accounts for the magnetic field. Electron transport is separated into components parallel and perpendicular to the magnetic field. The perpendicular transport is reduced according to the electron magnetization. In the present model, the copper ions are treated as unmagnetized.</w:t>
      </w:r>
    </w:p>
    <w:p w14:paraId="6C0F52A9" w14:textId="77777777" w:rsidR="00657066" w:rsidRDefault="00657066" w:rsidP="00657066">
      <w:pPr>
        <w:pStyle w:val="NormalWeb"/>
      </w:pPr>
      <w:r>
        <w:t xml:space="preserve">In step four, </w:t>
      </w:r>
      <w:proofErr w:type="gramStart"/>
      <w:r>
        <w:t>all of</w:t>
      </w:r>
      <w:proofErr w:type="gramEnd"/>
      <w:r>
        <w:t xml:space="preserve"> these contributions are assembled into a single coupled residual. The </w:t>
      </w:r>
      <w:proofErr w:type="spellStart"/>
      <w:r>
        <w:t>Galerkin</w:t>
      </w:r>
      <w:proofErr w:type="spellEnd"/>
      <w:r>
        <w:t xml:space="preserve"> finite-element formulation handles the spatial terms, while implicit Euler handles the transient term. Importantly, the plasma equations and their boundary conditions are assembled and solved together rather than sequentially.</w:t>
      </w:r>
    </w:p>
    <w:p w14:paraId="22E30C11" w14:textId="77777777" w:rsidR="00657066" w:rsidRDefault="00657066" w:rsidP="00657066">
      <w:pPr>
        <w:pStyle w:val="NormalWeb"/>
      </w:pPr>
      <w:r>
        <w:lastRenderedPageBreak/>
        <w:t>Step five is the Newton nonlinear solve. The code evaluates both the residual and its Jacobian, solves the linearized system for a correction, and applies that correction using a line search. Because the material properties and reaction rates depend on the evolving solution, the code then returns to steps two through five, reevaluating the local physics and reassembling the system until the residual is sufficiently small.</w:t>
      </w:r>
    </w:p>
    <w:p w14:paraId="7B52A696" w14:textId="77777777" w:rsidR="00657066" w:rsidRDefault="00657066" w:rsidP="00657066">
      <w:pPr>
        <w:pStyle w:val="NormalWeb"/>
      </w:pPr>
      <w:r>
        <w:t>If Newton fails to converge, the time step is reduced and the solve is retried from the last accepted state.</w:t>
      </w:r>
    </w:p>
    <w:p w14:paraId="2CCDD476" w14:textId="77777777" w:rsidR="00657066" w:rsidRDefault="00657066" w:rsidP="00657066">
      <w:pPr>
        <w:pStyle w:val="NormalWeb"/>
      </w:pPr>
      <w:r>
        <w:t>Finally, once convergence is achieved, the new state is accepted. The code integrates the ion flux reaching the target and uses a filtered version of that flux to update the SEE amplitude. That feedback becomes part of the boundary condition for the next time step. The converged solution also becomes the next known state, and the entire process repeats.</w:t>
      </w:r>
    </w:p>
    <w:p w14:paraId="6F5C7207" w14:textId="77777777" w:rsidR="00657066" w:rsidRDefault="00657066" w:rsidP="00657066">
      <w:pPr>
        <w:pStyle w:val="NormalWeb"/>
      </w:pPr>
      <w:r>
        <w:t xml:space="preserve">So, in short: the spatial finite-element model, implicit time integration, nonlinear Newton </w:t>
      </w:r>
      <w:proofErr w:type="gramStart"/>
      <w:r>
        <w:t>solve, and</w:t>
      </w:r>
      <w:proofErr w:type="gramEnd"/>
      <w:r>
        <w:t xml:space="preserve"> SEE feedback are all connected within one repeated time-stepping workflow.</w:t>
      </w:r>
    </w:p>
    <w:p w14:paraId="26CAEC01" w14:textId="77777777" w:rsidR="00EA748D" w:rsidRDefault="00EA748D">
      <w:pPr>
        <w:rPr>
          <w:rFonts w:hint="eastAsia"/>
        </w:rPr>
      </w:pPr>
    </w:p>
    <w:sectPr w:rsidR="00EA74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066"/>
    <w:rsid w:val="00657066"/>
    <w:rsid w:val="008A7FD5"/>
    <w:rsid w:val="008F7745"/>
    <w:rsid w:val="00D36613"/>
    <w:rsid w:val="00EA74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669B934"/>
  <w15:chartTrackingRefBased/>
  <w15:docId w15:val="{683E5AC7-5D58-3A4F-8F3B-BFDB9C229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7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7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7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7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066"/>
    <w:rPr>
      <w:rFonts w:eastAsiaTheme="majorEastAsia" w:cstheme="majorBidi"/>
      <w:color w:val="272727" w:themeColor="text1" w:themeTint="D8"/>
    </w:rPr>
  </w:style>
  <w:style w:type="paragraph" w:styleId="Title">
    <w:name w:val="Title"/>
    <w:basedOn w:val="Normal"/>
    <w:next w:val="Normal"/>
    <w:link w:val="TitleChar"/>
    <w:uiPriority w:val="10"/>
    <w:qFormat/>
    <w:rsid w:val="00657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066"/>
    <w:pPr>
      <w:spacing w:before="160"/>
      <w:jc w:val="center"/>
    </w:pPr>
    <w:rPr>
      <w:i/>
      <w:iCs/>
      <w:color w:val="404040" w:themeColor="text1" w:themeTint="BF"/>
    </w:rPr>
  </w:style>
  <w:style w:type="character" w:customStyle="1" w:styleId="QuoteChar">
    <w:name w:val="Quote Char"/>
    <w:basedOn w:val="DefaultParagraphFont"/>
    <w:link w:val="Quote"/>
    <w:uiPriority w:val="29"/>
    <w:rsid w:val="00657066"/>
    <w:rPr>
      <w:i/>
      <w:iCs/>
      <w:color w:val="404040" w:themeColor="text1" w:themeTint="BF"/>
    </w:rPr>
  </w:style>
  <w:style w:type="paragraph" w:styleId="ListParagraph">
    <w:name w:val="List Paragraph"/>
    <w:basedOn w:val="Normal"/>
    <w:uiPriority w:val="34"/>
    <w:qFormat/>
    <w:rsid w:val="00657066"/>
    <w:pPr>
      <w:ind w:left="720"/>
      <w:contextualSpacing/>
    </w:pPr>
  </w:style>
  <w:style w:type="character" w:styleId="IntenseEmphasis">
    <w:name w:val="Intense Emphasis"/>
    <w:basedOn w:val="DefaultParagraphFont"/>
    <w:uiPriority w:val="21"/>
    <w:qFormat/>
    <w:rsid w:val="00657066"/>
    <w:rPr>
      <w:i/>
      <w:iCs/>
      <w:color w:val="0F4761" w:themeColor="accent1" w:themeShade="BF"/>
    </w:rPr>
  </w:style>
  <w:style w:type="paragraph" w:styleId="IntenseQuote">
    <w:name w:val="Intense Quote"/>
    <w:basedOn w:val="Normal"/>
    <w:next w:val="Normal"/>
    <w:link w:val="IntenseQuoteChar"/>
    <w:uiPriority w:val="30"/>
    <w:qFormat/>
    <w:rsid w:val="00657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066"/>
    <w:rPr>
      <w:i/>
      <w:iCs/>
      <w:color w:val="0F4761" w:themeColor="accent1" w:themeShade="BF"/>
    </w:rPr>
  </w:style>
  <w:style w:type="character" w:styleId="IntenseReference">
    <w:name w:val="Intense Reference"/>
    <w:basedOn w:val="DefaultParagraphFont"/>
    <w:uiPriority w:val="32"/>
    <w:qFormat/>
    <w:rsid w:val="00657066"/>
    <w:rPr>
      <w:b/>
      <w:bCs/>
      <w:smallCaps/>
      <w:color w:val="0F4761" w:themeColor="accent1" w:themeShade="BF"/>
      <w:spacing w:val="5"/>
    </w:rPr>
  </w:style>
  <w:style w:type="paragraph" w:styleId="NormalWeb">
    <w:name w:val="Normal (Web)"/>
    <w:basedOn w:val="Normal"/>
    <w:uiPriority w:val="99"/>
    <w:semiHidden/>
    <w:unhideWhenUsed/>
    <w:rsid w:val="0065706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563</Words>
  <Characters>3215</Characters>
  <Application>Microsoft Office Word</Application>
  <DocSecurity>0</DocSecurity>
  <Lines>26</Lines>
  <Paragraphs>7</Paragraphs>
  <ScaleCrop>false</ScaleCrop>
  <Company/>
  <LinksUpToDate>false</LinksUpToDate>
  <CharactersWithSpaces>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Bingqing</dc:creator>
  <cp:keywords/>
  <dc:description/>
  <cp:lastModifiedBy>Wang, Bingqing</cp:lastModifiedBy>
  <cp:revision>1</cp:revision>
  <dcterms:created xsi:type="dcterms:W3CDTF">2026-08-12T22:55:00Z</dcterms:created>
  <dcterms:modified xsi:type="dcterms:W3CDTF">2026-08-12T22:56:00Z</dcterms:modified>
</cp:coreProperties>
</file>