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5"/>
        <w:ind w:left="3143" w:right="3142"/>
        <w:jc w:val="center"/>
      </w:pPr>
      <w:r>
        <w:rPr/>
        <w:t>Text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TRAC</w:t>
      </w:r>
      <w:r>
        <w:rPr>
          <w:spacing w:val="-1"/>
        </w:rPr>
        <w:t> </w:t>
      </w:r>
      <w:r>
        <w:rPr/>
        <w:t>(kidney)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417" w:lineRule="auto" w:before="199" w:after="0"/>
        <w:ind w:left="109" w:right="7052" w:firstLine="360"/>
        <w:jc w:val="left"/>
        <w:rPr>
          <w:b/>
          <w:sz w:val="24"/>
        </w:rPr>
      </w:pPr>
      <w:r>
        <w:rPr>
          <w:b/>
          <w:sz w:val="24"/>
        </w:rPr>
        <w:t>OVERVIEW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What is TRAC?</w:t>
      </w:r>
    </w:p>
    <w:p>
      <w:pPr>
        <w:pStyle w:val="BodyText"/>
        <w:spacing w:line="276" w:lineRule="auto"/>
        <w:ind w:left="109" w:right="106"/>
        <w:jc w:val="both"/>
      </w:pPr>
      <w:r>
        <w:rPr/>
        <w:t>The</w:t>
      </w:r>
      <w:r>
        <w:rPr>
          <w:spacing w:val="1"/>
        </w:rPr>
        <w:t> </w:t>
      </w:r>
      <w:r>
        <w:rPr/>
        <w:t>Transplant</w:t>
      </w:r>
      <w:r>
        <w:rPr>
          <w:spacing w:val="1"/>
        </w:rPr>
        <w:t> </w:t>
      </w:r>
      <w:r>
        <w:rPr/>
        <w:t>Risk/benefit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(TRAC)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personalised calculator that can help doctors and nurses communicate risk and benefit about</w:t>
      </w:r>
      <w:r>
        <w:rPr>
          <w:spacing w:val="1"/>
        </w:rPr>
        <w:t> </w:t>
      </w:r>
      <w:r>
        <w:rPr/>
        <w:t>transplantation to patients, and can help patients more easily understand the numbers and</w:t>
      </w:r>
      <w:r>
        <w:rPr>
          <w:spacing w:val="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presented to them in clinic.</w:t>
      </w:r>
    </w:p>
    <w:p>
      <w:pPr>
        <w:pStyle w:val="BodyText"/>
        <w:spacing w:line="276" w:lineRule="auto" w:before="156"/>
        <w:ind w:left="109" w:right="107"/>
        <w:jc w:val="both"/>
      </w:pPr>
      <w:r>
        <w:rPr/>
        <w:t>It helps visualise possible outcomes for patients from the point of listing or point of transplant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deceased donor lung transplantation.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1"/>
      </w:pPr>
      <w:r>
        <w:rPr/>
        <w:t>What</w:t>
      </w:r>
      <w:r>
        <w:rPr>
          <w:spacing w:val="-1"/>
        </w:rPr>
        <w:t> </w:t>
      </w:r>
      <w:r>
        <w:rPr/>
        <w:t>does TRAC do?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TRAC is a communication tool designed to aid discussions between patients and clinicians. It</w:t>
      </w:r>
      <w:r>
        <w:rPr>
          <w:spacing w:val="-57"/>
        </w:rPr>
        <w:t> </w:t>
      </w:r>
      <w:r>
        <w:rPr/>
        <w:t>will help clinicians and patients to visualise outcomes based on data for patients with similar</w:t>
      </w:r>
      <w:r>
        <w:rPr>
          <w:spacing w:val="1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past.</w:t>
      </w:r>
    </w:p>
    <w:p>
      <w:pPr>
        <w:pStyle w:val="BodyText"/>
        <w:spacing w:line="276" w:lineRule="auto" w:before="156"/>
        <w:ind w:left="109" w:right="106"/>
        <w:jc w:val="both"/>
      </w:pPr>
      <w:r>
        <w:rPr/>
        <w:t>The</w:t>
      </w:r>
      <w:r>
        <w:rPr>
          <w:spacing w:val="-9"/>
        </w:rPr>
        <w:t> </w:t>
      </w:r>
      <w:r>
        <w:rPr/>
        <w:t>calculator</w:t>
      </w:r>
      <w:r>
        <w:rPr>
          <w:spacing w:val="-8"/>
        </w:rPr>
        <w:t> </w:t>
      </w:r>
      <w:r>
        <w:rPr/>
        <w:t>asks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tables and charts based on those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r>
        <w:rPr/>
        <w:t>Who</w:t>
      </w:r>
      <w:r>
        <w:rPr>
          <w:spacing w:val="-1"/>
        </w:rPr>
        <w:t> </w:t>
      </w:r>
      <w:r>
        <w:rPr/>
        <w:t>is TRAC for?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TRAC tool has been designed to be used by clinicians with patients and their families. It is a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and should not</w:t>
      </w:r>
      <w:r>
        <w:rPr>
          <w:spacing w:val="-2"/>
        </w:rPr>
        <w:t> </w:t>
      </w:r>
      <w:r>
        <w:rPr/>
        <w:t>be used by</w:t>
      </w:r>
      <w:r>
        <w:rPr>
          <w:spacing w:val="-1"/>
        </w:rPr>
        <w:t> </w:t>
      </w:r>
      <w:r>
        <w:rPr/>
        <w:t>itself to make</w:t>
      </w:r>
      <w:r>
        <w:rPr>
          <w:spacing w:val="-1"/>
        </w:rPr>
        <w:t> </w:t>
      </w:r>
      <w:r>
        <w:rPr/>
        <w:t>decisions.</w:t>
      </w:r>
    </w:p>
    <w:p>
      <w:pPr>
        <w:pStyle w:val="Heading2"/>
        <w:spacing w:before="157"/>
        <w:jc w:val="both"/>
      </w:pPr>
      <w:r>
        <w:rPr/>
        <w:t>Patients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TRAC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consultation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 medical</w:t>
      </w:r>
      <w:r>
        <w:rPr>
          <w:spacing w:val="-2"/>
        </w:rPr>
        <w:t> </w:t>
      </w:r>
      <w:r>
        <w:rPr/>
        <w:t>professional.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adult</w:t>
      </w:r>
      <w:r>
        <w:rPr>
          <w:spacing w:val="-9"/>
        </w:rPr>
        <w:t> </w:t>
      </w:r>
      <w:r>
        <w:rPr>
          <w:color w:val="FF0000"/>
        </w:rPr>
        <w:t>(aged</w:t>
      </w:r>
      <w:r>
        <w:rPr>
          <w:color w:val="FF0000"/>
          <w:spacing w:val="-9"/>
        </w:rPr>
        <w:t> </w:t>
      </w:r>
      <w:r>
        <w:rPr>
          <w:color w:val="FF0000"/>
        </w:rPr>
        <w:t>≥18</w:t>
      </w:r>
      <w:r>
        <w:rPr>
          <w:color w:val="FF0000"/>
          <w:spacing w:val="-9"/>
        </w:rPr>
        <w:t> </w:t>
      </w:r>
      <w:r>
        <w:rPr>
          <w:color w:val="FF0000"/>
        </w:rPr>
        <w:t>years)</w:t>
      </w:r>
      <w:r>
        <w:rPr>
          <w:color w:val="FF0000"/>
          <w:spacing w:val="41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tools,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 paediatric</w:t>
      </w:r>
      <w:r>
        <w:rPr>
          <w:spacing w:val="-1"/>
        </w:rPr>
        <w:t> </w:t>
      </w:r>
      <w:r>
        <w:rPr/>
        <w:t>patients.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The data used to develop this site has been developed patients registered for deceased donor</w:t>
      </w:r>
      <w:r>
        <w:rPr>
          <w:spacing w:val="1"/>
        </w:rPr>
        <w:t> </w:t>
      </w:r>
      <w:r>
        <w:rPr/>
        <w:t>kidney transplants in the UK, or who have received a deceased donor kidney-only transplant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UK</w:t>
      </w:r>
      <w:r>
        <w:rPr>
          <w:spacing w:val="-14"/>
        </w:rPr>
        <w:t> </w:t>
      </w:r>
      <w:r>
        <w:rPr>
          <w:spacing w:val="-1"/>
        </w:rPr>
        <w:t>so</w:t>
      </w:r>
      <w:r>
        <w:rPr>
          <w:spacing w:val="-14"/>
        </w:rPr>
        <w:t> </w:t>
      </w:r>
      <w:r>
        <w:rPr>
          <w:spacing w:val="-1"/>
        </w:rPr>
        <w:t>will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spacing w:val="-1"/>
        </w:rPr>
        <w:t>suitable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patients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countries.</w:t>
      </w:r>
      <w:r>
        <w:rPr>
          <w:spacing w:val="-12"/>
        </w:rPr>
        <w:t> </w:t>
      </w:r>
      <w:r>
        <w:rPr>
          <w:color w:val="FF0000"/>
        </w:rPr>
        <w:t>Patients</w:t>
      </w:r>
      <w:r>
        <w:rPr>
          <w:color w:val="FF0000"/>
          <w:spacing w:val="-14"/>
        </w:rPr>
        <w:t> </w:t>
      </w:r>
      <w:r>
        <w:rPr>
          <w:color w:val="FF0000"/>
        </w:rPr>
        <w:t>registered</w:t>
      </w:r>
      <w:r>
        <w:rPr>
          <w:color w:val="FF0000"/>
          <w:spacing w:val="-14"/>
        </w:rPr>
        <w:t> </w:t>
      </w:r>
      <w:r>
        <w:rPr>
          <w:color w:val="FF0000"/>
        </w:rPr>
        <w:t>on</w:t>
      </w:r>
      <w:r>
        <w:rPr>
          <w:color w:val="FF0000"/>
          <w:spacing w:val="-14"/>
        </w:rPr>
        <w:t> </w:t>
      </w:r>
      <w:r>
        <w:rPr>
          <w:color w:val="FF0000"/>
        </w:rPr>
        <w:t>another</w:t>
      </w:r>
      <w:r>
        <w:rPr>
          <w:color w:val="FF0000"/>
          <w:spacing w:val="-57"/>
        </w:rPr>
        <w:t> </w:t>
      </w:r>
      <w:r>
        <w:rPr>
          <w:color w:val="FF0000"/>
        </w:rPr>
        <w:t>organ transplant list (e.g. pancreas list) either before, during or after their kidney registration</w:t>
      </w:r>
      <w:r>
        <w:rPr>
          <w:color w:val="FF0000"/>
          <w:spacing w:val="1"/>
        </w:rPr>
        <w:t> </w:t>
      </w:r>
      <w:r>
        <w:rPr>
          <w:color w:val="FF0000"/>
        </w:rPr>
        <w:t>were</w:t>
      </w:r>
      <w:r>
        <w:rPr>
          <w:color w:val="FF0000"/>
          <w:spacing w:val="-5"/>
        </w:rPr>
        <w:t> </w:t>
      </w:r>
      <w:r>
        <w:rPr>
          <w:color w:val="FF0000"/>
        </w:rPr>
        <w:t>also</w:t>
      </w:r>
      <w:r>
        <w:rPr>
          <w:color w:val="FF0000"/>
          <w:spacing w:val="-5"/>
        </w:rPr>
        <w:t> </w:t>
      </w:r>
      <w:r>
        <w:rPr>
          <w:color w:val="FF0000"/>
        </w:rPr>
        <w:t>not</w:t>
      </w:r>
      <w:r>
        <w:rPr>
          <w:color w:val="FF0000"/>
          <w:spacing w:val="-4"/>
        </w:rPr>
        <w:t> </w:t>
      </w:r>
      <w:r>
        <w:rPr>
          <w:color w:val="FF0000"/>
        </w:rPr>
        <w:t>included.</w:t>
      </w:r>
      <w:r>
        <w:rPr>
          <w:color w:val="FF0000"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TRAC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8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who fall outside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inclusion criteria.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/>
        <w:t>Who built TRAC?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Development of the statistical models was undertaken by the NHS Blood and Transplant</w:t>
      </w:r>
      <w:r>
        <w:rPr>
          <w:spacing w:val="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and Clinical Studies team.</w:t>
      </w:r>
    </w:p>
    <w:p>
      <w:pPr>
        <w:spacing w:after="0" w:line="276" w:lineRule="auto"/>
        <w:jc w:val="both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line="276" w:lineRule="auto" w:before="75"/>
        <w:ind w:left="109" w:right="106"/>
        <w:jc w:val="both"/>
      </w:pPr>
      <w:r>
        <w:rPr/>
        <w:t>The website has been built using a user centre design approach by the </w:t>
      </w:r>
      <w:r>
        <w:rPr>
          <w:color w:val="0070C0"/>
          <w:u w:val="single" w:color="0070C0"/>
        </w:rPr>
        <w:t>Winton Centre for Risk</w:t>
      </w:r>
      <w:r>
        <w:rPr>
          <w:color w:val="0070C0"/>
          <w:spacing w:val="-57"/>
        </w:rPr>
        <w:t> </w:t>
      </w:r>
      <w:r>
        <w:rPr>
          <w:color w:val="0070C0"/>
          <w:u w:val="single" w:color="0070C0"/>
        </w:rPr>
        <w:t>&amp; Evidence Communication</w:t>
      </w:r>
      <w:r>
        <w:rPr>
          <w:color w:val="0070C0"/>
        </w:rPr>
        <w:t> </w:t>
      </w:r>
      <w:r>
        <w:rPr/>
        <w:t>at the University of Cambridge who are funded by a generous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David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Claudia</w:t>
      </w:r>
      <w:r>
        <w:rPr>
          <w:spacing w:val="1"/>
        </w:rPr>
        <w:t> </w:t>
      </w:r>
      <w:r>
        <w:rPr/>
        <w:t>Harding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Winton</w:t>
      </w:r>
      <w:r>
        <w:rPr>
          <w:spacing w:val="1"/>
        </w:rPr>
        <w:t> </w:t>
      </w:r>
      <w:r>
        <w:rPr/>
        <w:t>Charitable</w:t>
      </w:r>
      <w:r>
        <w:rPr>
          <w:spacing w:val="1"/>
        </w:rPr>
        <w:t> </w:t>
      </w:r>
      <w:r>
        <w:rPr/>
        <w:t>Foundation.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TECHNICAL</w:t>
      </w: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204" w:after="0"/>
        <w:ind w:left="469" w:right="0" w:hanging="361"/>
        <w:jc w:val="left"/>
      </w:pPr>
      <w:r>
        <w:rPr/>
        <w:t>Model</w:t>
      </w:r>
      <w:r>
        <w:rPr>
          <w:spacing w:val="-3"/>
        </w:rPr>
        <w:t> </w:t>
      </w:r>
      <w:r>
        <w:rPr/>
        <w:t>development</w:t>
      </w:r>
    </w:p>
    <w:p>
      <w:pPr>
        <w:pStyle w:val="BodyText"/>
        <w:spacing w:line="276" w:lineRule="auto" w:before="200"/>
        <w:ind w:left="109" w:right="106"/>
        <w:jc w:val="both"/>
      </w:pPr>
      <w:r>
        <w:rPr/>
        <w:t>The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behind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TRAC</w:t>
      </w:r>
      <w:r>
        <w:rPr>
          <w:spacing w:val="-13"/>
        </w:rPr>
        <w:t> </w:t>
      </w:r>
      <w:r>
        <w:rPr/>
        <w:t>tool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UK</w:t>
      </w:r>
      <w:r>
        <w:rPr>
          <w:spacing w:val="-13"/>
        </w:rPr>
        <w:t> </w:t>
      </w:r>
      <w:r>
        <w:rPr/>
        <w:t>Transplant</w:t>
      </w:r>
      <w:r>
        <w:rPr>
          <w:spacing w:val="-13"/>
        </w:rPr>
        <w:t> </w:t>
      </w:r>
      <w:r>
        <w:rPr/>
        <w:t>Registry</w:t>
      </w:r>
      <w:r>
        <w:rPr>
          <w:spacing w:val="-13"/>
        </w:rPr>
        <w:t> </w:t>
      </w:r>
      <w:r>
        <w:rPr/>
        <w:t>(UKTR)</w:t>
      </w:r>
      <w:r>
        <w:rPr>
          <w:spacing w:val="-13"/>
        </w:rPr>
        <w:t> </w:t>
      </w:r>
      <w:r>
        <w:rPr/>
        <w:t>data</w:t>
      </w:r>
      <w:r>
        <w:rPr>
          <w:spacing w:val="-58"/>
        </w:rPr>
        <w:t> </w:t>
      </w:r>
      <w:r>
        <w:rPr/>
        <w:t>which is held by NHS Blood and Transplant (NHSBT).</w:t>
      </w:r>
      <w:r>
        <w:rPr>
          <w:spacing w:val="1"/>
        </w:rPr>
        <w:t> </w:t>
      </w:r>
      <w:r>
        <w:rPr/>
        <w:t>The UKTR database contains</w:t>
      </w:r>
      <w:r>
        <w:rPr>
          <w:spacing w:val="1"/>
        </w:rPr>
        <w:t> </w:t>
      </w:r>
      <w:r>
        <w:rPr/>
        <w:t>information on all patients who are listed for transplantation in the UK, and all patients who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transplanted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solid organ</w:t>
      </w:r>
      <w:r>
        <w:rPr>
          <w:spacing w:val="-1"/>
        </w:rPr>
        <w:t> </w:t>
      </w:r>
      <w:r>
        <w:rPr/>
        <w:t>transplant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UK with follow-up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NHSBT</w:t>
      </w:r>
      <w:r>
        <w:rPr>
          <w:spacing w:val="-6"/>
        </w:rPr>
        <w:t> </w:t>
      </w:r>
      <w:r>
        <w:rPr/>
        <w:t>Statisticians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closely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transplant</w:t>
      </w:r>
      <w:r>
        <w:rPr>
          <w:spacing w:val="-5"/>
        </w:rPr>
        <w:t> </w:t>
      </w:r>
      <w:r>
        <w:rPr/>
        <w:t>clinicians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compile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potential</w:t>
      </w:r>
      <w:r>
        <w:rPr>
          <w:spacing w:val="-57"/>
        </w:rPr>
        <w:t> </w:t>
      </w:r>
      <w:r>
        <w:rPr/>
        <w:t>variables (e.g. age, primary renal disease) from the UK Transplant Registry to test in their</w:t>
      </w:r>
      <w:r>
        <w:rPr>
          <w:spacing w:val="1"/>
        </w:rPr>
        <w:t> </w:t>
      </w:r>
      <w:r>
        <w:rPr/>
        <w:t>models. Each of these variables are statistically tested and kept in the model if found to have</w:t>
      </w:r>
      <w:r>
        <w:rPr>
          <w:spacing w:val="1"/>
        </w:rPr>
        <w:t> </w:t>
      </w:r>
      <w:r>
        <w:rPr/>
        <w:t>an important relationship with the outcome of interest (e.g. post-transplant survival). These</w:t>
      </w:r>
      <w:r>
        <w:rPr>
          <w:spacing w:val="1"/>
        </w:rPr>
        <w:t> </w:t>
      </w:r>
      <w:r>
        <w:rPr/>
        <w:t>variables are referred to as ‘risk factors’. Some of the models used by the TRAC tool are 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NHSBT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organ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(https://</w:t>
      </w:r>
      <w:hyperlink r:id="rId5">
        <w:r>
          <w:rPr/>
          <w:t>www.odt.nhs.uk/statistics-and-reports/organ-specific-reports/)</w:t>
        </w:r>
      </w:hyperlink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analyses.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At the end of the modelling process values were obtained called ‘parameter estimates’ which</w:t>
      </w:r>
      <w:r>
        <w:rPr>
          <w:spacing w:val="1"/>
        </w:rPr>
        <w:t> </w:t>
      </w:r>
      <w:r>
        <w:rPr/>
        <w:t>quantify the estimated impact of each risk factor upon the outcome of interest. Please refer to</w:t>
      </w:r>
      <w:r>
        <w:rPr>
          <w:spacing w:val="1"/>
        </w:rPr>
        <w:t> </w:t>
      </w:r>
      <w:r>
        <w:rPr/>
        <w:t>the Mathematical Section (Section 3) to see exactly how a change in parameter estimates</w:t>
      </w:r>
      <w:r>
        <w:rPr>
          <w:spacing w:val="1"/>
        </w:rPr>
        <w:t> </w:t>
      </w:r>
      <w:r>
        <w:rPr/>
        <w:t>affects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baseline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curve</w:t>
      </w:r>
      <w:r>
        <w:rPr>
          <w:spacing w:val="-7"/>
        </w:rPr>
        <w:t> </w:t>
      </w:r>
      <w:r>
        <w:rPr/>
        <w:t>plotted</w:t>
      </w:r>
      <w:r>
        <w:rPr>
          <w:spacing w:val="-6"/>
        </w:rPr>
        <w:t> </w:t>
      </w:r>
      <w:r>
        <w:rPr/>
        <w:t>over</w:t>
      </w:r>
      <w:r>
        <w:rPr>
          <w:spacing w:val="-58"/>
        </w:rPr>
        <w:t> </w:t>
      </w:r>
      <w:r>
        <w:rPr/>
        <w:t>time that represents an ‘average’ patient in the study cohort. </w:t>
      </w:r>
      <w:r>
        <w:rPr>
          <w:color w:val="FF0000"/>
        </w:rPr>
        <w:t>The most common/mean value</w:t>
      </w:r>
      <w:r>
        <w:rPr>
          <w:color w:val="FF0000"/>
          <w:spacing w:val="1"/>
        </w:rPr>
        <w:t> </w:t>
      </w:r>
      <w:r>
        <w:rPr>
          <w:color w:val="FF0000"/>
        </w:rPr>
        <w:t>from the model development dataset for each risk factor is indicated as the baseline value as</w:t>
      </w:r>
      <w:r>
        <w:rPr>
          <w:color w:val="FF0000"/>
          <w:spacing w:val="1"/>
        </w:rPr>
        <w:t> </w:t>
      </w:r>
      <w:r>
        <w:rPr>
          <w:color w:val="FF0000"/>
        </w:rPr>
        <w:t>this value is represented by the baseline curve.</w:t>
      </w:r>
      <w:r>
        <w:rPr>
          <w:color w:val="FF0000"/>
          <w:spacing w:val="1"/>
        </w:rPr>
        <w:t> </w:t>
      </w:r>
      <w:r>
        <w:rPr/>
        <w:t>The parameter estimates are then used by the</w:t>
      </w:r>
      <w:r>
        <w:rPr>
          <w:spacing w:val="1"/>
        </w:rPr>
        <w:t> </w:t>
      </w:r>
      <w:r>
        <w:rPr/>
        <w:t>TRAC tool to essentially shift this baseline curve when the values of the risk factors are</w:t>
      </w:r>
      <w:r>
        <w:rPr>
          <w:spacing w:val="1"/>
        </w:rPr>
        <w:t> </w:t>
      </w:r>
      <w:r>
        <w:rPr/>
        <w:t>changed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‘average’</w:t>
      </w:r>
      <w:r>
        <w:rPr>
          <w:spacing w:val="-5"/>
        </w:rPr>
        <w:t> </w:t>
      </w:r>
      <w:r>
        <w:rPr/>
        <w:t>values.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patient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</w:t>
      </w:r>
      <w:r>
        <w:rPr>
          <w:spacing w:val="-57"/>
        </w:rPr>
        <w:t> </w:t>
      </w:r>
      <w:r>
        <w:rPr/>
        <w:t>factors that are relevant to their own circumstances. For all models, transplant centre was</w:t>
      </w:r>
      <w:r>
        <w:rPr>
          <w:spacing w:val="1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stratifying</w:t>
      </w:r>
      <w:r>
        <w:rPr>
          <w:spacing w:val="-1"/>
        </w:rPr>
        <w:t> </w:t>
      </w:r>
      <w:r>
        <w:rPr/>
        <w:t>factor,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curve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centre.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9" w:right="107"/>
        <w:jc w:val="both"/>
      </w:pPr>
      <w:r>
        <w:rPr/>
        <w:t>Although the TRAC tool is based on reputable models, it cannot say what the outcomes for a</w:t>
      </w:r>
      <w:r>
        <w:rPr>
          <w:spacing w:val="1"/>
        </w:rPr>
        <w:t> </w:t>
      </w:r>
      <w:r>
        <w:rPr/>
        <w:t>particular patient will be. It can only provide a summary of survival and waiting list outcomes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past with similar characteristics.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This tool has been developed using retrospective registry data. </w:t>
      </w:r>
      <w:r>
        <w:rPr>
          <w:color w:val="FF0000"/>
        </w:rPr>
        <w:t>Therefore, changes to the</w:t>
      </w:r>
      <w:r>
        <w:rPr>
          <w:color w:val="FF0000"/>
          <w:spacing w:val="1"/>
        </w:rPr>
        <w:t> </w:t>
      </w:r>
      <w:r>
        <w:rPr>
          <w:color w:val="FF0000"/>
        </w:rPr>
        <w:t>Kidney</w:t>
      </w:r>
      <w:r>
        <w:rPr>
          <w:color w:val="FF0000"/>
          <w:spacing w:val="-1"/>
        </w:rPr>
        <w:t> </w:t>
      </w:r>
      <w:r>
        <w:rPr>
          <w:color w:val="FF0000"/>
        </w:rPr>
        <w:t>Offering Scheme</w:t>
      </w:r>
      <w:r>
        <w:rPr>
          <w:color w:val="FF0000"/>
          <w:spacing w:val="-1"/>
        </w:rPr>
        <w:t> </w:t>
      </w:r>
      <w:r>
        <w:rPr>
          <w:color w:val="FF0000"/>
        </w:rPr>
        <w:t>in</w:t>
      </w:r>
      <w:r>
        <w:rPr>
          <w:color w:val="FF0000"/>
          <w:spacing w:val="-1"/>
        </w:rPr>
        <w:t> </w:t>
      </w:r>
      <w:r>
        <w:rPr>
          <w:color w:val="FF0000"/>
        </w:rPr>
        <w:t>2019 are</w:t>
      </w:r>
      <w:r>
        <w:rPr>
          <w:color w:val="FF0000"/>
          <w:spacing w:val="-1"/>
        </w:rPr>
        <w:t> </w:t>
      </w:r>
      <w:r>
        <w:rPr>
          <w:color w:val="FF0000"/>
        </w:rPr>
        <w:t>NOT reflected</w:t>
      </w:r>
      <w:r>
        <w:rPr>
          <w:color w:val="FF0000"/>
          <w:spacing w:val="-1"/>
        </w:rPr>
        <w:t> </w:t>
      </w:r>
      <w:r>
        <w:rPr>
          <w:color w:val="FF0000"/>
        </w:rPr>
        <w:t>in these</w:t>
      </w:r>
      <w:r>
        <w:rPr>
          <w:color w:val="FF0000"/>
          <w:spacing w:val="-1"/>
        </w:rPr>
        <w:t> </w:t>
      </w:r>
      <w:r>
        <w:rPr>
          <w:color w:val="FF0000"/>
        </w:rPr>
        <w:t>models.</w:t>
      </w:r>
    </w:p>
    <w:p>
      <w:pPr>
        <w:spacing w:after="0" w:line="276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90"/>
        <w:ind w:left="109" w:right="106"/>
        <w:jc w:val="both"/>
      </w:pPr>
      <w:r>
        <w:rPr/>
        <w:t>All statistical analyses for this website were generated using SAS Enterprise Guide software,</w:t>
      </w:r>
      <w:r>
        <w:rPr>
          <w:spacing w:val="1"/>
        </w:rPr>
        <w:t> </w:t>
      </w:r>
      <w:r>
        <w:rPr/>
        <w:t>Version 7.1.</w:t>
      </w:r>
      <w:r>
        <w:rPr>
          <w:spacing w:val="1"/>
        </w:rPr>
        <w:t> </w:t>
      </w:r>
      <w:r>
        <w:rPr/>
        <w:t>SAS and all other SAS Institute Inc. product or service names are registered</w:t>
      </w:r>
      <w:r>
        <w:rPr>
          <w:spacing w:val="1"/>
        </w:rPr>
        <w:t> </w:t>
      </w:r>
      <w:r>
        <w:rPr/>
        <w:t>trademarks</w:t>
      </w:r>
      <w:r>
        <w:rPr>
          <w:spacing w:val="-1"/>
        </w:rPr>
        <w:t> </w:t>
      </w:r>
      <w:r>
        <w:rPr/>
        <w:t>or trademarks of SAS Institute</w:t>
      </w:r>
      <w:r>
        <w:rPr>
          <w:spacing w:val="-1"/>
        </w:rPr>
        <w:t> </w:t>
      </w:r>
      <w:r>
        <w:rPr/>
        <w:t>Inc.,</w:t>
      </w:r>
      <w:r>
        <w:rPr>
          <w:spacing w:val="-1"/>
        </w:rPr>
        <w:t> </w:t>
      </w:r>
      <w:r>
        <w:rPr/>
        <w:t>Cary, NC, USA.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What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happen to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listing?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The dataset used for this model comprised of all adult (aged ≥18 years) first kidney-only</w:t>
      </w:r>
      <w:r>
        <w:rPr>
          <w:spacing w:val="1"/>
        </w:rPr>
        <w:t> </w:t>
      </w:r>
      <w:r>
        <w:rPr/>
        <w:t>registrations (i.e. people joining the transplant waiting list) between 1 January 2010 and 31</w:t>
      </w:r>
      <w:r>
        <w:rPr>
          <w:spacing w:val="1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From the point of joining the waiting list, receiving a transplant is one of three competing</w:t>
      </w:r>
      <w:r>
        <w:rPr>
          <w:spacing w:val="1"/>
        </w:rPr>
        <w:t> </w:t>
      </w:r>
      <w:r>
        <w:rPr/>
        <w:t>events</w:t>
      </w:r>
      <w:r>
        <w:rPr>
          <w:spacing w:val="-1"/>
        </w:rPr>
        <w:t> </w:t>
      </w:r>
      <w:r>
        <w:rPr/>
        <w:t>(transplant,</w:t>
      </w:r>
      <w:r>
        <w:rPr>
          <w:spacing w:val="-1"/>
        </w:rPr>
        <w:t> </w:t>
      </w:r>
      <w:r>
        <w:rPr/>
        <w:t>death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removal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list)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patient</w:t>
      </w:r>
      <w:r>
        <w:rPr>
          <w:spacing w:val="-2"/>
        </w:rPr>
        <w:t> </w:t>
      </w:r>
      <w:r>
        <w:rPr/>
        <w:t>is ‘at</w:t>
      </w:r>
      <w:r>
        <w:rPr>
          <w:spacing w:val="-1"/>
        </w:rPr>
        <w:t> </w:t>
      </w:r>
      <w:r>
        <w:rPr/>
        <w:t>risk’</w:t>
      </w:r>
      <w:r>
        <w:rPr>
          <w:spacing w:val="-1"/>
        </w:rPr>
        <w:t> </w:t>
      </w:r>
      <w:r>
        <w:rPr/>
        <w:t>of.</w:t>
      </w:r>
    </w:p>
    <w:p>
      <w:pPr>
        <w:pStyle w:val="BodyText"/>
        <w:spacing w:line="278" w:lineRule="auto" w:before="148"/>
        <w:ind w:left="109" w:right="106"/>
        <w:jc w:val="both"/>
      </w:pPr>
      <w:r>
        <w:rPr/>
        <w:t>We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listing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cohort.</w:t>
      </w:r>
      <w:r>
        <w:rPr>
          <w:spacing w:val="-58"/>
        </w:rPr>
        <w:t> </w:t>
      </w:r>
      <w:r>
        <w:rPr/>
        <w:t>A model for ‘time to transplant’, a model for ‘time to death on the list’ and a model for ‘time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removal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list’ was</w:t>
      </w:r>
      <w:r>
        <w:rPr>
          <w:spacing w:val="-1"/>
        </w:rPr>
        <w:t> </w:t>
      </w:r>
      <w:r>
        <w:rPr/>
        <w:t>then developed using</w:t>
      </w:r>
      <w:r>
        <w:rPr>
          <w:spacing w:val="-1"/>
        </w:rPr>
        <w:t> </w:t>
      </w:r>
      <w:r>
        <w:rPr/>
        <w:t>Cox Regression (Section</w:t>
      </w:r>
      <w:r>
        <w:rPr>
          <w:spacing w:val="-1"/>
        </w:rPr>
        <w:t> </w:t>
      </w:r>
      <w:r>
        <w:rPr/>
        <w:t>3.1).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9"/>
        <w:jc w:val="both"/>
      </w:pPr>
      <w:r>
        <w:rPr/>
        <w:t>Each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cohort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categories: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40" w:lineRule="auto" w:before="194" w:after="0"/>
        <w:ind w:left="369" w:right="0" w:hanging="261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transplanted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either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living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deceased</w:t>
      </w:r>
      <w:r>
        <w:rPr>
          <w:spacing w:val="-2"/>
          <w:sz w:val="24"/>
        </w:rPr>
        <w:t> </w:t>
      </w:r>
      <w:r>
        <w:rPr>
          <w:sz w:val="24"/>
        </w:rPr>
        <w:t>donor</w:t>
      </w:r>
      <w:r>
        <w:rPr>
          <w:spacing w:val="-1"/>
          <w:sz w:val="24"/>
        </w:rPr>
        <w:t> </w:t>
      </w:r>
      <w:r>
        <w:rPr>
          <w:sz w:val="24"/>
        </w:rPr>
        <w:t>transplant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40" w:lineRule="auto" w:before="190" w:after="0"/>
        <w:ind w:left="369" w:right="0" w:hanging="261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died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whilst</w:t>
      </w:r>
      <w:r>
        <w:rPr>
          <w:spacing w:val="-1"/>
          <w:sz w:val="24"/>
        </w:rPr>
        <w:t> </w:t>
      </w:r>
      <w:r>
        <w:rPr>
          <w:sz w:val="24"/>
        </w:rPr>
        <w:t>awaiting</w:t>
      </w:r>
      <w:r>
        <w:rPr>
          <w:spacing w:val="-2"/>
          <w:sz w:val="24"/>
        </w:rPr>
        <w:t> </w:t>
      </w:r>
      <w:r>
        <w:rPr>
          <w:sz w:val="24"/>
        </w:rPr>
        <w:t>transplantation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76" w:lineRule="auto" w:before="194" w:after="0"/>
        <w:ind w:left="109" w:right="106" w:firstLine="0"/>
        <w:jc w:val="both"/>
        <w:rPr>
          <w:sz w:val="24"/>
        </w:rPr>
      </w:pPr>
      <w:r>
        <w:rPr>
          <w:sz w:val="24"/>
        </w:rPr>
        <w:t>Patients who were removed from the list prior to transplantation. This could occur for a</w:t>
      </w:r>
      <w:r>
        <w:rPr>
          <w:spacing w:val="1"/>
          <w:sz w:val="24"/>
        </w:rPr>
        <w:t> </w:t>
      </w:r>
      <w:r>
        <w:rPr>
          <w:sz w:val="24"/>
        </w:rPr>
        <w:t>number of reasons including patient choice or a deterioration in health such that a transplant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no longer suitable.</w:t>
      </w: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276" w:lineRule="auto" w:before="147" w:after="0"/>
        <w:ind w:left="109" w:right="106" w:firstLine="0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-9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still</w:t>
      </w:r>
      <w:r>
        <w:rPr>
          <w:spacing w:val="-8"/>
          <w:sz w:val="24"/>
        </w:rPr>
        <w:t> </w:t>
      </w:r>
      <w:r>
        <w:rPr>
          <w:sz w:val="24"/>
        </w:rPr>
        <w:t>waiting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list.</w:t>
      </w:r>
      <w:r>
        <w:rPr>
          <w:spacing w:val="-8"/>
          <w:sz w:val="24"/>
        </w:rPr>
        <w:t> </w:t>
      </w:r>
      <w:r>
        <w:rPr>
          <w:sz w:val="24"/>
        </w:rPr>
        <w:t>Patients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suspended</w:t>
      </w:r>
      <w:r>
        <w:rPr>
          <w:spacing w:val="-8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classed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still</w:t>
      </w:r>
      <w:r>
        <w:rPr>
          <w:spacing w:val="-57"/>
          <w:sz w:val="24"/>
        </w:rPr>
        <w:t> </w:t>
      </w:r>
      <w:r>
        <w:rPr>
          <w:sz w:val="24"/>
        </w:rPr>
        <w:t>waiting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9" w:right="107"/>
        <w:jc w:val="both"/>
      </w:pPr>
      <w:r>
        <w:rPr/>
        <w:t>The covariates used in the model were those which have previously been shown to have an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 outcome</w:t>
      </w:r>
      <w:r>
        <w:rPr>
          <w:spacing w:val="-2"/>
        </w:rPr>
        <w:t> </w:t>
      </w:r>
      <w:r>
        <w:rPr/>
        <w:t>and those</w:t>
      </w:r>
      <w:r>
        <w:rPr>
          <w:spacing w:val="-2"/>
        </w:rPr>
        <w:t> </w:t>
      </w:r>
      <w:r>
        <w:rPr/>
        <w:t>which were</w:t>
      </w:r>
      <w:r>
        <w:rPr>
          <w:spacing w:val="-2"/>
        </w:rPr>
        <w:t> </w:t>
      </w:r>
      <w:r>
        <w:rPr/>
        <w:t>thought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clinically</w:t>
      </w:r>
      <w:r>
        <w:rPr>
          <w:spacing w:val="-1"/>
        </w:rPr>
        <w:t> </w:t>
      </w:r>
      <w:r>
        <w:rPr/>
        <w:t>significant.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09" w:right="106"/>
        <w:jc w:val="both"/>
      </w:pPr>
      <w:r>
        <w:rPr/>
        <w:t>Following development of the Cox Proportional hazards models, a numerical approximation</w:t>
      </w:r>
      <w:r>
        <w:rPr>
          <w:spacing w:val="1"/>
        </w:rPr>
        <w:t> </w:t>
      </w:r>
      <w:r>
        <w:rPr/>
        <w:t>algorithm was applied which combined the model results from the time to transplant model</w:t>
      </w:r>
      <w:r>
        <w:rPr>
          <w:spacing w:val="1"/>
        </w:rPr>
        <w:t> </w:t>
      </w:r>
      <w:r>
        <w:rPr/>
        <w:t>with the time to death on the list/removal from the list model (Section 3.2). This algorithm</w:t>
      </w:r>
      <w:r>
        <w:rPr>
          <w:spacing w:val="1"/>
        </w:rPr>
        <w:t> </w:t>
      </w:r>
      <w:r>
        <w:rPr/>
        <w:t>enabled the estimated chances of each of the listed outcomes at any particular time up to three</w:t>
      </w:r>
      <w:r>
        <w:rPr>
          <w:spacing w:val="-57"/>
        </w:rPr>
        <w:t> </w:t>
      </w:r>
      <w:r>
        <w:rPr/>
        <w:t>years</w:t>
      </w:r>
      <w:r>
        <w:rPr>
          <w:spacing w:val="-4"/>
        </w:rPr>
        <w:t> </w:t>
      </w:r>
      <w:r>
        <w:rPr/>
        <w:t>post-listing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side-by-side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7"/>
        </w:rPr>
        <w:t> </w:t>
      </w:r>
      <w:r>
        <w:rPr/>
        <w:t>happening</w:t>
      </w:r>
      <w:r>
        <w:rPr>
          <w:spacing w:val="-1"/>
        </w:rPr>
        <w:t> </w:t>
      </w:r>
      <w:r>
        <w:rPr/>
        <w:t>at a</w:t>
      </w:r>
      <w:r>
        <w:rPr>
          <w:spacing w:val="-1"/>
        </w:rPr>
        <w:t> </w:t>
      </w:r>
      <w:r>
        <w:rPr/>
        <w:t>particular time</w:t>
      </w:r>
      <w:r>
        <w:rPr>
          <w:spacing w:val="-1"/>
        </w:rPr>
        <w:t> </w:t>
      </w:r>
      <w:r>
        <w:rPr/>
        <w:t>t to equal</w:t>
      </w:r>
      <w:r>
        <w:rPr>
          <w:spacing w:val="-1"/>
        </w:rPr>
        <w:t> </w:t>
      </w:r>
      <w:r>
        <w:rPr/>
        <w:t>100%.</w:t>
      </w:r>
    </w:p>
    <w:p>
      <w:pPr>
        <w:spacing w:after="0" w:line="276" w:lineRule="auto"/>
        <w:jc w:val="both"/>
        <w:sectPr>
          <w:pgSz w:w="11910" w:h="16840"/>
          <w:pgMar w:top="1580" w:bottom="28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75" w:after="0"/>
        <w:ind w:left="469" w:right="0" w:hanging="361"/>
        <w:jc w:val="left"/>
      </w:pPr>
      <w:r>
        <w:rPr/>
        <w:t>Patient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graft</w:t>
      </w:r>
      <w:r>
        <w:rPr>
          <w:spacing w:val="-1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u w:val="thick"/>
        </w:rPr>
        <w:t>deceased</w:t>
      </w:r>
      <w:r>
        <w:rPr>
          <w:spacing w:val="-2"/>
          <w:u w:val="thick"/>
        </w:rPr>
        <w:t> </w:t>
      </w:r>
      <w:r>
        <w:rPr>
          <w:u w:val="thick"/>
        </w:rPr>
        <w:t>donor</w:t>
      </w:r>
      <w:r>
        <w:rPr>
          <w:spacing w:val="-2"/>
        </w:rPr>
        <w:t> </w:t>
      </w:r>
      <w:r>
        <w:rPr/>
        <w:t>kidney</w:t>
      </w:r>
      <w:r>
        <w:rPr>
          <w:spacing w:val="-1"/>
        </w:rPr>
        <w:t> </w:t>
      </w:r>
      <w:r>
        <w:rPr/>
        <w:t>transplant</w:t>
      </w:r>
    </w:p>
    <w:p>
      <w:pPr>
        <w:pStyle w:val="BodyText"/>
        <w:spacing w:line="280" w:lineRule="auto" w:before="199"/>
        <w:ind w:left="109" w:right="106"/>
        <w:jc w:val="both"/>
      </w:pPr>
      <w:r>
        <w:rPr/>
        <w:t>The patient cohort for these models comprised all adult (aged ≥18 years) first kidney-only</w:t>
      </w:r>
      <w:r>
        <w:rPr>
          <w:spacing w:val="1"/>
        </w:rPr>
        <w:t> </w:t>
      </w:r>
      <w:r>
        <w:rPr/>
        <w:t>transplants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occurred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UK between</w:t>
      </w:r>
      <w:r>
        <w:rPr>
          <w:spacing w:val="-1"/>
        </w:rPr>
        <w:t> </w:t>
      </w:r>
      <w:r>
        <w:rPr/>
        <w:t>1 January</w:t>
      </w:r>
      <w:r>
        <w:rPr>
          <w:spacing w:val="-1"/>
        </w:rPr>
        <w:t> </w:t>
      </w:r>
      <w:r>
        <w:rPr/>
        <w:t>2010</w:t>
      </w:r>
      <w:r>
        <w:rPr>
          <w:spacing w:val="-1"/>
        </w:rPr>
        <w:t> </w:t>
      </w:r>
      <w:r>
        <w:rPr/>
        <w:t>and 31</w:t>
      </w:r>
      <w:r>
        <w:rPr>
          <w:spacing w:val="-1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spacing w:line="259" w:lineRule="auto" w:before="151"/>
        <w:ind w:left="109" w:right="106"/>
        <w:jc w:val="both"/>
      </w:pPr>
      <w:r>
        <w:rPr/>
        <w:t>Cox proportional hazards models were built where the following 22 factors were tested for</w:t>
      </w:r>
      <w:r>
        <w:rPr>
          <w:spacing w:val="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models:</w:t>
      </w:r>
    </w:p>
    <w:p>
      <w:pPr>
        <w:pStyle w:val="BodyText"/>
        <w:spacing w:line="261" w:lineRule="auto" w:before="158"/>
        <w:ind w:left="109" w:right="106"/>
        <w:jc w:val="both"/>
      </w:pPr>
      <w:r>
        <w:rPr/>
        <w:t>Donor age, type, cause of death, sex, cmv status, hypertension, BMI, height, weight retrieval</w:t>
      </w:r>
      <w:r>
        <w:rPr>
          <w:spacing w:val="1"/>
        </w:rPr>
        <w:t> </w:t>
      </w:r>
      <w:r>
        <w:rPr/>
        <w:t>creatinine,</w:t>
      </w:r>
      <w:r>
        <w:rPr>
          <w:spacing w:val="-11"/>
        </w:rPr>
        <w:t> </w:t>
      </w:r>
      <w:r>
        <w:rPr/>
        <w:t>recipient</w:t>
      </w:r>
      <w:r>
        <w:rPr>
          <w:spacing w:val="-10"/>
        </w:rPr>
        <w:t> </w:t>
      </w:r>
      <w:r>
        <w:rPr/>
        <w:t>age,</w:t>
      </w:r>
      <w:r>
        <w:rPr>
          <w:spacing w:val="-10"/>
        </w:rPr>
        <w:t> </w:t>
      </w:r>
      <w:r>
        <w:rPr/>
        <w:t>ethnicity,</w:t>
      </w:r>
      <w:r>
        <w:rPr>
          <w:spacing w:val="-10"/>
        </w:rPr>
        <w:t> </w:t>
      </w:r>
      <w:r>
        <w:rPr/>
        <w:t>sex</w:t>
      </w:r>
      <w:r>
        <w:rPr>
          <w:spacing w:val="-10"/>
        </w:rPr>
        <w:t> </w:t>
      </w:r>
      <w:r>
        <w:rPr/>
        <w:t>diabetic</w:t>
      </w:r>
      <w:r>
        <w:rPr>
          <w:spacing w:val="-9"/>
        </w:rPr>
        <w:t> </w:t>
      </w:r>
      <w:r>
        <w:rPr/>
        <w:t>nephropathy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renal</w:t>
      </w:r>
      <w:r>
        <w:rPr>
          <w:spacing w:val="-10"/>
        </w:rPr>
        <w:t> </w:t>
      </w:r>
      <w:r>
        <w:rPr/>
        <w:t>failure,</w:t>
      </w:r>
      <w:r>
        <w:rPr>
          <w:spacing w:val="-10"/>
        </w:rPr>
        <w:t> </w:t>
      </w:r>
      <w:r>
        <w:rPr/>
        <w:t>waiting</w:t>
      </w:r>
      <w:r>
        <w:rPr>
          <w:spacing w:val="-57"/>
        </w:rPr>
        <w:t> </w:t>
      </w:r>
      <w:r>
        <w:rPr/>
        <w:t>time,</w:t>
      </w:r>
      <w:r>
        <w:rPr>
          <w:spacing w:val="-1"/>
        </w:rPr>
        <w:t> </w:t>
      </w:r>
      <w:r>
        <w:rPr/>
        <w:t>matchability, blood group,</w:t>
      </w:r>
      <w:r>
        <w:rPr>
          <w:spacing w:val="-1"/>
        </w:rPr>
        <w:t> </w:t>
      </w:r>
      <w:r>
        <w:rPr/>
        <w:t>cold ischaemia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 HLA mismatch.</w:t>
      </w:r>
    </w:p>
    <w:p>
      <w:pPr>
        <w:pStyle w:val="BodyText"/>
        <w:spacing w:line="259" w:lineRule="auto" w:before="153"/>
        <w:ind w:left="109" w:right="106"/>
        <w:jc w:val="both"/>
      </w:pPr>
      <w:r>
        <w:rPr/>
        <w:t>Factors tested were those collected by NHSBT and available on the database and thought to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clinically</w:t>
      </w:r>
      <w:r>
        <w:rPr>
          <w:spacing w:val="1"/>
        </w:rPr>
        <w:t> </w:t>
      </w:r>
      <w:r>
        <w:rPr/>
        <w:t>relevant.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forward-step</w:t>
      </w:r>
      <w:r>
        <w:rPr>
          <w:spacing w:val="1"/>
        </w:rPr>
        <w:t> </w:t>
      </w:r>
      <w:r>
        <w:rPr/>
        <w:t>approach.</w:t>
      </w:r>
      <w:r>
        <w:rPr>
          <w:spacing w:val="-57"/>
        </w:rPr>
        <w:t> </w:t>
      </w:r>
      <w:r>
        <w:rPr/>
        <w:t>Transplant</w:t>
      </w:r>
      <w:r>
        <w:rPr>
          <w:spacing w:val="-2"/>
        </w:rPr>
        <w:t> </w:t>
      </w:r>
      <w:r>
        <w:rPr/>
        <w:t>centre</w:t>
      </w:r>
      <w:r>
        <w:rPr>
          <w:spacing w:val="-1"/>
        </w:rPr>
        <w:t> </w:t>
      </w:r>
      <w:r>
        <w:rPr/>
        <w:t>was added to 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strata.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before="1"/>
        <w:ind w:left="109" w:right="106"/>
        <w:jc w:val="both"/>
      </w:pPr>
      <w:r>
        <w:rPr/>
        <w:t>The post-transplant survival proportional hazards model operates such that each risk factor</w:t>
      </w:r>
      <w:r>
        <w:rPr>
          <w:spacing w:val="1"/>
        </w:rPr>
        <w:t> </w:t>
      </w:r>
      <w:r>
        <w:rPr/>
        <w:t>multiplies the baseline cumulative hazard by a fixed amount known as the hazard ratio or</w:t>
      </w:r>
      <w:r>
        <w:rPr>
          <w:spacing w:val="1"/>
        </w:rPr>
        <w:t> </w:t>
      </w:r>
      <w:r>
        <w:rPr/>
        <w:t>relative risk - essentially the proportional change in mortality risk. This means the cumulative</w:t>
      </w:r>
      <w:r>
        <w:rPr>
          <w:spacing w:val="-57"/>
        </w:rPr>
        <w:t> </w:t>
      </w:r>
      <w:r>
        <w:rPr/>
        <w:t>hazard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components: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baseline</w:t>
      </w:r>
      <w:r>
        <w:rPr>
          <w:spacing w:val="-5"/>
        </w:rPr>
        <w:t> </w:t>
      </w:r>
      <w:r>
        <w:rPr/>
        <w:t>hazard</w:t>
      </w:r>
      <w:r>
        <w:rPr>
          <w:spacing w:val="-4"/>
        </w:rPr>
        <w:t> </w:t>
      </w:r>
      <w:r>
        <w:rPr/>
        <w:t>(chances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death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graft</w:t>
      </w:r>
      <w:r>
        <w:rPr>
          <w:spacing w:val="-5"/>
        </w:rPr>
        <w:t> </w:t>
      </w:r>
      <w:r>
        <w:rPr/>
        <w:t>failure</w:t>
      </w:r>
      <w:r>
        <w:rPr>
          <w:spacing w:val="-5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baseline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characteristics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transplant)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hazard</w:t>
      </w:r>
      <w:r>
        <w:rPr>
          <w:spacing w:val="-8"/>
        </w:rPr>
        <w:t> </w:t>
      </w:r>
      <w:r>
        <w:rPr/>
        <w:t>ratios</w:t>
      </w:r>
      <w:r>
        <w:rPr>
          <w:spacing w:val="-9"/>
        </w:rPr>
        <w:t> </w:t>
      </w:r>
      <w:r>
        <w:rPr/>
        <w:t>for</w:t>
      </w:r>
      <w:r>
        <w:rPr>
          <w:spacing w:val="-57"/>
        </w:rPr>
        <w:t> </w:t>
      </w:r>
      <w:r>
        <w:rPr/>
        <w:t>the risk factors (the increased/decreased risk of death due to changes in these risk factors</w:t>
      </w:r>
      <w:r>
        <w:rPr>
          <w:spacing w:val="1"/>
        </w:rPr>
        <w:t> </w:t>
      </w:r>
      <w:r>
        <w:rPr/>
        <w:t>compared to the baseline characteristics). The cumulative hazard is then translated in to a</w:t>
      </w:r>
      <w:r>
        <w:rPr>
          <w:spacing w:val="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function as described</w:t>
      </w:r>
      <w:r>
        <w:rPr>
          <w:spacing w:val="-1"/>
        </w:rPr>
        <w:t> </w:t>
      </w:r>
      <w:r>
        <w:rPr/>
        <w:t>in the </w:t>
      </w:r>
      <w:r>
        <w:rPr>
          <w:u w:val="single"/>
        </w:rPr>
        <w:t>mathematical description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90"/>
        <w:jc w:val="both"/>
      </w:pPr>
      <w:r>
        <w:rPr/>
        <w:t>Five-year</w:t>
      </w:r>
      <w:r>
        <w:rPr>
          <w:spacing w:val="-2"/>
        </w:rPr>
        <w:t> </w:t>
      </w:r>
      <w:r>
        <w:rPr/>
        <w:t>deceased</w:t>
      </w:r>
      <w:r>
        <w:rPr>
          <w:spacing w:val="-2"/>
        </w:rPr>
        <w:t> </w:t>
      </w:r>
      <w:r>
        <w:rPr/>
        <w:t>donor</w:t>
      </w:r>
      <w:r>
        <w:rPr>
          <w:spacing w:val="-3"/>
        </w:rPr>
        <w:t> </w:t>
      </w:r>
      <w:r>
        <w:rPr/>
        <w:t>post-transplant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survival</w:t>
      </w:r>
    </w:p>
    <w:p>
      <w:pPr>
        <w:pStyle w:val="BodyText"/>
        <w:spacing w:line="276" w:lineRule="auto" w:before="194"/>
        <w:ind w:left="109" w:right="106"/>
        <w:jc w:val="both"/>
      </w:pPr>
      <w:r>
        <w:rPr/>
        <w:t>Post-transplant</w:t>
      </w:r>
      <w:r>
        <w:rPr>
          <w:spacing w:val="-6"/>
        </w:rPr>
        <w:t> </w:t>
      </w:r>
      <w:r>
        <w:rPr/>
        <w:t>patient</w:t>
      </w:r>
      <w:r>
        <w:rPr>
          <w:spacing w:val="-5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transplant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death.</w:t>
      </w:r>
      <w:r>
        <w:rPr>
          <w:spacing w:val="-57"/>
        </w:rPr>
        <w:t> </w:t>
      </w:r>
      <w:r>
        <w:rPr>
          <w:color w:val="333333"/>
        </w:rPr>
        <w:t>These data were censored at the last known follow-up date post-transplant if this was within 5</w:t>
      </w:r>
      <w:r>
        <w:rPr>
          <w:color w:val="333333"/>
          <w:spacing w:val="-57"/>
        </w:rPr>
        <w:t> </w:t>
      </w:r>
      <w:r>
        <w:rPr>
          <w:color w:val="333333"/>
        </w:rPr>
        <w:t>years</w:t>
      </w:r>
      <w:r>
        <w:rPr>
          <w:color w:val="333333"/>
          <w:spacing w:val="-1"/>
        </w:rPr>
        <w:t> </w:t>
      </w:r>
      <w:r>
        <w:rPr>
          <w:color w:val="333333"/>
        </w:rPr>
        <w:t>of transplantation.</w:t>
      </w:r>
    </w:p>
    <w:p>
      <w:pPr>
        <w:pStyle w:val="BodyText"/>
        <w:spacing w:line="261" w:lineRule="auto" w:before="157"/>
        <w:ind w:left="109" w:right="106"/>
        <w:jc w:val="both"/>
      </w:pPr>
      <w:r>
        <w:rPr/>
        <w:t>The following factors were found to be significant and included in the model; recipient age,</w:t>
      </w:r>
      <w:r>
        <w:rPr>
          <w:spacing w:val="1"/>
        </w:rPr>
        <w:t> </w:t>
      </w:r>
      <w:r>
        <w:rPr/>
        <w:t>recipient</w:t>
      </w:r>
      <w:r>
        <w:rPr>
          <w:spacing w:val="1"/>
        </w:rPr>
        <w:t> </w:t>
      </w:r>
      <w:r>
        <w:rPr/>
        <w:t>ethnicity,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recipient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renal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donor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donor</w:t>
      </w:r>
      <w:r>
        <w:rPr>
          <w:spacing w:val="1"/>
        </w:rPr>
        <w:t> </w:t>
      </w:r>
      <w:r>
        <w:rPr/>
        <w:t>hypertension,</w:t>
      </w:r>
      <w:r>
        <w:rPr>
          <w:spacing w:val="-1"/>
        </w:rPr>
        <w:t> </w:t>
      </w:r>
      <w:r>
        <w:rPr/>
        <w:t>HLA MM level.</w:t>
      </w:r>
    </w:p>
    <w:p>
      <w:pPr>
        <w:pStyle w:val="BodyText"/>
        <w:spacing w:before="153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Factor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2203" w:type="dxa"/>
          </w:tcPr>
          <w:p>
            <w:pPr>
              <w:pStyle w:val="TableParagraph"/>
              <w:spacing w:line="274" w:lineRule="exact"/>
              <w:ind w:left="110" w:right="97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estimate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-0.56443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-0.0144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0.60208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– 69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1.18271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1.62701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360" w:bottom="1511" w:left="1340" w:right="13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ethnicity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White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Non-white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-0.18166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63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&lt;=1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-0.18491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1 to &lt;=3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3 to &lt;=5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0.04909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5 to &lt;=7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0.32106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&gt;= 7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0.69479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renal</w:t>
            </w:r>
          </w:p>
          <w:p>
            <w:pPr>
              <w:pStyle w:val="TableParagraph"/>
              <w:spacing w:line="263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Diabetes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0.68609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0 - 29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-0.50465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0.15711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-0.12827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– 69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-0.01357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70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0.09648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115" w:type="dxa"/>
            <w:vMerge w:val="restart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HLA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1 (000)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551" w:hRule="atLeast"/>
        </w:trPr>
        <w:tc>
          <w:tcPr>
            <w:tcW w:w="3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2 (100, 010, 110, 200,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210, 001,101, 201)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0.29717</w:t>
            </w: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3 (020, 120, 220, 011,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111, 211)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0.39373</w:t>
            </w:r>
          </w:p>
        </w:tc>
      </w:tr>
      <w:tr>
        <w:trPr>
          <w:trHeight w:val="830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4 ((021, 121, 221, 002,</w:t>
            </w:r>
          </w:p>
          <w:p>
            <w:pPr>
              <w:pStyle w:val="TableParagraph"/>
              <w:spacing w:line="275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102, 202, 012, 112, 212,</w:t>
            </w:r>
          </w:p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022, 122, 222)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0.26281</w:t>
            </w:r>
          </w:p>
        </w:tc>
      </w:tr>
      <w:tr>
        <w:trPr>
          <w:trHeight w:val="282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Hypertension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82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03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0.28452</w:t>
            </w:r>
          </w:p>
        </w:tc>
      </w:tr>
    </w:tbl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 w:before="90"/>
        <w:ind w:left="109" w:right="106"/>
        <w:jc w:val="both"/>
      </w:pPr>
      <w:r>
        <w:rPr/>
        <w:t>This model was tested for goodness of fit using a concordance statistic (c-statistic) which was</w:t>
      </w:r>
      <w:r>
        <w:rPr>
          <w:spacing w:val="-57"/>
        </w:rPr>
        <w:t> </w:t>
      </w:r>
      <w:r>
        <w:rPr/>
        <w:t>found to be 0.71.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2"/>
        <w:jc w:val="both"/>
      </w:pPr>
      <w:r>
        <w:rPr/>
        <w:t>Five-year</w:t>
      </w:r>
      <w:r>
        <w:rPr>
          <w:spacing w:val="-2"/>
        </w:rPr>
        <w:t> </w:t>
      </w:r>
      <w:r>
        <w:rPr/>
        <w:t>deceased</w:t>
      </w:r>
      <w:r>
        <w:rPr>
          <w:spacing w:val="-2"/>
        </w:rPr>
        <w:t> </w:t>
      </w:r>
      <w:r>
        <w:rPr/>
        <w:t>donor</w:t>
      </w:r>
      <w:r>
        <w:rPr>
          <w:spacing w:val="-2"/>
        </w:rPr>
        <w:t> </w:t>
      </w:r>
      <w:r>
        <w:rPr/>
        <w:t>post-transplant</w:t>
      </w:r>
      <w:r>
        <w:rPr>
          <w:spacing w:val="-3"/>
        </w:rPr>
        <w:t> </w:t>
      </w:r>
      <w:r>
        <w:rPr/>
        <w:t>graft</w:t>
      </w:r>
      <w:r>
        <w:rPr>
          <w:spacing w:val="-1"/>
        </w:rPr>
        <w:t> </w:t>
      </w:r>
      <w:r>
        <w:rPr/>
        <w:t>survival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‘Graft survival’ refers to death-censored graft survival and was defined as the time from</w:t>
      </w:r>
      <w:r>
        <w:rPr>
          <w:spacing w:val="1"/>
        </w:rPr>
        <w:t> </w:t>
      </w:r>
      <w:r>
        <w:rPr/>
        <w:t>transplantation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kidney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re-transplantation,</w:t>
      </w:r>
      <w:r>
        <w:rPr>
          <w:spacing w:val="1"/>
        </w:rPr>
        <w:t> </w:t>
      </w:r>
      <w:r>
        <w:rPr/>
        <w:t>whichever</w:t>
      </w:r>
      <w:r>
        <w:rPr>
          <w:spacing w:val="-2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first.</w:t>
      </w:r>
      <w:r>
        <w:rPr>
          <w:spacing w:val="58"/>
        </w:rPr>
        <w:t> </w:t>
      </w:r>
      <w:r>
        <w:rPr/>
        <w:t>Data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censored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death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follow-up.</w:t>
      </w:r>
    </w:p>
    <w:p>
      <w:pPr>
        <w:spacing w:after="0" w:line="276" w:lineRule="auto"/>
        <w:jc w:val="both"/>
        <w:sectPr>
          <w:type w:val="continuous"/>
          <w:pgSz w:w="11910" w:h="16840"/>
          <w:pgMar w:top="1440" w:bottom="280" w:left="1340" w:right="1320"/>
        </w:sectPr>
      </w:pPr>
    </w:p>
    <w:p>
      <w:pPr>
        <w:pStyle w:val="BodyText"/>
        <w:spacing w:line="276" w:lineRule="auto" w:before="75"/>
        <w:ind w:left="109" w:right="106"/>
        <w:jc w:val="both"/>
      </w:pPr>
      <w:r>
        <w:rPr/>
        <w:t>The following factors were found to be significant and included in the model; recipient age,</w:t>
      </w:r>
      <w:r>
        <w:rPr>
          <w:spacing w:val="1"/>
        </w:rPr>
        <w:t> </w:t>
      </w:r>
      <w:r>
        <w:rPr/>
        <w:t>waiting time, graft number, recipient primary renal disease, donor age, donor BMI, donor</w:t>
      </w:r>
      <w:r>
        <w:rPr>
          <w:spacing w:val="1"/>
        </w:rPr>
        <w:t> </w:t>
      </w:r>
      <w:r>
        <w:rPr/>
        <w:t>hypertension,</w:t>
      </w:r>
      <w:r>
        <w:rPr>
          <w:spacing w:val="-1"/>
        </w:rPr>
        <w:t> </w:t>
      </w:r>
      <w:r>
        <w:rPr/>
        <w:t>HLA MM level.</w:t>
      </w:r>
    </w:p>
    <w:p>
      <w:pPr>
        <w:pStyle w:val="BodyText"/>
        <w:spacing w:before="161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Factor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  <w:p>
            <w:pPr>
              <w:pStyle w:val="TableParagraph"/>
              <w:spacing w:line="257" w:lineRule="exact"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0.84483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0.29385</w:t>
            </w: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-0.07373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60 – 69</w:t>
            </w:r>
          </w:p>
        </w:tc>
        <w:tc>
          <w:tcPr>
            <w:tcW w:w="220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-0.14067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-0.10022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57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&lt;=1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 to &lt;=3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0.21323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 to &lt;=5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0.31039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 to &lt;=7</w:t>
            </w:r>
          </w:p>
        </w:tc>
        <w:tc>
          <w:tcPr>
            <w:tcW w:w="220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0.45953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&gt;= 7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0.83033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kidney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transplant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Re-graft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0.22099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renal</w:t>
            </w:r>
          </w:p>
          <w:p>
            <w:pPr>
              <w:pStyle w:val="TableParagraph"/>
              <w:spacing w:line="257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Diabetes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-0.3411</w:t>
            </w:r>
          </w:p>
        </w:tc>
      </w:tr>
      <w:tr>
        <w:trPr>
          <w:trHeight w:val="28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0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0 - 29</w:t>
            </w:r>
          </w:p>
        </w:tc>
        <w:tc>
          <w:tcPr>
            <w:tcW w:w="220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-0.52485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-0.31482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-0.17204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– 69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0.42198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0.5792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115" w:type="dxa"/>
            <w:vMerge w:val="restart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Donor BMI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&lt;25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-0.04701</w:t>
            </w:r>
          </w:p>
        </w:tc>
      </w:tr>
      <w:tr>
        <w:trPr>
          <w:trHeight w:val="301" w:hRule="atLeast"/>
        </w:trPr>
        <w:tc>
          <w:tcPr>
            <w:tcW w:w="3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25 to &lt;=30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 30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0.0478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3115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Donor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Hypertension</w:t>
            </w:r>
          </w:p>
        </w:tc>
        <w:tc>
          <w:tcPr>
            <w:tcW w:w="2784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03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-0.2105</w:t>
            </w:r>
          </w:p>
        </w:tc>
      </w:tr>
      <w:tr>
        <w:trPr>
          <w:trHeight w:val="311" w:hRule="atLeast"/>
        </w:trPr>
        <w:tc>
          <w:tcPr>
            <w:tcW w:w="311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1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HLA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27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61" w:lineRule="exact" w:before="20"/>
              <w:ind w:left="105"/>
              <w:rPr>
                <w:sz w:val="24"/>
              </w:rPr>
            </w:pPr>
            <w:r>
              <w:rPr>
                <w:sz w:val="24"/>
              </w:rPr>
              <w:t>1 (000)</w:t>
            </w:r>
          </w:p>
        </w:tc>
        <w:tc>
          <w:tcPr>
            <w:tcW w:w="22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 (100, 010, 110, 200,</w:t>
            </w:r>
          </w:p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210, 001,101, 201)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-0.00426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360" w:bottom="280" w:left="1340" w:right="13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3 (020, 120, 220, 011,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111, 211)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0.17315</w:t>
            </w:r>
          </w:p>
        </w:tc>
      </w:tr>
      <w:tr>
        <w:trPr>
          <w:trHeight w:val="273" w:hRule="atLeast"/>
        </w:trPr>
        <w:tc>
          <w:tcPr>
            <w:tcW w:w="311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4 ((021, 121, 221, 002,</w:t>
            </w:r>
          </w:p>
        </w:tc>
        <w:tc>
          <w:tcPr>
            <w:tcW w:w="220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0.25438</w:t>
            </w:r>
          </w:p>
        </w:tc>
      </w:tr>
      <w:tr>
        <w:trPr>
          <w:trHeight w:val="266" w:hRule="atLeast"/>
        </w:trPr>
        <w:tc>
          <w:tcPr>
            <w:tcW w:w="3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102, 202, 012, 112, 212,</w:t>
            </w:r>
          </w:p>
        </w:tc>
        <w:tc>
          <w:tcPr>
            <w:tcW w:w="22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022, 122, 222)</w:t>
            </w:r>
          </w:p>
        </w:tc>
        <w:tc>
          <w:tcPr>
            <w:tcW w:w="220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sz w:val="28"/>
        </w:rPr>
      </w:pPr>
    </w:p>
    <w:p>
      <w:pPr>
        <w:pStyle w:val="BodyText"/>
        <w:spacing w:line="280" w:lineRule="auto" w:before="90"/>
        <w:ind w:left="109" w:right="106"/>
        <w:jc w:val="both"/>
      </w:pPr>
      <w:r>
        <w:rPr/>
        <w:t>This model was tested for goodness of fit using a concordance statistic (c-statistic) which was</w:t>
      </w:r>
      <w:r>
        <w:rPr>
          <w:spacing w:val="-57"/>
        </w:rPr>
        <w:t> </w:t>
      </w:r>
      <w:r>
        <w:rPr/>
        <w:t>found to be</w:t>
      </w:r>
      <w:r>
        <w:rPr>
          <w:spacing w:val="-1"/>
        </w:rPr>
        <w:t> </w:t>
      </w:r>
      <w:r>
        <w:rPr/>
        <w:t>0.63.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Patient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graft</w:t>
      </w:r>
      <w:r>
        <w:rPr>
          <w:spacing w:val="-1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u w:val="thick"/>
        </w:rPr>
        <w:t>living</w:t>
      </w:r>
      <w:r>
        <w:rPr>
          <w:spacing w:val="-1"/>
          <w:u w:val="thick"/>
        </w:rPr>
        <w:t> </w:t>
      </w:r>
      <w:r>
        <w:rPr>
          <w:u w:val="thick"/>
        </w:rPr>
        <w:t>donor</w:t>
      </w:r>
      <w:r>
        <w:rPr/>
        <w:t> kidney</w:t>
      </w:r>
      <w:r>
        <w:rPr>
          <w:spacing w:val="-1"/>
        </w:rPr>
        <w:t> </w:t>
      </w:r>
      <w:r>
        <w:rPr/>
        <w:t>transplant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The patient cohort for these models comprised all adult (aged ≥18 years) first kidney-only</w:t>
      </w:r>
      <w:r>
        <w:rPr>
          <w:spacing w:val="1"/>
        </w:rPr>
        <w:t> </w:t>
      </w:r>
      <w:r>
        <w:rPr/>
        <w:t>transplants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occurred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UK between</w:t>
      </w:r>
      <w:r>
        <w:rPr>
          <w:spacing w:val="-1"/>
        </w:rPr>
        <w:t> </w:t>
      </w:r>
      <w:r>
        <w:rPr/>
        <w:t>1 January</w:t>
      </w:r>
      <w:r>
        <w:rPr>
          <w:spacing w:val="-1"/>
        </w:rPr>
        <w:t> </w:t>
      </w:r>
      <w:r>
        <w:rPr/>
        <w:t>2010</w:t>
      </w:r>
      <w:r>
        <w:rPr>
          <w:spacing w:val="-1"/>
        </w:rPr>
        <w:t> </w:t>
      </w:r>
      <w:r>
        <w:rPr/>
        <w:t>and 31</w:t>
      </w:r>
      <w:r>
        <w:rPr>
          <w:spacing w:val="-1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line="259" w:lineRule="auto" w:before="162"/>
        <w:ind w:left="109" w:right="106"/>
        <w:jc w:val="both"/>
      </w:pPr>
      <w:r>
        <w:rPr/>
        <w:t>Cox proportional hazards models were built where the following 17 factors were tested for</w:t>
      </w:r>
      <w:r>
        <w:rPr>
          <w:spacing w:val="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models -</w:t>
      </w:r>
    </w:p>
    <w:p>
      <w:pPr>
        <w:pStyle w:val="BodyText"/>
        <w:spacing w:line="259" w:lineRule="auto" w:before="157"/>
        <w:ind w:left="109" w:right="106"/>
        <w:jc w:val="both"/>
      </w:pPr>
      <w:r>
        <w:rPr/>
        <w:t>Donor factors: age, sex, relationship to recipient, BMI, ethnicity, status, hypertension, BMI,</w:t>
      </w:r>
      <w:r>
        <w:rPr>
          <w:spacing w:val="1"/>
        </w:rPr>
        <w:t> </w:t>
      </w:r>
      <w:r>
        <w:rPr/>
        <w:t>height,</w:t>
      </w:r>
      <w:r>
        <w:rPr>
          <w:spacing w:val="-1"/>
        </w:rPr>
        <w:t> </w:t>
      </w:r>
      <w:r>
        <w:rPr/>
        <w:t>weight</w:t>
      </w:r>
      <w:r>
        <w:rPr>
          <w:spacing w:val="-1"/>
        </w:rPr>
        <w:t> </w:t>
      </w:r>
      <w:r>
        <w:rPr/>
        <w:t>retrieval creatinine</w:t>
      </w:r>
    </w:p>
    <w:p>
      <w:pPr>
        <w:pStyle w:val="BodyText"/>
        <w:spacing w:line="259" w:lineRule="auto" w:before="158"/>
        <w:ind w:left="109" w:right="106"/>
        <w:jc w:val="both"/>
      </w:pPr>
      <w:r>
        <w:rPr/>
        <w:t>Recipient factors: age, sex, ethnicity, diabetic nephropathy as a cause of renal failure, waiting</w:t>
      </w:r>
      <w:r>
        <w:rPr>
          <w:spacing w:val="-57"/>
        </w:rPr>
        <w:t> </w:t>
      </w:r>
      <w:r>
        <w:rPr/>
        <w:t>time,</w:t>
      </w:r>
      <w:r>
        <w:rPr>
          <w:spacing w:val="-5"/>
        </w:rPr>
        <w:t> </w:t>
      </w:r>
      <w:r>
        <w:rPr/>
        <w:t>dialysis</w:t>
      </w:r>
      <w:r>
        <w:rPr>
          <w:spacing w:val="-4"/>
        </w:rPr>
        <w:t> </w:t>
      </w:r>
      <w:r>
        <w:rPr/>
        <w:t>status,</w:t>
      </w:r>
      <w:r>
        <w:rPr>
          <w:spacing w:val="-5"/>
        </w:rPr>
        <w:t> </w:t>
      </w:r>
      <w:r>
        <w:rPr/>
        <w:t>matchability,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group,</w:t>
      </w:r>
      <w:r>
        <w:rPr>
          <w:spacing w:val="-5"/>
        </w:rPr>
        <w:t> </w:t>
      </w:r>
      <w:r>
        <w:rPr/>
        <w:t>cold</w:t>
      </w:r>
      <w:r>
        <w:rPr>
          <w:spacing w:val="-4"/>
        </w:rPr>
        <w:t> </w:t>
      </w:r>
      <w:r>
        <w:rPr/>
        <w:t>ischaemia</w:t>
      </w:r>
      <w:r>
        <w:rPr>
          <w:spacing w:val="-4"/>
        </w:rPr>
        <w:t> </w:t>
      </w:r>
      <w:r>
        <w:rPr/>
        <w:t>time,</w:t>
      </w:r>
      <w:r>
        <w:rPr>
          <w:spacing w:val="-5"/>
        </w:rPr>
        <w:t> </w:t>
      </w:r>
      <w:r>
        <w:rPr/>
        <w:t>HLA</w:t>
      </w:r>
      <w:r>
        <w:rPr>
          <w:spacing w:val="-4"/>
        </w:rPr>
        <w:t> </w:t>
      </w:r>
      <w:r>
        <w:rPr/>
        <w:t>mismatch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graft</w:t>
      </w:r>
      <w:r>
        <w:rPr>
          <w:spacing w:val="-57"/>
        </w:rPr>
        <w:t> </w:t>
      </w:r>
      <w:r>
        <w:rPr/>
        <w:t>number.</w:t>
      </w:r>
    </w:p>
    <w:p>
      <w:pPr>
        <w:pStyle w:val="BodyText"/>
        <w:spacing w:line="259" w:lineRule="auto" w:before="162"/>
        <w:ind w:left="109" w:right="106"/>
        <w:jc w:val="both"/>
      </w:pPr>
      <w:r>
        <w:rPr/>
        <w:t>Factors tested were those collected by NHSBT and available on the database and thought to</w:t>
      </w:r>
      <w:r>
        <w:rPr>
          <w:spacing w:val="1"/>
        </w:rPr>
        <w:t> </w:t>
      </w:r>
      <w:r>
        <w:rPr/>
        <w:t>potentially be clinically relevant. The model was built using a forward-step approach. Due to</w:t>
      </w:r>
      <w:r>
        <w:rPr>
          <w:spacing w:val="1"/>
        </w:rPr>
        <w:t> </w:t>
      </w:r>
      <w:r>
        <w:rPr/>
        <w:t>fewer</w:t>
      </w:r>
      <w:r>
        <w:rPr>
          <w:spacing w:val="-10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transplant</w:t>
      </w:r>
      <w:r>
        <w:rPr>
          <w:spacing w:val="-9"/>
        </w:rPr>
        <w:t> </w:t>
      </w:r>
      <w:r>
        <w:rPr/>
        <w:t>centre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strata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57"/>
        </w:rPr>
        <w:t> </w:t>
      </w:r>
      <w:r>
        <w:rPr/>
        <w:t>demonstrated.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jc w:val="both"/>
      </w:pPr>
      <w:r>
        <w:rPr/>
        <w:t>Five-year</w:t>
      </w:r>
      <w:r>
        <w:rPr>
          <w:spacing w:val="-2"/>
        </w:rPr>
        <w:t> </w:t>
      </w:r>
      <w:r>
        <w:rPr/>
        <w:t>living</w:t>
      </w:r>
      <w:r>
        <w:rPr>
          <w:spacing w:val="-1"/>
        </w:rPr>
        <w:t> </w:t>
      </w:r>
      <w:r>
        <w:rPr/>
        <w:t>donor</w:t>
      </w:r>
      <w:r>
        <w:rPr>
          <w:spacing w:val="-2"/>
        </w:rPr>
        <w:t> </w:t>
      </w:r>
      <w:r>
        <w:rPr/>
        <w:t>post-transplant</w:t>
      </w:r>
      <w:r>
        <w:rPr>
          <w:spacing w:val="-3"/>
        </w:rPr>
        <w:t> </w:t>
      </w:r>
      <w:r>
        <w:rPr/>
        <w:t>patient</w:t>
      </w:r>
      <w:r>
        <w:rPr>
          <w:spacing w:val="-1"/>
        </w:rPr>
        <w:t> </w:t>
      </w:r>
      <w:r>
        <w:rPr/>
        <w:t>survival</w:t>
      </w:r>
    </w:p>
    <w:p>
      <w:pPr>
        <w:pStyle w:val="BodyText"/>
        <w:spacing w:line="278" w:lineRule="auto" w:before="199"/>
        <w:ind w:left="109" w:right="106"/>
        <w:jc w:val="both"/>
      </w:pPr>
      <w:r>
        <w:rPr/>
        <w:t>Post-transplant</w:t>
      </w:r>
      <w:r>
        <w:rPr>
          <w:spacing w:val="-6"/>
        </w:rPr>
        <w:t> </w:t>
      </w:r>
      <w:r>
        <w:rPr/>
        <w:t>patient</w:t>
      </w:r>
      <w:r>
        <w:rPr>
          <w:spacing w:val="-5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transplant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death.</w:t>
      </w:r>
      <w:r>
        <w:rPr>
          <w:spacing w:val="-57"/>
        </w:rPr>
        <w:t> </w:t>
      </w:r>
      <w:r>
        <w:rPr>
          <w:color w:val="333333"/>
        </w:rPr>
        <w:t>These data were censored at the last known follow-up date post-transplant if this was within 5</w:t>
      </w:r>
      <w:r>
        <w:rPr>
          <w:color w:val="333333"/>
          <w:spacing w:val="-57"/>
        </w:rPr>
        <w:t> </w:t>
      </w:r>
      <w:r>
        <w:rPr>
          <w:color w:val="333333"/>
        </w:rPr>
        <w:t>years</w:t>
      </w:r>
      <w:r>
        <w:rPr>
          <w:color w:val="333333"/>
          <w:spacing w:val="-1"/>
        </w:rPr>
        <w:t> </w:t>
      </w:r>
      <w:r>
        <w:rPr>
          <w:color w:val="333333"/>
        </w:rPr>
        <w:t>of transplantation.</w:t>
      </w:r>
    </w:p>
    <w:p>
      <w:pPr>
        <w:pStyle w:val="BodyText"/>
        <w:spacing w:line="259" w:lineRule="auto" w:before="153"/>
        <w:ind w:left="109" w:right="106"/>
        <w:jc w:val="both"/>
      </w:pPr>
      <w:r>
        <w:rPr/>
        <w:t>The following factors were found to be significant and included in the model; recipient age,</w:t>
      </w:r>
      <w:r>
        <w:rPr>
          <w:spacing w:val="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time and HLA MM level.</w:t>
      </w:r>
    </w:p>
    <w:p>
      <w:pPr>
        <w:pStyle w:val="BodyText"/>
        <w:spacing w:before="158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Factor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  <w:p>
            <w:pPr>
              <w:pStyle w:val="TableParagraph"/>
              <w:spacing w:line="257" w:lineRule="exact"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-0.9248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-0.74681</w:t>
            </w: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57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0.25157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440" w:bottom="1405" w:left="1340" w:right="13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1.11962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63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(months)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&lt;=6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6 to &lt;=12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0.19494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12 to &lt;=24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0.35923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&gt;= 24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0.72515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renal</w:t>
            </w:r>
          </w:p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Diabetes</w:t>
            </w: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8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0.63358</w:t>
            </w:r>
          </w:p>
        </w:tc>
      </w:tr>
      <w:tr>
        <w:trPr>
          <w:trHeight w:val="273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mismatch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 (000)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0.20284</w:t>
            </w: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2 (100, 010, 110, 200,</w:t>
            </w:r>
          </w:p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210, 001,101, 201)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0.07945</w:t>
            </w: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3 (020, 120, 220, 011,</w:t>
            </w:r>
          </w:p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111, 211)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825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4 ((021, 121, 221, 002,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102, 202, 012, 112, 212,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022, 122, 222)</w:t>
            </w:r>
          </w:p>
        </w:tc>
        <w:tc>
          <w:tcPr>
            <w:tcW w:w="2203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-0.31232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jc w:val="both"/>
      </w:pPr>
      <w:r>
        <w:rPr/>
        <w:t>Five-year</w:t>
      </w:r>
      <w:r>
        <w:rPr>
          <w:spacing w:val="-2"/>
        </w:rPr>
        <w:t> </w:t>
      </w:r>
      <w:r>
        <w:rPr/>
        <w:t>living</w:t>
      </w:r>
      <w:r>
        <w:rPr>
          <w:spacing w:val="-1"/>
        </w:rPr>
        <w:t> </w:t>
      </w:r>
      <w:r>
        <w:rPr/>
        <w:t>donor</w:t>
      </w:r>
      <w:r>
        <w:rPr>
          <w:spacing w:val="-2"/>
        </w:rPr>
        <w:t> </w:t>
      </w:r>
      <w:r>
        <w:rPr/>
        <w:t>post-transplant</w:t>
      </w:r>
      <w:r>
        <w:rPr>
          <w:spacing w:val="-2"/>
        </w:rPr>
        <w:t> </w:t>
      </w:r>
      <w:r>
        <w:rPr/>
        <w:t>graft</w:t>
      </w:r>
      <w:r>
        <w:rPr>
          <w:spacing w:val="-1"/>
        </w:rPr>
        <w:t> </w:t>
      </w:r>
      <w:r>
        <w:rPr/>
        <w:t>survival</w:t>
      </w:r>
    </w:p>
    <w:p>
      <w:pPr>
        <w:pStyle w:val="BodyText"/>
        <w:spacing w:line="278" w:lineRule="auto" w:before="199"/>
        <w:ind w:left="109" w:right="106"/>
        <w:jc w:val="both"/>
      </w:pPr>
      <w:r>
        <w:rPr/>
        <w:t>‘Graft survival’ refers to death-censored graft survival and was defined as the time from</w:t>
      </w:r>
      <w:r>
        <w:rPr>
          <w:spacing w:val="1"/>
        </w:rPr>
        <w:t> </w:t>
      </w:r>
      <w:r>
        <w:rPr/>
        <w:t>transplantation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kidney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re-transplantation,</w:t>
      </w:r>
      <w:r>
        <w:rPr>
          <w:spacing w:val="1"/>
        </w:rPr>
        <w:t> </w:t>
      </w:r>
      <w:r>
        <w:rPr/>
        <w:t>whichever</w:t>
      </w:r>
      <w:r>
        <w:rPr>
          <w:spacing w:val="-2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first.</w:t>
      </w:r>
      <w:r>
        <w:rPr>
          <w:spacing w:val="58"/>
        </w:rPr>
        <w:t> </w:t>
      </w:r>
      <w:r>
        <w:rPr/>
        <w:t>Data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censored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death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follow-up.</w:t>
      </w:r>
    </w:p>
    <w:p>
      <w:pPr>
        <w:pStyle w:val="BodyText"/>
        <w:spacing w:line="276" w:lineRule="auto" w:before="153"/>
        <w:ind w:left="109" w:right="107"/>
        <w:jc w:val="both"/>
      </w:pPr>
      <w:r>
        <w:rPr/>
        <w:t>The following factors were found to be significant and included in the model; recipient age,</w:t>
      </w:r>
      <w:r>
        <w:rPr>
          <w:spacing w:val="1"/>
        </w:rPr>
        <w:t> </w:t>
      </w:r>
      <w:r>
        <w:rPr/>
        <w:t>waiting</w:t>
      </w:r>
      <w:r>
        <w:rPr>
          <w:spacing w:val="-1"/>
        </w:rPr>
        <w:t> </w:t>
      </w:r>
      <w:r>
        <w:rPr/>
        <w:t>time, matchability, donor age, HLA MM level.</w:t>
      </w:r>
    </w:p>
    <w:p>
      <w:pPr>
        <w:pStyle w:val="BodyText"/>
        <w:spacing w:before="162"/>
        <w:ind w:left="109"/>
        <w:jc w:val="both"/>
      </w:pPr>
      <w:r>
        <w:rPr/>
        <w:t>The</w:t>
      </w:r>
      <w:r>
        <w:rPr>
          <w:spacing w:val="-3"/>
        </w:rPr>
        <w:t> </w:t>
      </w:r>
      <w:r>
        <w:rPr/>
        <w:t>baseline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Factor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2203" w:type="dxa"/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  <w:p>
            <w:pPr>
              <w:pStyle w:val="TableParagraph"/>
              <w:spacing w:line="257" w:lineRule="exact"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Recipient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0.59926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–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57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0.05547</w:t>
            </w: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–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50-59</w:t>
            </w:r>
          </w:p>
        </w:tc>
        <w:tc>
          <w:tcPr>
            <w:tcW w:w="2203" w:type="dxa"/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-0.22508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57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-0.593</w:t>
            </w: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spacing w:line="274" w:lineRule="exact"/>
              <w:ind w:left="110" w:right="788"/>
              <w:rPr>
                <w:sz w:val="24"/>
              </w:rPr>
            </w:pPr>
            <w:r>
              <w:rPr>
                <w:sz w:val="24"/>
              </w:rPr>
              <w:t>Recipient waiting time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(months)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&lt;=6</w:t>
            </w:r>
          </w:p>
        </w:tc>
        <w:tc>
          <w:tcPr>
            <w:tcW w:w="2203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 to &lt;=12</w:t>
            </w:r>
          </w:p>
        </w:tc>
        <w:tc>
          <w:tcPr>
            <w:tcW w:w="2203" w:type="dxa"/>
          </w:tcPr>
          <w:p>
            <w:pPr>
              <w:pStyle w:val="TableParagraph"/>
              <w:spacing w:line="257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-0.27936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12 to &lt;=24</w:t>
            </w:r>
          </w:p>
        </w:tc>
        <w:tc>
          <w:tcPr>
            <w:tcW w:w="2203" w:type="dxa"/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-0.56228</w:t>
            </w:r>
          </w:p>
        </w:tc>
      </w:tr>
      <w:tr>
        <w:trPr>
          <w:trHeight w:val="297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&gt;= 24</w:t>
            </w:r>
          </w:p>
        </w:tc>
        <w:tc>
          <w:tcPr>
            <w:tcW w:w="2203" w:type="dxa"/>
          </w:tcPr>
          <w:p>
            <w:pPr>
              <w:pStyle w:val="TableParagraph"/>
              <w:spacing w:line="257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0.12898</w:t>
            </w:r>
          </w:p>
        </w:tc>
      </w:tr>
      <w:tr>
        <w:trPr>
          <w:trHeight w:val="302" w:hRule="atLeast"/>
        </w:trPr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311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Matchability</w:t>
            </w:r>
          </w:p>
        </w:tc>
        <w:tc>
          <w:tcPr>
            <w:tcW w:w="2784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2203" w:type="dxa"/>
          </w:tcPr>
          <w:p>
            <w:pPr>
              <w:pStyle w:val="TableParagraph"/>
              <w:spacing w:line="261" w:lineRule="exact" w:before="20"/>
              <w:ind w:left="110"/>
              <w:rPr>
                <w:sz w:val="24"/>
              </w:rPr>
            </w:pPr>
            <w:r>
              <w:rPr>
                <w:sz w:val="24"/>
              </w:rPr>
              <w:t>-0.12951</w:t>
            </w:r>
          </w:p>
        </w:tc>
      </w:tr>
    </w:tbl>
    <w:p>
      <w:pPr>
        <w:spacing w:after="0" w:line="261" w:lineRule="exact"/>
        <w:rPr>
          <w:sz w:val="24"/>
        </w:rPr>
        <w:sectPr>
          <w:type w:val="continuous"/>
          <w:pgSz w:w="11910" w:h="16840"/>
          <w:pgMar w:top="1440" w:bottom="1583" w:left="1340" w:right="132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5"/>
        <w:gridCol w:w="2784"/>
        <w:gridCol w:w="2203"/>
      </w:tblGrid>
      <w:tr>
        <w:trPr>
          <w:trHeight w:val="28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220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-0.30066</w:t>
            </w:r>
          </w:p>
        </w:tc>
      </w:tr>
      <w:tr>
        <w:trPr>
          <w:trHeight w:val="28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Difficult</w:t>
            </w:r>
          </w:p>
        </w:tc>
        <w:tc>
          <w:tcPr>
            <w:tcW w:w="2203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73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(years)</w:t>
            </w: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0 - 29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-0.20838</w:t>
            </w:r>
          </w:p>
        </w:tc>
      </w:tr>
      <w:tr>
        <w:trPr>
          <w:trHeight w:val="273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30 - 39</w:t>
            </w:r>
          </w:p>
        </w:tc>
        <w:tc>
          <w:tcPr>
            <w:tcW w:w="2203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-0.34797</w:t>
            </w: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40 - 49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278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50 - 59</w:t>
            </w:r>
          </w:p>
        </w:tc>
        <w:tc>
          <w:tcPr>
            <w:tcW w:w="2203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-0.16584</w:t>
            </w:r>
          </w:p>
        </w:tc>
      </w:tr>
      <w:tr>
        <w:trPr>
          <w:trHeight w:val="273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60 +</w:t>
            </w:r>
          </w:p>
        </w:tc>
        <w:tc>
          <w:tcPr>
            <w:tcW w:w="2203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0.26716</w:t>
            </w:r>
          </w:p>
        </w:tc>
      </w:tr>
      <w:tr>
        <w:trPr>
          <w:trHeight w:val="277" w:hRule="atLeast"/>
        </w:trPr>
        <w:tc>
          <w:tcPr>
            <w:tcW w:w="3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3115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HLA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mismatch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</w:p>
        </w:tc>
        <w:tc>
          <w:tcPr>
            <w:tcW w:w="2784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 (000)</w:t>
            </w:r>
          </w:p>
        </w:tc>
        <w:tc>
          <w:tcPr>
            <w:tcW w:w="2203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-0.48192</w:t>
            </w:r>
          </w:p>
        </w:tc>
      </w:tr>
      <w:tr>
        <w:trPr>
          <w:trHeight w:val="551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2 (100, 010, 110, 200,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210, 001,101, 201)</w:t>
            </w:r>
          </w:p>
        </w:tc>
        <w:tc>
          <w:tcPr>
            <w:tcW w:w="220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-0.38607</w:t>
            </w:r>
          </w:p>
        </w:tc>
      </w:tr>
      <w:tr>
        <w:trPr>
          <w:trHeight w:val="556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 (020, 120, 220, 011,</w:t>
            </w:r>
          </w:p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111, 211)</w:t>
            </w:r>
          </w:p>
        </w:tc>
        <w:tc>
          <w:tcPr>
            <w:tcW w:w="220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</w:tr>
      <w:tr>
        <w:trPr>
          <w:trHeight w:val="825" w:hRule="atLeast"/>
        </w:trPr>
        <w:tc>
          <w:tcPr>
            <w:tcW w:w="31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4 ((021, 121, 221, 002,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102, 202, 012, 112, 212,</w:t>
            </w:r>
          </w:p>
          <w:p>
            <w:pPr>
              <w:pStyle w:val="TableParagraph"/>
              <w:spacing w:line="263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022, 122, 222)</w:t>
            </w:r>
          </w:p>
        </w:tc>
        <w:tc>
          <w:tcPr>
            <w:tcW w:w="22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-0.18314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470" w:val="left" w:leader="none"/>
        </w:tabs>
        <w:spacing w:line="240" w:lineRule="auto" w:before="0" w:after="0"/>
        <w:ind w:left="469" w:right="0" w:hanging="361"/>
        <w:jc w:val="left"/>
      </w:pPr>
      <w:r>
        <w:rPr/>
        <w:t>Input</w:t>
      </w:r>
      <w:r>
        <w:rPr>
          <w:spacing w:val="-2"/>
        </w:rPr>
        <w:t> </w:t>
      </w:r>
      <w:r>
        <w:rPr/>
        <w:t>covariates</w:t>
      </w:r>
    </w:p>
    <w:p>
      <w:pPr>
        <w:pStyle w:val="BodyText"/>
        <w:spacing w:before="199"/>
        <w:ind w:left="109"/>
      </w:pPr>
      <w:r>
        <w:rPr/>
        <w:t>Explanation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donor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recipient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covariates:</w:t>
      </w:r>
    </w:p>
    <w:p>
      <w:pPr>
        <w:pStyle w:val="BodyText"/>
        <w:spacing w:line="276" w:lineRule="auto" w:before="204"/>
        <w:ind w:left="109"/>
      </w:pPr>
      <w:r>
        <w:rPr>
          <w:b/>
        </w:rPr>
        <w:t>Recipient</w:t>
      </w:r>
      <w:r>
        <w:rPr>
          <w:b/>
          <w:spacing w:val="51"/>
        </w:rPr>
        <w:t> </w:t>
      </w:r>
      <w:r>
        <w:rPr>
          <w:b/>
        </w:rPr>
        <w:t>age</w:t>
      </w:r>
      <w:r>
        <w:rPr>
          <w:b/>
          <w:spacing w:val="52"/>
        </w:rPr>
        <w:t> </w:t>
      </w:r>
      <w:r>
        <w:rPr>
          <w:b/>
        </w:rPr>
        <w:t>(years)</w:t>
      </w:r>
      <w:r>
        <w:rPr>
          <w:b/>
          <w:spacing w:val="52"/>
        </w:rPr>
        <w:t> </w:t>
      </w:r>
      <w:r>
        <w:rPr>
          <w:b/>
        </w:rPr>
        <w:t>-</w:t>
      </w:r>
      <w:r>
        <w:rPr>
          <w:b/>
          <w:spacing w:val="52"/>
        </w:rPr>
        <w:t> </w:t>
      </w:r>
      <w:r>
        <w:rPr/>
        <w:t>Age</w:t>
      </w:r>
      <w:r>
        <w:rPr>
          <w:spacing w:val="52"/>
        </w:rPr>
        <w:t> </w:t>
      </w:r>
      <w:r>
        <w:rPr/>
        <w:t>at</w:t>
      </w:r>
      <w:r>
        <w:rPr>
          <w:spacing w:val="52"/>
        </w:rPr>
        <w:t> </w:t>
      </w:r>
      <w:r>
        <w:rPr/>
        <w:t>point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being</w:t>
      </w:r>
      <w:r>
        <w:rPr>
          <w:spacing w:val="51"/>
        </w:rPr>
        <w:t> </w:t>
      </w:r>
      <w:r>
        <w:rPr/>
        <w:t>actively</w:t>
      </w:r>
      <w:r>
        <w:rPr>
          <w:spacing w:val="52"/>
        </w:rPr>
        <w:t> </w:t>
      </w:r>
      <w:r>
        <w:rPr/>
        <w:t>listed</w:t>
      </w:r>
      <w:r>
        <w:rPr>
          <w:spacing w:val="52"/>
        </w:rPr>
        <w:t> </w:t>
      </w:r>
      <w:r>
        <w:rPr/>
        <w:t>onto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National</w:t>
      </w:r>
      <w:r>
        <w:rPr>
          <w:spacing w:val="52"/>
        </w:rPr>
        <w:t> </w:t>
      </w:r>
      <w:r>
        <w:rPr/>
        <w:t>Kidney</w:t>
      </w:r>
      <w:r>
        <w:rPr>
          <w:spacing w:val="-57"/>
        </w:rPr>
        <w:t> </w:t>
      </w:r>
      <w:r>
        <w:rPr/>
        <w:t>Transplant</w:t>
      </w:r>
      <w:r>
        <w:rPr>
          <w:spacing w:val="-2"/>
        </w:rPr>
        <w:t> </w:t>
      </w:r>
      <w:r>
        <w:rPr/>
        <w:t>List</w:t>
      </w:r>
      <w:r>
        <w:rPr>
          <w:b/>
        </w:rPr>
        <w:t>. </w:t>
      </w:r>
      <w:r>
        <w:rPr/>
        <w:t>This</w:t>
      </w:r>
      <w:r>
        <w:rPr>
          <w:spacing w:val="-1"/>
        </w:rPr>
        <w:t> </w:t>
      </w:r>
      <w:r>
        <w:rPr/>
        <w:t>has been divided</w:t>
      </w:r>
      <w:r>
        <w:rPr>
          <w:spacing w:val="-1"/>
        </w:rPr>
        <w:t> </w:t>
      </w:r>
      <w:r>
        <w:rPr/>
        <w:t>into categories by</w:t>
      </w:r>
      <w:r>
        <w:rPr>
          <w:spacing w:val="-1"/>
        </w:rPr>
        <w:t> </w:t>
      </w:r>
      <w:r>
        <w:rPr/>
        <w:t>decade.</w:t>
      </w:r>
    </w:p>
    <w:p>
      <w:pPr>
        <w:spacing w:line="417" w:lineRule="auto" w:before="158"/>
        <w:ind w:left="109" w:right="3669" w:firstLine="0"/>
        <w:jc w:val="left"/>
        <w:rPr>
          <w:sz w:val="24"/>
        </w:rPr>
      </w:pPr>
      <w:r>
        <w:rPr>
          <w:b/>
          <w:sz w:val="24"/>
        </w:rPr>
        <w:t>Sex - </w:t>
      </w:r>
      <w:r>
        <w:rPr>
          <w:sz w:val="24"/>
        </w:rPr>
        <w:t>Male or female. Note this refers to sex, not gender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Recipient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ethnicity – </w:t>
      </w:r>
      <w:r>
        <w:rPr>
          <w:sz w:val="24"/>
        </w:rPr>
        <w:t>White</w:t>
      </w:r>
      <w:r>
        <w:rPr>
          <w:spacing w:val="-2"/>
          <w:sz w:val="24"/>
        </w:rPr>
        <w:t> </w:t>
      </w:r>
      <w:r>
        <w:rPr>
          <w:sz w:val="24"/>
        </w:rPr>
        <w:t>or non-white.</w:t>
      </w:r>
    </w:p>
    <w:p>
      <w:pPr>
        <w:pStyle w:val="BodyText"/>
        <w:spacing w:line="276" w:lineRule="auto"/>
        <w:ind w:left="109" w:right="106"/>
        <w:jc w:val="both"/>
      </w:pPr>
      <w:r>
        <w:rPr>
          <w:b/>
        </w:rPr>
        <w:t>Recipient waiting time (years) – </w:t>
      </w:r>
      <w:r>
        <w:rPr/>
        <w:t>Time waiting on deceased donor kidney waiting list until</w:t>
      </w:r>
      <w:r>
        <w:rPr>
          <w:spacing w:val="1"/>
        </w:rPr>
        <w:t> </w:t>
      </w:r>
      <w:r>
        <w:rPr/>
        <w:t>time of transplant (active and suspended).</w:t>
      </w:r>
      <w:r>
        <w:rPr>
          <w:spacing w:val="1"/>
        </w:rPr>
        <w:t> </w:t>
      </w:r>
      <w:r>
        <w:rPr/>
        <w:t>This can serve as a proxy for ‘time on dialysis’ as</w:t>
      </w:r>
      <w:r>
        <w:rPr>
          <w:spacing w:val="1"/>
        </w:rPr>
        <w:t> </w:t>
      </w:r>
      <w:r>
        <w:rPr/>
        <w:t>most</w:t>
      </w:r>
      <w:r>
        <w:rPr>
          <w:spacing w:val="-7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already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dialysis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dialysis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months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time</w:t>
      </w:r>
      <w:r>
        <w:rPr>
          <w:spacing w:val="-2"/>
        </w:rPr>
        <w:t> </w:t>
      </w:r>
      <w:r>
        <w:rPr/>
        <w:t>of listing for transplantation.</w:t>
      </w:r>
    </w:p>
    <w:p>
      <w:pPr>
        <w:spacing w:before="155"/>
        <w:ind w:left="109" w:right="0" w:firstLine="0"/>
        <w:jc w:val="left"/>
        <w:rPr>
          <w:sz w:val="24"/>
        </w:rPr>
      </w:pPr>
      <w:r>
        <w:rPr>
          <w:b/>
          <w:sz w:val="24"/>
        </w:rPr>
        <w:t>Graft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patient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previous</w:t>
      </w:r>
      <w:r>
        <w:rPr>
          <w:spacing w:val="-2"/>
          <w:sz w:val="24"/>
        </w:rPr>
        <w:t> </w:t>
      </w:r>
      <w:r>
        <w:rPr>
          <w:sz w:val="24"/>
        </w:rPr>
        <w:t>kidney</w:t>
      </w:r>
      <w:r>
        <w:rPr>
          <w:spacing w:val="-1"/>
          <w:sz w:val="24"/>
        </w:rPr>
        <w:t> </w:t>
      </w:r>
      <w:r>
        <w:rPr>
          <w:sz w:val="24"/>
        </w:rPr>
        <w:t>transplants.</w:t>
      </w:r>
    </w:p>
    <w:p>
      <w:pPr>
        <w:spacing w:line="276" w:lineRule="auto" w:before="200"/>
        <w:ind w:left="109" w:right="106" w:firstLine="0"/>
        <w:jc w:val="both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disease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diabetes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sz w:val="24"/>
        </w:rPr>
        <w:t>Whether</w:t>
      </w:r>
      <w:r>
        <w:rPr>
          <w:spacing w:val="-7"/>
          <w:sz w:val="24"/>
        </w:rPr>
        <w:t> </w:t>
      </w:r>
      <w:r>
        <w:rPr>
          <w:sz w:val="24"/>
        </w:rPr>
        <w:t>diabetes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  <w:u w:val="single"/>
        </w:rPr>
        <w:t>cause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renal</w:t>
      </w:r>
      <w:r>
        <w:rPr>
          <w:spacing w:val="-6"/>
          <w:sz w:val="24"/>
        </w:rPr>
        <w:t> </w:t>
      </w:r>
      <w:r>
        <w:rPr>
          <w:sz w:val="24"/>
        </w:rPr>
        <w:t>disease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not.</w:t>
      </w:r>
      <w:r>
        <w:rPr>
          <w:spacing w:val="47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 mean ‘is the</w:t>
      </w:r>
      <w:r>
        <w:rPr>
          <w:spacing w:val="-1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diabetic?’</w:t>
      </w:r>
    </w:p>
    <w:p>
      <w:pPr>
        <w:spacing w:line="276" w:lineRule="auto" w:before="162"/>
        <w:ind w:left="109" w:right="106" w:firstLine="0"/>
        <w:jc w:val="both"/>
        <w:rPr>
          <w:sz w:val="24"/>
        </w:rPr>
      </w:pPr>
      <w:r>
        <w:rPr>
          <w:b/>
          <w:sz w:val="24"/>
        </w:rPr>
        <w:t>Highly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sensitised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(cRF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&gt;85%)</w:t>
      </w:r>
      <w:r>
        <w:rPr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antibodies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e.g.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pregnancy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previous organ transplant.</w:t>
      </w:r>
    </w:p>
    <w:p>
      <w:pPr>
        <w:spacing w:before="157"/>
        <w:ind w:left="109" w:right="0" w:firstLine="0"/>
        <w:jc w:val="left"/>
        <w:rPr>
          <w:sz w:val="24"/>
        </w:rPr>
      </w:pPr>
      <w:r>
        <w:rPr>
          <w:b/>
          <w:sz w:val="24"/>
        </w:rPr>
        <w:t>Blood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sz w:val="24"/>
        </w:rPr>
        <w:t>– Patient’s</w:t>
      </w:r>
      <w:r>
        <w:rPr>
          <w:spacing w:val="-1"/>
          <w:sz w:val="24"/>
        </w:rPr>
        <w:t> </w:t>
      </w:r>
      <w:r>
        <w:rPr>
          <w:sz w:val="24"/>
        </w:rPr>
        <w:t>blood group:</w:t>
      </w:r>
      <w:r>
        <w:rPr>
          <w:spacing w:val="-1"/>
          <w:sz w:val="24"/>
        </w:rPr>
        <w:t> </w:t>
      </w:r>
      <w:r>
        <w:rPr>
          <w:sz w:val="24"/>
        </w:rPr>
        <w:t>O,</w:t>
      </w:r>
      <w:r>
        <w:rPr>
          <w:spacing w:val="-1"/>
          <w:sz w:val="24"/>
        </w:rPr>
        <w:t> </w:t>
      </w:r>
      <w:r>
        <w:rPr>
          <w:sz w:val="24"/>
        </w:rPr>
        <w:t>A, B,</w:t>
      </w:r>
      <w:r>
        <w:rPr>
          <w:spacing w:val="-1"/>
          <w:sz w:val="24"/>
        </w:rPr>
        <w:t> </w:t>
      </w:r>
      <w:r>
        <w:rPr>
          <w:sz w:val="24"/>
        </w:rPr>
        <w:t>AB</w:t>
      </w:r>
    </w:p>
    <w:p>
      <w:pPr>
        <w:pStyle w:val="BodyText"/>
        <w:spacing w:line="276" w:lineRule="auto" w:before="204"/>
        <w:ind w:left="109" w:right="106"/>
        <w:jc w:val="both"/>
      </w:pPr>
      <w:r>
        <w:rPr>
          <w:b/>
        </w:rPr>
        <w:t>Dialysis at registration </w:t>
      </w:r>
      <w:r>
        <w:rPr/>
        <w:t>– Refers to any form of dialysis (peritoneal or haemodialysis) at the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of listing for transplantation.</w:t>
      </w:r>
    </w:p>
    <w:p>
      <w:pPr>
        <w:pStyle w:val="BodyText"/>
        <w:spacing w:line="280" w:lineRule="auto" w:before="157"/>
        <w:ind w:left="109" w:right="106"/>
        <w:jc w:val="both"/>
      </w:pPr>
      <w:r>
        <w:rPr>
          <w:b/>
        </w:rPr>
        <w:t>Matchability - </w:t>
      </w:r>
      <w:r>
        <w:rPr/>
        <w:t>Whether due to a range of factors, such as blood group, it will be ‘easy’,</w:t>
      </w:r>
      <w:r>
        <w:rPr>
          <w:spacing w:val="1"/>
        </w:rPr>
        <w:t> </w:t>
      </w:r>
      <w:r>
        <w:rPr/>
        <w:t>‘moderate’,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‘difficult’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matching</w:t>
      </w:r>
      <w:r>
        <w:rPr>
          <w:spacing w:val="4"/>
        </w:rPr>
        <w:t> </w:t>
      </w:r>
      <w:r>
        <w:rPr/>
        <w:t>organ.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ODT</w:t>
      </w:r>
      <w:r>
        <w:rPr>
          <w:spacing w:val="3"/>
        </w:rPr>
        <w:t> </w:t>
      </w:r>
      <w:r>
        <w:rPr/>
        <w:t>provides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how</w:t>
      </w:r>
    </w:p>
    <w:p>
      <w:pPr>
        <w:spacing w:after="0" w:line="280" w:lineRule="auto"/>
        <w:jc w:val="both"/>
        <w:sectPr>
          <w:type w:val="continuous"/>
          <w:pgSz w:w="11910" w:h="16840"/>
          <w:pgMar w:top="1440" w:bottom="280" w:left="1340" w:right="1320"/>
        </w:sectPr>
      </w:pPr>
    </w:p>
    <w:p>
      <w:pPr>
        <w:pStyle w:val="BodyText"/>
        <w:spacing w:line="276" w:lineRule="auto" w:before="75"/>
        <w:ind w:left="109" w:right="106"/>
        <w:jc w:val="both"/>
      </w:pPr>
      <w:r>
        <w:rPr/>
        <w:t>this  </w:t>
      </w:r>
      <w:r>
        <w:rPr>
          <w:spacing w:val="1"/>
        </w:rPr>
        <w:t> </w:t>
      </w:r>
      <w:r>
        <w:rPr/>
        <w:t>is  </w:t>
      </w:r>
      <w:r>
        <w:rPr>
          <w:spacing w:val="1"/>
        </w:rPr>
        <w:t> </w:t>
      </w:r>
      <w:r>
        <w:rPr/>
        <w:t>calculated  </w:t>
      </w:r>
      <w:r>
        <w:rPr>
          <w:spacing w:val="1"/>
        </w:rPr>
        <w:t> </w:t>
      </w:r>
      <w:r>
        <w:rPr/>
        <w:t>and  </w:t>
      </w:r>
      <w:r>
        <w:rPr>
          <w:spacing w:val="1"/>
        </w:rPr>
        <w:t> </w:t>
      </w:r>
      <w:r>
        <w:rPr/>
        <w:t>a    tool    for    calculating    matchability    for    individual</w:t>
      </w:r>
      <w:r>
        <w:rPr>
          <w:spacing w:val="1"/>
        </w:rPr>
        <w:t> </w:t>
      </w:r>
      <w:r>
        <w:rPr/>
        <w:t>patients:</w:t>
      </w:r>
      <w:r>
        <w:rPr>
          <w:spacing w:val="-3"/>
        </w:rPr>
        <w:t> </w:t>
      </w:r>
      <w:r>
        <w:rPr/>
        <w:t>https://</w:t>
      </w:r>
      <w:hyperlink r:id="rId6">
        <w:r>
          <w:rPr/>
          <w:t>www.odt.nhs.uk/transplantation/tools-policies-and-guidance/calculators/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09"/>
        <w:jc w:val="both"/>
      </w:pPr>
      <w:r>
        <w:rPr>
          <w:b/>
        </w:rPr>
        <w:t>Donor</w:t>
      </w:r>
      <w:r>
        <w:rPr>
          <w:b/>
          <w:spacing w:val="-2"/>
        </w:rPr>
        <w:t> </w:t>
      </w:r>
      <w:r>
        <w:rPr>
          <w:b/>
        </w:rPr>
        <w:t>age</w:t>
      </w:r>
      <w:r>
        <w:rPr>
          <w:b/>
          <w:spacing w:val="-1"/>
        </w:rPr>
        <w:t> </w:t>
      </w:r>
      <w:r>
        <w:rPr>
          <w:b/>
        </w:rPr>
        <w:t>–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at 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donor donated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organs.</w:t>
      </w:r>
    </w:p>
    <w:p>
      <w:pPr>
        <w:pStyle w:val="BodyText"/>
        <w:spacing w:line="280" w:lineRule="auto" w:before="199"/>
        <w:ind w:left="109" w:right="106"/>
        <w:jc w:val="both"/>
      </w:pPr>
      <w:r>
        <w:rPr>
          <w:b/>
        </w:rPr>
        <w:t>Donor BMI </w:t>
      </w:r>
      <w:r>
        <w:rPr/>
        <w:t>– Donor BMI as recorded at the donating hospital site. Calculated as weight</w:t>
      </w:r>
      <w:r>
        <w:rPr>
          <w:spacing w:val="1"/>
        </w:rPr>
        <w:t> </w:t>
      </w:r>
      <w:r>
        <w:rPr/>
        <w:t>(kilograms)</w:t>
      </w:r>
      <w:r>
        <w:rPr>
          <w:spacing w:val="-1"/>
        </w:rPr>
        <w:t> </w:t>
      </w:r>
      <w:r>
        <w:rPr/>
        <w:t>divided by height</w:t>
      </w:r>
      <w:r>
        <w:rPr>
          <w:spacing w:val="-1"/>
        </w:rPr>
        <w:t> </w:t>
      </w:r>
      <w:r>
        <w:rPr/>
        <w:t>(m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spacing w:line="276" w:lineRule="auto" w:before="151"/>
        <w:ind w:left="109" w:right="106"/>
        <w:jc w:val="both"/>
      </w:pPr>
      <w:r>
        <w:rPr>
          <w:b/>
        </w:rPr>
        <w:t>Donor Hypertension – </w:t>
      </w:r>
      <w:r>
        <w:rPr/>
        <w:t>Whether the donor suffered from high blood pressure as recorded by</w:t>
      </w:r>
      <w:r>
        <w:rPr>
          <w:spacing w:val="1"/>
        </w:rPr>
        <w:t> </w:t>
      </w:r>
      <w:r>
        <w:rPr/>
        <w:t>NHSBT</w:t>
      </w:r>
      <w:r>
        <w:rPr>
          <w:spacing w:val="-2"/>
        </w:rPr>
        <w:t> </w:t>
      </w:r>
      <w:r>
        <w:rPr/>
        <w:t>on data</w:t>
      </w:r>
      <w:r>
        <w:rPr>
          <w:spacing w:val="-1"/>
        </w:rPr>
        <w:t> </w:t>
      </w:r>
      <w:r>
        <w:rPr/>
        <w:t>collection forms at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 listing.</w:t>
      </w:r>
    </w:p>
    <w:p>
      <w:pPr>
        <w:pStyle w:val="BodyText"/>
        <w:spacing w:line="276" w:lineRule="auto" w:before="162"/>
        <w:ind w:left="109" w:right="106"/>
        <w:jc w:val="both"/>
      </w:pPr>
      <w:r>
        <w:rPr>
          <w:b/>
          <w:spacing w:val="-1"/>
        </w:rPr>
        <w:t>HLA</w:t>
      </w:r>
      <w:r>
        <w:rPr>
          <w:b/>
          <w:spacing w:val="-14"/>
        </w:rPr>
        <w:t> </w:t>
      </w:r>
      <w:r>
        <w:rPr>
          <w:b/>
          <w:spacing w:val="-1"/>
        </w:rPr>
        <w:t>MM</w:t>
      </w:r>
      <w:r>
        <w:rPr>
          <w:b/>
          <w:spacing w:val="-14"/>
        </w:rPr>
        <w:t> </w:t>
      </w:r>
      <w:r>
        <w:rPr>
          <w:b/>
          <w:spacing w:val="-1"/>
        </w:rPr>
        <w:t>level</w:t>
      </w:r>
      <w:r>
        <w:rPr>
          <w:b/>
          <w:spacing w:val="-14"/>
        </w:rPr>
        <w:t> </w:t>
      </w:r>
      <w:r>
        <w:rPr>
          <w:b/>
          <w:spacing w:val="-1"/>
        </w:rPr>
        <w:t>–</w:t>
      </w:r>
      <w:r>
        <w:rPr>
          <w:b/>
          <w:spacing w:val="-13"/>
        </w:rPr>
        <w:t> </w:t>
      </w:r>
      <w:r>
        <w:rPr>
          <w:spacing w:val="-1"/>
        </w:rPr>
        <w:t>Human</w:t>
      </w:r>
      <w:r>
        <w:rPr>
          <w:spacing w:val="-14"/>
        </w:rPr>
        <w:t> </w:t>
      </w:r>
      <w:r>
        <w:rPr>
          <w:spacing w:val="-1"/>
        </w:rPr>
        <w:t>Leukocyte</w:t>
      </w:r>
      <w:r>
        <w:rPr>
          <w:spacing w:val="-14"/>
        </w:rPr>
        <w:t> </w:t>
      </w:r>
      <w:r>
        <w:rPr/>
        <w:t>Antigen</w:t>
      </w:r>
      <w:r>
        <w:rPr>
          <w:spacing w:val="-14"/>
        </w:rPr>
        <w:t> </w:t>
      </w:r>
      <w:r>
        <w:rPr/>
        <w:t>(HLA)</w:t>
      </w:r>
      <w:r>
        <w:rPr>
          <w:spacing w:val="-13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level.</w:t>
      </w:r>
      <w:r>
        <w:rPr>
          <w:spacing w:val="32"/>
        </w:rPr>
        <w:t> </w:t>
      </w:r>
      <w:r>
        <w:rPr/>
        <w:t>HLA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proteins</w:t>
      </w:r>
      <w:r>
        <w:rPr>
          <w:spacing w:val="-14"/>
        </w:rPr>
        <w:t> </w:t>
      </w:r>
      <w:r>
        <w:rPr/>
        <w:t>located</w:t>
      </w:r>
      <w:r>
        <w:rPr>
          <w:spacing w:val="-5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blood</w:t>
      </w:r>
      <w:r>
        <w:rPr>
          <w:spacing w:val="-6"/>
        </w:rPr>
        <w:t> </w:t>
      </w:r>
      <w:r>
        <w:rPr/>
        <w:t>cells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tissues.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HLA’s,</w:t>
      </w:r>
      <w:r>
        <w:rPr>
          <w:spacing w:val="-6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 said to be a ‘match’. There are may different types of HLA, and the matching can occur to</w:t>
      </w:r>
      <w:r>
        <w:rPr>
          <w:spacing w:val="-57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degrees, 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levels of matching.</w:t>
      </w:r>
    </w:p>
    <w:p>
      <w:pPr>
        <w:pStyle w:val="BodyText"/>
        <w:spacing w:line="278" w:lineRule="auto" w:before="156"/>
        <w:ind w:left="109" w:right="106"/>
        <w:jc w:val="both"/>
      </w:pPr>
      <w:r>
        <w:rPr>
          <w:b/>
        </w:rPr>
        <w:t>Centre - </w:t>
      </w:r>
      <w:r>
        <w:rPr/>
        <w:t>This refers to which of the 23 UK adult kidney transplant centres the patient will be</w:t>
      </w:r>
      <w:r>
        <w:rPr>
          <w:spacing w:val="1"/>
        </w:rPr>
        <w:t> </w:t>
      </w:r>
      <w:r>
        <w:rPr/>
        <w:t>receiving their transplant.</w:t>
      </w:r>
      <w:r>
        <w:rPr>
          <w:spacing w:val="1"/>
        </w:rPr>
        <w:t> </w:t>
      </w:r>
      <w:r>
        <w:rPr/>
        <w:t>(This is not always the dialysis centre at which they are followed</w:t>
      </w:r>
      <w:r>
        <w:rPr>
          <w:spacing w:val="1"/>
        </w:rPr>
        <w:t> </w:t>
      </w:r>
      <w:r>
        <w:rPr/>
        <w:t>up).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b w:val="0"/>
        </w:rPr>
      </w:pPr>
      <w:r>
        <w:rPr/>
        <w:t>MATHEMATICAL</w:t>
      </w:r>
      <w:r>
        <w:rPr>
          <w:spacing w:val="-2"/>
        </w:rPr>
        <w:t> </w:t>
      </w:r>
      <w:r>
        <w:rPr/>
        <w:t>SECTION</w:t>
      </w:r>
    </w:p>
    <w:p>
      <w:pPr>
        <w:pStyle w:val="Heading2"/>
        <w:numPr>
          <w:ilvl w:val="1"/>
          <w:numId w:val="4"/>
        </w:numPr>
        <w:tabs>
          <w:tab w:pos="470" w:val="left" w:leader="none"/>
        </w:tabs>
        <w:spacing w:line="240" w:lineRule="auto" w:before="199" w:after="0"/>
        <w:ind w:left="469" w:right="0" w:hanging="361"/>
        <w:jc w:val="left"/>
      </w:pPr>
      <w:r>
        <w:rPr/>
        <w:t>Cox</w:t>
      </w:r>
      <w:r>
        <w:rPr>
          <w:spacing w:val="-2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hazards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261" w:lineRule="auto" w:before="180"/>
        <w:ind w:left="109" w:right="106"/>
        <w:jc w:val="both"/>
      </w:pPr>
      <w:r>
        <w:rPr/>
        <w:t>The</w:t>
      </w:r>
      <w:r>
        <w:rPr>
          <w:spacing w:val="-6"/>
        </w:rPr>
        <w:t> </w:t>
      </w:r>
      <w:r>
        <w:rPr/>
        <w:t>Cox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hazards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factor</w:t>
      </w:r>
      <w:r>
        <w:rPr>
          <w:spacing w:val="-5"/>
        </w:rPr>
        <w:t> </w:t>
      </w:r>
      <w:r>
        <w:rPr/>
        <w:t>multiplies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baseline</w:t>
      </w:r>
      <w:r>
        <w:rPr>
          <w:spacing w:val="-58"/>
        </w:rPr>
        <w:t> </w:t>
      </w:r>
      <w:r>
        <w:rPr/>
        <w:t>cumulative</w:t>
      </w:r>
      <w:r>
        <w:rPr>
          <w:spacing w:val="-8"/>
        </w:rPr>
        <w:t> </w:t>
      </w:r>
      <w:r>
        <w:rPr/>
        <w:t>hazard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fixed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hazard</w:t>
      </w:r>
      <w:r>
        <w:rPr>
          <w:spacing w:val="-8"/>
        </w:rPr>
        <w:t> </w:t>
      </w:r>
      <w:r>
        <w:rPr/>
        <w:t>ratio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risk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proportional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risk of the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occurring.</w:t>
      </w:r>
    </w:p>
    <w:p>
      <w:pPr>
        <w:pStyle w:val="BodyText"/>
        <w:spacing w:line="259" w:lineRule="auto" w:before="154"/>
        <w:ind w:left="109" w:right="106"/>
        <w:jc w:val="both"/>
      </w:pPr>
      <w:r>
        <w:rPr/>
        <w:t>Using the example of post-transplant survival, this means that the cumulative hazard of post-</w:t>
      </w:r>
      <w:r>
        <w:rPr>
          <w:spacing w:val="1"/>
        </w:rPr>
        <w:t> </w:t>
      </w:r>
      <w:r>
        <w:rPr/>
        <w:t>transplant death is the product of two components: the baseline hazard (chances of dying for a</w:t>
      </w:r>
      <w:r>
        <w:rPr>
          <w:spacing w:val="-57"/>
        </w:rPr>
        <w:t> </w:t>
      </w:r>
      <w:r>
        <w:rPr/>
        <w:t>patient with a baseline set of characteristics at time of transplant) and the hazard ratios for the</w:t>
      </w:r>
      <w:r>
        <w:rPr>
          <w:spacing w:val="-57"/>
        </w:rPr>
        <w:t> </w:t>
      </w:r>
      <w:r>
        <w:rPr/>
        <w:t>risk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(the</w:t>
      </w:r>
      <w:r>
        <w:rPr>
          <w:spacing w:val="-13"/>
        </w:rPr>
        <w:t> </w:t>
      </w:r>
      <w:r>
        <w:rPr/>
        <w:t>increased/decreased</w:t>
      </w:r>
      <w:r>
        <w:rPr>
          <w:spacing w:val="-13"/>
        </w:rPr>
        <w:t> </w:t>
      </w:r>
      <w:r>
        <w:rPr/>
        <w:t>risk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death</w:t>
      </w:r>
      <w:r>
        <w:rPr>
          <w:spacing w:val="-13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risk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compared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baseline</w:t>
      </w:r>
      <w:r>
        <w:rPr>
          <w:spacing w:val="-1"/>
        </w:rPr>
        <w:t> </w:t>
      </w:r>
      <w:r>
        <w:rPr/>
        <w:t>characteristics).</w:t>
      </w:r>
    </w:p>
    <w:p>
      <w:pPr>
        <w:pStyle w:val="BodyText"/>
        <w:spacing w:line="259" w:lineRule="auto" w:before="156"/>
        <w:ind w:left="109" w:right="106"/>
        <w:jc w:val="both"/>
      </w:pPr>
      <w:r>
        <w:rPr/>
        <w:t>In the case of post-transplant survival, the cumulative hazard is then translated into a survival</w:t>
      </w:r>
      <w:r>
        <w:rPr>
          <w:spacing w:val="1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TRAC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presents.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mathematical</w:t>
      </w:r>
      <w:r>
        <w:rPr>
          <w:spacing w:val="-8"/>
        </w:rPr>
        <w:t> </w:t>
      </w:r>
      <w:r>
        <w:rPr/>
        <w:t>form</w:t>
      </w:r>
      <w:r>
        <w:rPr>
          <w:spacing w:val="-7"/>
        </w:rPr>
        <w:t> </w:t>
      </w:r>
      <w:r>
        <w:rPr/>
        <w:t>below.</w:t>
      </w:r>
      <w:r>
        <w:rPr>
          <w:spacing w:val="-57"/>
        </w:rPr>
        <w:t> </w:t>
      </w:r>
      <w:r>
        <w:rPr/>
        <w:t>In the case of the ‘What might happen to me from time of listing?’ models, the cumulative</w:t>
      </w:r>
      <w:r>
        <w:rPr>
          <w:spacing w:val="1"/>
        </w:rPr>
        <w:t> </w:t>
      </w:r>
      <w:r>
        <w:rPr/>
        <w:t>hazard</w:t>
      </w:r>
      <w:r>
        <w:rPr>
          <w:spacing w:val="-1"/>
        </w:rPr>
        <w:t> </w:t>
      </w:r>
      <w:r>
        <w:rPr/>
        <w:t>is further manipulated.</w:t>
      </w:r>
    </w:p>
    <w:p>
      <w:pPr>
        <w:pStyle w:val="BodyText"/>
        <w:spacing w:line="259" w:lineRule="auto" w:before="161"/>
        <w:ind w:left="109" w:right="489"/>
      </w:pPr>
      <w:r>
        <w:rPr/>
        <w:t>The estimated cumulative hazard for the ith individual</w:t>
      </w:r>
      <w:r>
        <w:rPr>
          <w:spacing w:val="1"/>
        </w:rPr>
        <w:t> </w:t>
      </w:r>
      <w:r>
        <w:rPr/>
        <w:t>for the event of interest (e.g. death</w:t>
      </w:r>
      <w:r>
        <w:rPr>
          <w:spacing w:val="-57"/>
        </w:rPr>
        <w:t> </w:t>
      </w:r>
      <w:r>
        <w:rPr/>
        <w:t>post-transplant),</w:t>
      </w:r>
      <w:r>
        <w:rPr>
          <w:spacing w:val="-1"/>
        </w:rPr>
        <w:t> </w:t>
      </w:r>
      <w:r>
        <w:rPr/>
        <w:t>after t days has the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148"/>
        <w:ind w:left="3143" w:right="314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26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7"/>
          <w:vertAlign w:val="baseline"/>
        </w:rPr>
        <w:t> </w:t>
      </w:r>
      <w:r>
        <w:rPr>
          <w:rFonts w:ascii="Cambria Math" w:eastAsia="Cambria Math"/>
          <w:vertAlign w:val="baseline"/>
        </w:rPr>
        <w:t>exp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(𝛽</w:t>
      </w:r>
      <w:r>
        <w:rPr>
          <w:rFonts w:ascii="Cambria Math" w:eastAsia="Cambria Math"/>
          <w:vertAlign w:val="superscript"/>
        </w:rPr>
        <w:t>"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vertAlign w:val="baseline"/>
        </w:rPr>
        <w:t>)𝐻</w:t>
      </w:r>
      <w:r>
        <w:rPr>
          <w:rFonts w:ascii="Cambria Math" w:eastAsia="Cambria Math"/>
          <w:vertAlign w:val="subscript"/>
        </w:rPr>
        <w:t>#</w:t>
      </w:r>
      <w:r>
        <w:rPr>
          <w:rFonts w:ascii="Cambria Math" w:eastAsia="Cambria Math"/>
          <w:vertAlign w:val="baseline"/>
        </w:rPr>
        <w:t>(𝑡)</w:t>
      </w:r>
    </w:p>
    <w:p>
      <w:pPr>
        <w:pStyle w:val="BodyText"/>
        <w:spacing w:before="184"/>
        <w:ind w:left="109"/>
      </w:pPr>
      <w:r>
        <w:rPr/>
        <w:t>where: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40" w:lineRule="auto" w:before="177" w:after="0"/>
        <w:ind w:left="829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#</w:t>
      </w:r>
      <w:r>
        <w:rPr>
          <w:rFonts w:ascii="Cambria Math" w:hAnsi="Cambria Math" w:eastAsia="Cambria Math"/>
          <w:sz w:val="24"/>
          <w:vertAlign w:val="baseline"/>
        </w:rPr>
        <w:t>(𝑡)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estimated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Breslow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(1972)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estimate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56" w:lineRule="auto" w:before="22" w:after="0"/>
        <w:ind w:left="829" w:right="539" w:hanging="360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𝛽 </w:t>
      </w:r>
      <w:r>
        <w:rPr>
          <w:sz w:val="24"/>
        </w:rPr>
        <w:t>is estimated by constructing a partial likelihood function, independent of </w:t>
      </w:r>
      <w:r>
        <w:rPr>
          <w:rFonts w:ascii="Cambria Math" w:hAnsi="Cambria Math" w:eastAsia="Cambria Math"/>
          <w:sz w:val="24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#</w:t>
      </w:r>
      <w:r>
        <w:rPr>
          <w:rFonts w:ascii="Cambria Math" w:hAnsi="Cambria Math" w:eastAsia="Cambria Math"/>
          <w:sz w:val="24"/>
          <w:vertAlign w:val="baseline"/>
        </w:rPr>
        <w:t>(𝑡)</w:t>
      </w:r>
      <w:r>
        <w:rPr>
          <w:sz w:val="24"/>
          <w:vertAlign w:val="baseline"/>
        </w:rPr>
        <w:t>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maximised with respect to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parameters in </w:t>
      </w:r>
      <w:r>
        <w:rPr>
          <w:rFonts w:ascii="Cambria Math" w:hAnsi="Cambria Math" w:eastAsia="Cambria Math"/>
          <w:sz w:val="24"/>
          <w:vertAlign w:val="baseline"/>
        </w:rPr>
        <w:t>𝛽</w:t>
      </w:r>
      <w:r>
        <w:rPr>
          <w:sz w:val="24"/>
          <w:vertAlign w:val="baseline"/>
        </w:rPr>
        <w:t>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29" w:val="left" w:leader="none"/>
          <w:tab w:pos="830" w:val="left" w:leader="none"/>
        </w:tabs>
        <w:spacing w:line="240" w:lineRule="auto" w:before="77" w:after="0"/>
        <w:ind w:left="829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 characteristics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individual.</w:t>
      </w:r>
    </w:p>
    <w:p>
      <w:pPr>
        <w:pStyle w:val="BodyText"/>
        <w:spacing w:before="178"/>
        <w:ind w:left="109"/>
        <w:jc w:val="both"/>
      </w:pP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equation:</w:t>
      </w:r>
    </w:p>
    <w:p>
      <w:pPr>
        <w:pStyle w:val="BodyText"/>
        <w:spacing w:before="171"/>
        <w:ind w:left="3143" w:right="314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vertAlign w:val="baseline"/>
        </w:rPr>
        <w:t>(𝑡)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exp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(−𝐻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rPr>
          <w:rFonts w:ascii="Cambria Math"/>
          <w:sz w:val="32"/>
        </w:rPr>
      </w:pPr>
    </w:p>
    <w:p>
      <w:pPr>
        <w:pStyle w:val="BodyText"/>
        <w:spacing w:line="259" w:lineRule="auto" w:before="265"/>
        <w:ind w:left="109" w:right="513"/>
        <w:jc w:val="both"/>
      </w:pPr>
      <w:r>
        <w:rPr/>
        <w:t>The phreg function in SAS V.7.1 (SAS Institute, Cary, North Carolina, USA) was used to</w:t>
      </w:r>
      <w:r>
        <w:rPr>
          <w:spacing w:val="-57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estimates.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484" w:val="left" w:leader="none"/>
        </w:tabs>
        <w:spacing w:line="276" w:lineRule="auto" w:before="1" w:after="0"/>
        <w:ind w:left="109" w:right="106" w:firstLine="0"/>
        <w:jc w:val="both"/>
      </w:pPr>
      <w:r>
        <w:rPr/>
        <w:t>Numerical Approximation Algorithm for Cause-Specific Cox Proportional Hazards</w:t>
      </w:r>
      <w:r>
        <w:rPr>
          <w:spacing w:val="1"/>
        </w:rPr>
        <w:t> </w:t>
      </w:r>
      <w:r>
        <w:rPr/>
        <w:t>Models</w:t>
      </w:r>
    </w:p>
    <w:p>
      <w:pPr>
        <w:pStyle w:val="BodyText"/>
        <w:spacing w:line="278" w:lineRule="auto" w:before="157"/>
        <w:ind w:left="109" w:right="106"/>
        <w:jc w:val="both"/>
      </w:pPr>
      <w:r>
        <w:rPr/>
        <w:t>When using Cause-Specific Cox proportional hazards models for competing risks (time to</w:t>
      </w:r>
      <w:r>
        <w:rPr>
          <w:spacing w:val="1"/>
        </w:rPr>
        <w:t> </w:t>
      </w:r>
      <w:r>
        <w:rPr/>
        <w:t>transplant,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death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list/removal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applied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informative</w:t>
      </w:r>
      <w:r>
        <w:rPr>
          <w:spacing w:val="-2"/>
        </w:rPr>
        <w:t> </w:t>
      </w:r>
      <w:r>
        <w:rPr/>
        <w:t>censoring</w:t>
      </w:r>
      <w:r>
        <w:rPr>
          <w:spacing w:val="-1"/>
        </w:rPr>
        <w:t> </w:t>
      </w:r>
      <w:r>
        <w:rPr/>
        <w:t>bias.</w:t>
      </w:r>
    </w:p>
    <w:p>
      <w:pPr>
        <w:pStyle w:val="BodyText"/>
        <w:spacing w:line="259" w:lineRule="auto" w:before="153"/>
        <w:ind w:left="109" w:right="404"/>
        <w:jc w:val="both"/>
      </w:pPr>
      <w:r>
        <w:rPr>
          <w:spacing w:val="-1"/>
        </w:rPr>
        <w:t>The estimated cumulative hazard </w:t>
      </w:r>
      <w:r>
        <w:rPr/>
        <w:t>for the i</w:t>
      </w:r>
      <w:r>
        <w:rPr>
          <w:vertAlign w:val="superscript"/>
        </w:rPr>
        <w:t>th</w:t>
      </w:r>
      <w:r>
        <w:rPr>
          <w:vertAlign w:val="baseline"/>
        </w:rPr>
        <w:t> individual for competing risk j (e.g. transplant),</w:t>
      </w:r>
      <w:r>
        <w:rPr>
          <w:spacing w:val="-5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days has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form:</w:t>
      </w:r>
    </w:p>
    <w:p>
      <w:pPr>
        <w:pStyle w:val="BodyText"/>
        <w:spacing w:before="158"/>
        <w:ind w:left="3143" w:right="314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𝐻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11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exp</w:t>
      </w:r>
      <w:r>
        <w:rPr>
          <w:rFonts w:ascii="Cambria Math" w:eastAsia="Cambria Math"/>
          <w:spacing w:val="-3"/>
          <w:vertAlign w:val="baseline"/>
        </w:rPr>
        <w:t> </w:t>
      </w:r>
      <w:r>
        <w:rPr>
          <w:rFonts w:ascii="Cambria Math" w:eastAsia="Cambria Math"/>
          <w:vertAlign w:val="baseline"/>
        </w:rPr>
        <w:t>(𝛽</w:t>
      </w:r>
      <w:r>
        <w:rPr>
          <w:rFonts w:ascii="Cambria Math" w:eastAsia="Cambria Math"/>
          <w:vertAlign w:val="subscript"/>
        </w:rPr>
        <w:t>$</w:t>
      </w:r>
      <w:r>
        <w:rPr>
          <w:rFonts w:ascii="Cambria Math" w:eastAsia="Cambria Math"/>
          <w:vertAlign w:val="superscript"/>
        </w:rPr>
        <w:t>"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vertAlign w:val="baseline"/>
        </w:rPr>
        <w:t>)𝐻</w:t>
      </w:r>
      <w:r>
        <w:rPr>
          <w:rFonts w:ascii="Cambria Math" w:eastAsia="Cambria Math"/>
          <w:vertAlign w:val="subscript"/>
        </w:rPr>
        <w:t>$#</w:t>
      </w:r>
      <w:r>
        <w:rPr>
          <w:rFonts w:ascii="Cambria Math" w:eastAsia="Cambria Math"/>
          <w:vertAlign w:val="baseline"/>
        </w:rPr>
        <w:t>(𝑡)</w:t>
      </w:r>
    </w:p>
    <w:p>
      <w:pPr>
        <w:pStyle w:val="BodyText"/>
        <w:spacing w:line="280" w:lineRule="auto" w:before="213"/>
        <w:ind w:left="109"/>
      </w:pP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vertAlign w:val="baseline"/>
        </w:rPr>
        <w:t>(𝑡) </w:t>
      </w:r>
      <w:r>
        <w:rPr>
          <w:vertAlign w:val="baseline"/>
        </w:rPr>
        <w:t>is then the instantaneous hazard at time t, i.e. the risk of leaving the list with cause j,</w:t>
      </w:r>
      <w:r>
        <w:rPr>
          <w:spacing w:val="-5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 still 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list at time</w:t>
      </w:r>
      <w:r>
        <w:rPr>
          <w:spacing w:val="-1"/>
          <w:vertAlign w:val="baseline"/>
        </w:rPr>
        <w:t> </w:t>
      </w:r>
      <w:r>
        <w:rPr>
          <w:vertAlign w:val="baseline"/>
        </w:rPr>
        <w:t>t.</w:t>
      </w:r>
    </w:p>
    <w:p>
      <w:pPr>
        <w:pStyle w:val="BodyText"/>
        <w:spacing w:line="259" w:lineRule="auto" w:before="139"/>
        <w:ind w:left="109" w:right="455"/>
      </w:pPr>
      <w:r>
        <w:rPr/>
        <w:t>Assuming independent causes of leaving the list, the probability of still being on the list at</w:t>
      </w:r>
      <w:r>
        <w:rPr>
          <w:spacing w:val="-57"/>
        </w:rPr>
        <w:t> </w:t>
      </w:r>
      <w:r>
        <w:rPr/>
        <w:t>time</w:t>
      </w:r>
      <w:r>
        <w:rPr>
          <w:spacing w:val="-1"/>
        </w:rPr>
        <w:t> </w:t>
      </w:r>
      <w:r>
        <w:rPr/>
        <w:t>t is</w:t>
      </w: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3142" w:right="314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"/>
          <w:w w:val="105"/>
        </w:rPr>
        <w:t>𝑆</w:t>
      </w:r>
      <w:r>
        <w:rPr>
          <w:rFonts w:ascii="Cambria Math" w:hAnsi="Cambria Math" w:eastAsia="Cambria Math"/>
          <w:spacing w:val="-1"/>
          <w:w w:val="105"/>
          <w:vertAlign w:val="subscript"/>
        </w:rPr>
        <w:t>!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(</w:t>
      </w:r>
      <w:r>
        <w:rPr>
          <w:rFonts w:ascii="Cambria Math" w:hAnsi="Cambria Math" w:eastAsia="Cambria Math"/>
          <w:spacing w:val="-1"/>
          <w:w w:val="105"/>
          <w:vertAlign w:val="baseline"/>
        </w:rPr>
        <w:t>𝑡</w:t>
      </w:r>
      <w:r>
        <w:rPr>
          <w:rFonts w:ascii="Cambria Math" w:hAnsi="Cambria Math" w:eastAsia="Cambria Math"/>
          <w:spacing w:val="-1"/>
          <w:w w:val="105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=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𝑒𝑥𝑝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1−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spacing w:val="-1"/>
          <w:w w:val="130"/>
          <w:vertAlign w:val="baseline"/>
        </w:rPr>
        <w:t>2</w:t>
      </w:r>
      <w:r>
        <w:rPr>
          <w:rFonts w:ascii="Cambria Math" w:hAnsi="Cambria Math" w:eastAsia="Cambria Math"/>
          <w:spacing w:val="-30"/>
          <w:w w:val="130"/>
          <w:vertAlign w:val="baseline"/>
        </w:rPr>
        <w:t> </w:t>
      </w:r>
      <w:r>
        <w:rPr>
          <w:rFonts w:ascii="Cambria Math" w:hAnsi="Cambria Math" w:eastAsia="Cambria Math"/>
          <w:spacing w:val="-1"/>
          <w:w w:val="105"/>
          <w:vertAlign w:val="baseline"/>
        </w:rPr>
        <w:t>𝐻</w:t>
      </w:r>
      <w:r>
        <w:rPr>
          <w:rFonts w:ascii="Cambria Math" w:hAnsi="Cambria Math" w:eastAsia="Cambria Math"/>
          <w:spacing w:val="-1"/>
          <w:w w:val="105"/>
          <w:vertAlign w:val="subscript"/>
        </w:rPr>
        <w:t>$!</w:t>
      </w:r>
      <w:r>
        <w:rPr>
          <w:rFonts w:ascii="Cambria Math" w:hAnsi="Cambria Math" w:eastAsia="Cambria Math"/>
          <w:spacing w:val="-1"/>
          <w:w w:val="105"/>
          <w:vertAlign w:val="baseline"/>
        </w:rPr>
        <w:t>(𝑡)3</w:t>
      </w:r>
    </w:p>
    <w:p>
      <w:pPr>
        <w:spacing w:before="93"/>
        <w:ind w:left="806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91"/>
          <w:sz w:val="17"/>
        </w:rPr>
        <w:t>$</w:t>
      </w:r>
    </w:p>
    <w:p>
      <w:pPr>
        <w:pStyle w:val="BodyText"/>
        <w:spacing w:before="9"/>
        <w:rPr>
          <w:rFonts w:ascii="Cambria Math"/>
          <w:sz w:val="17"/>
        </w:rPr>
      </w:pPr>
    </w:p>
    <w:p>
      <w:pPr>
        <w:pStyle w:val="BodyText"/>
        <w:ind w:left="109"/>
      </w:pPr>
      <w:r>
        <w:rPr/>
        <w:t>The</w:t>
      </w:r>
      <w:r>
        <w:rPr>
          <w:spacing w:val="11"/>
        </w:rPr>
        <w:t> </w:t>
      </w:r>
      <w:r>
        <w:rPr/>
        <w:t>TRAC</w:t>
      </w:r>
      <w:r>
        <w:rPr>
          <w:spacing w:val="11"/>
        </w:rPr>
        <w:t> </w:t>
      </w:r>
      <w:r>
        <w:rPr/>
        <w:t>tool</w:t>
      </w:r>
      <w:r>
        <w:rPr>
          <w:spacing w:val="12"/>
        </w:rPr>
        <w:t> </w:t>
      </w:r>
      <w:r>
        <w:rPr/>
        <w:t>displays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i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still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t,</w:t>
      </w:r>
    </w:p>
    <w:p>
      <w:pPr>
        <w:pStyle w:val="BodyText"/>
        <w:spacing w:line="266" w:lineRule="auto" w:before="31"/>
        <w:ind w:left="109" w:right="34"/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vertAlign w:val="subscript"/>
        </w:rPr>
        <w:t>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leave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t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cause</w:t>
      </w:r>
      <w:r>
        <w:rPr>
          <w:spacing w:val="-57"/>
          <w:vertAlign w:val="baseline"/>
        </w:rPr>
        <w:t> </w:t>
      </w:r>
      <w:r>
        <w:rPr>
          <w:vertAlign w:val="baseline"/>
        </w:rPr>
        <w:t>j,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𝐹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equation: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3140" w:right="314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𝐹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𝑑𝑡</w:t>
      </w:r>
    </w:p>
    <w:p>
      <w:pPr>
        <w:pStyle w:val="BodyText"/>
        <w:spacing w:before="9"/>
        <w:rPr>
          <w:rFonts w:ascii="Cambria Math"/>
          <w:sz w:val="28"/>
        </w:rPr>
      </w:pPr>
    </w:p>
    <w:p>
      <w:pPr>
        <w:pStyle w:val="BodyText"/>
        <w:spacing w:line="266" w:lineRule="auto"/>
        <w:ind w:left="109"/>
      </w:pPr>
      <w:r>
        <w:rPr/>
        <w:t>However,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this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/>
        <w:t>available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closed</w:t>
      </w:r>
      <w:r>
        <w:rPr>
          <w:spacing w:val="46"/>
        </w:rPr>
        <w:t> </w:t>
      </w:r>
      <w:r>
        <w:rPr/>
        <w:t>form,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following</w:t>
      </w:r>
      <w:r>
        <w:rPr>
          <w:spacing w:val="46"/>
        </w:rPr>
        <w:t> </w:t>
      </w:r>
      <w:r>
        <w:rPr/>
        <w:t>numerical</w:t>
      </w:r>
      <w:r>
        <w:rPr>
          <w:spacing w:val="45"/>
        </w:rPr>
        <w:t> </w:t>
      </w:r>
      <w:r>
        <w:rPr/>
        <w:t>approximation</w:t>
      </w:r>
      <w:r>
        <w:rPr>
          <w:spacing w:val="-57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to estimate</w:t>
      </w:r>
      <w:r>
        <w:rPr>
          <w:spacing w:val="-2"/>
        </w:rPr>
        <w:t> </w:t>
      </w:r>
      <w:r>
        <w:rPr/>
        <w:t>and present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vertAlign w:val="subscript"/>
        </w:rPr>
        <w:t>$!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  <w:tab w:pos="830" w:val="left" w:leader="none"/>
        </w:tabs>
        <w:spacing w:line="300" w:lineRule="auto" w:before="199" w:after="0"/>
        <w:ind w:left="829" w:right="106" w:hanging="360"/>
        <w:jc w:val="left"/>
        <w:rPr>
          <w:sz w:val="24"/>
        </w:rPr>
      </w:pPr>
      <w:r>
        <w:rPr>
          <w:sz w:val="24"/>
        </w:rPr>
        <w:t>Set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 </w:t>
      </w:r>
      <w:r>
        <w:rPr>
          <w:rFonts w:ascii="Cambria Math" w:hAnsi="Cambria Math" w:eastAsia="Cambria Math"/>
          <w:sz w:val="24"/>
          <w:vertAlign w:val="baseline"/>
        </w:rPr>
        <w:t>= 0 </w:t>
      </w:r>
      <w:r>
        <w:rPr>
          <w:sz w:val="24"/>
          <w:vertAlign w:val="baseline"/>
        </w:rPr>
        <w:t>and each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 </w:t>
      </w:r>
      <w:r>
        <w:rPr>
          <w:rFonts w:ascii="Cambria Math" w:hAnsi="Cambria Math" w:eastAsia="Cambria Math"/>
          <w:sz w:val="24"/>
          <w:vertAlign w:val="baseline"/>
        </w:rPr>
        <w:t>= 0. </w:t>
      </w:r>
      <w:r>
        <w:rPr>
          <w:color w:val="FF0000"/>
          <w:sz w:val="24"/>
          <w:vertAlign w:val="baseline"/>
        </w:rPr>
        <w:t>Where j=1 (transplant), j=2 (removal from the list),</w:t>
      </w:r>
      <w:r>
        <w:rPr>
          <w:color w:val="FF0000"/>
          <w:spacing w:val="-57"/>
          <w:sz w:val="24"/>
          <w:vertAlign w:val="baseline"/>
        </w:rPr>
        <w:t> </w:t>
      </w:r>
      <w:r>
        <w:rPr>
          <w:color w:val="FF0000"/>
          <w:sz w:val="24"/>
          <w:vertAlign w:val="baseline"/>
        </w:rPr>
        <w:t>j=3</w:t>
      </w:r>
      <w:r>
        <w:rPr>
          <w:color w:val="FF0000"/>
          <w:spacing w:val="-1"/>
          <w:sz w:val="24"/>
          <w:vertAlign w:val="baseline"/>
        </w:rPr>
        <w:t> </w:t>
      </w:r>
      <w:r>
        <w:rPr>
          <w:color w:val="FF0000"/>
          <w:sz w:val="24"/>
          <w:vertAlign w:val="baseline"/>
        </w:rPr>
        <w:t>(death on the</w:t>
      </w:r>
      <w:r>
        <w:rPr>
          <w:color w:val="FF0000"/>
          <w:spacing w:val="-1"/>
          <w:sz w:val="24"/>
          <w:vertAlign w:val="baseline"/>
        </w:rPr>
        <w:t> </w:t>
      </w:r>
      <w:r>
        <w:rPr>
          <w:color w:val="FF0000"/>
          <w:sz w:val="24"/>
          <w:vertAlign w:val="baseline"/>
        </w:rPr>
        <w:t>list).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  <w:tab w:pos="830" w:val="left" w:leader="none"/>
        </w:tabs>
        <w:spacing w:line="263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through the</w:t>
      </w:r>
      <w:r>
        <w:rPr>
          <w:spacing w:val="-1"/>
          <w:sz w:val="24"/>
        </w:rPr>
        <w:t> </w:t>
      </w:r>
      <w:r>
        <w:rPr>
          <w:sz w:val="24"/>
        </w:rPr>
        <w:t>following steps</w:t>
      </w:r>
      <w:r>
        <w:rPr>
          <w:spacing w:val="-1"/>
          <w:sz w:val="24"/>
        </w:rPr>
        <w:t> </w:t>
      </w:r>
      <w:r>
        <w:rPr>
          <w:sz w:val="24"/>
        </w:rPr>
        <w:t>for time</w:t>
      </w:r>
      <w:r>
        <w:rPr>
          <w:spacing w:val="-1"/>
          <w:sz w:val="24"/>
        </w:rPr>
        <w:t> </w:t>
      </w:r>
      <w:r>
        <w:rPr>
          <w:sz w:val="24"/>
        </w:rPr>
        <w:t>t=1,2,…</w:t>
      </w:r>
    </w:p>
    <w:p>
      <w:pPr>
        <w:pStyle w:val="ListParagraph"/>
        <w:numPr>
          <w:ilvl w:val="1"/>
          <w:numId w:val="6"/>
        </w:numPr>
        <w:tabs>
          <w:tab w:pos="1550" w:val="left" w:leader="none"/>
        </w:tabs>
        <w:spacing w:line="249" w:lineRule="auto" w:before="45" w:after="0"/>
        <w:ind w:left="1549" w:right="106" w:hanging="36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Assuming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patient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still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list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start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color w:val="FF0000"/>
          <w:sz w:val="24"/>
        </w:rPr>
        <w:t>day</w:t>
      </w:r>
      <w:r>
        <w:rPr>
          <w:color w:val="FF0000"/>
          <w:spacing w:val="-10"/>
          <w:sz w:val="24"/>
        </w:rPr>
        <w:t> </w:t>
      </w:r>
      <w:r>
        <w:rPr>
          <w:color w:val="FF0000"/>
          <w:sz w:val="24"/>
        </w:rPr>
        <w:t>t,</w:t>
      </w:r>
      <w:r>
        <w:rPr>
          <w:color w:val="FF0000"/>
          <w:spacing w:val="-11"/>
          <w:sz w:val="24"/>
        </w:rPr>
        <w:t> </w:t>
      </w:r>
      <w:r>
        <w:rPr>
          <w:sz w:val="24"/>
        </w:rPr>
        <w:t>estimate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probability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loss of type</w:t>
      </w:r>
      <w:r>
        <w:rPr>
          <w:spacing w:val="-1"/>
          <w:sz w:val="24"/>
        </w:rPr>
        <w:t> </w:t>
      </w:r>
      <w:r>
        <w:rPr>
          <w:sz w:val="24"/>
        </w:rPr>
        <w:t>j as </w:t>
      </w:r>
      <w:r>
        <w:rPr>
          <w:rFonts w:ascii="Cambria Math" w:hAnsi="Cambria Math" w:eastAsia="Cambria Math"/>
          <w:sz w:val="24"/>
        </w:rPr>
        <w:t>ℎ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𝐻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𝐻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1550" w:val="left" w:leader="none"/>
        </w:tabs>
        <w:spacing w:line="283" w:lineRule="auto" w:before="48" w:after="0"/>
        <w:ind w:left="1549" w:right="106" w:hanging="360"/>
        <w:jc w:val="left"/>
        <w:rPr>
          <w:sz w:val="24"/>
        </w:rPr>
      </w:pPr>
      <w:r>
        <w:rPr>
          <w:sz w:val="24"/>
        </w:rPr>
        <w:t>Calculate </w:t>
      </w:r>
      <w:r>
        <w:rPr>
          <w:rFonts w:ascii="Cambria Math" w:hAnsi="Cambria Math" w:eastAsia="Cambria Math"/>
          <w:sz w:val="24"/>
        </w:rPr>
        <w:t>𝑝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ℎ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sz w:val="24"/>
          <w:vertAlign w:val="baseline"/>
        </w:rPr>
        <w:t>(𝑡) </w:t>
      </w:r>
      <w:r>
        <w:rPr>
          <w:sz w:val="24"/>
          <w:vertAlign w:val="baseline"/>
        </w:rPr>
        <w:t>as the probability of leaving the list with cause j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at time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t.</w:t>
      </w:r>
    </w:p>
    <w:p>
      <w:pPr>
        <w:spacing w:after="0" w:line="283" w:lineRule="auto"/>
        <w:jc w:val="left"/>
        <w:rPr>
          <w:sz w:val="24"/>
        </w:rPr>
        <w:sectPr>
          <w:pgSz w:w="11910" w:h="16840"/>
          <w:pgMar w:top="1360" w:bottom="280" w:left="1340" w:right="1320"/>
        </w:sectPr>
      </w:pPr>
    </w:p>
    <w:p>
      <w:pPr>
        <w:pStyle w:val="ListParagraph"/>
        <w:numPr>
          <w:ilvl w:val="1"/>
          <w:numId w:val="6"/>
        </w:numPr>
        <w:tabs>
          <w:tab w:pos="1550" w:val="left" w:leader="none"/>
        </w:tabs>
        <w:spacing w:line="249" w:lineRule="auto" w:before="75" w:after="0"/>
        <w:ind w:left="1549" w:right="107" w:hanging="36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Then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cumulative</w:t>
      </w:r>
      <w:r>
        <w:rPr>
          <w:spacing w:val="15"/>
          <w:sz w:val="24"/>
        </w:rPr>
        <w:t> </w:t>
      </w:r>
      <w:r>
        <w:rPr>
          <w:sz w:val="24"/>
        </w:rPr>
        <w:t>probability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leaving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list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time</w:t>
      </w:r>
      <w:r>
        <w:rPr>
          <w:spacing w:val="15"/>
          <w:sz w:val="24"/>
        </w:rPr>
        <w:t> </w:t>
      </w:r>
      <w:r>
        <w:rPr>
          <w:sz w:val="24"/>
        </w:rPr>
        <w:t>t+1</w:t>
      </w:r>
      <w:r>
        <w:rPr>
          <w:spacing w:val="15"/>
          <w:sz w:val="24"/>
        </w:rPr>
        <w:t> </w:t>
      </w:r>
      <w:r>
        <w:rPr>
          <w:sz w:val="24"/>
        </w:rPr>
        <w:t>due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cause</w:t>
      </w:r>
      <w:r>
        <w:rPr>
          <w:spacing w:val="15"/>
          <w:sz w:val="24"/>
        </w:rPr>
        <w:t> </w:t>
      </w:r>
      <w:r>
        <w:rPr>
          <w:sz w:val="24"/>
        </w:rPr>
        <w:t>j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 </w:t>
      </w:r>
      <w:r>
        <w:rPr>
          <w:rFonts w:ascii="Cambria Math" w:hAnsi="Cambria Math" w:eastAsia="Cambria Math"/>
          <w:sz w:val="24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-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𝑝</w:t>
      </w:r>
      <w:r>
        <w:rPr>
          <w:rFonts w:ascii="Cambria Math" w:hAnsi="Cambria Math" w:eastAsia="Cambria Math"/>
          <w:sz w:val="24"/>
          <w:vertAlign w:val="subscript"/>
        </w:rPr>
        <w:t>$!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</w:p>
    <w:p>
      <w:pPr>
        <w:pStyle w:val="BodyText"/>
        <w:spacing w:before="53"/>
        <w:ind w:left="1189"/>
        <w:rPr>
          <w:rFonts w:ascii="Cambria Math" w:hAnsi="Cambria Math" w:eastAsia="Cambria Math"/>
        </w:rPr>
      </w:pPr>
      <w:r>
        <w:rPr>
          <w:rFonts w:ascii="Courier New" w:hAnsi="Courier New" w:eastAsia="Courier New"/>
        </w:rPr>
        <w:t>o</w:t>
      </w:r>
      <w:r>
        <w:rPr>
          <w:rFonts w:ascii="Courier New" w:hAnsi="Courier New" w:eastAsia="Courier New"/>
          <w:spacing w:val="86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∑</w:t>
      </w:r>
      <w:r>
        <w:rPr>
          <w:rFonts w:ascii="Cambria Math" w:hAnsi="Cambria Math" w:eastAsia="Cambria Math"/>
          <w:position w:val="1"/>
          <w:vertAlign w:val="subscript"/>
        </w:rPr>
        <w:t>$</w:t>
      </w:r>
      <w:r>
        <w:rPr>
          <w:rFonts w:ascii="Cambria Math" w:hAnsi="Cambria Math" w:eastAsia="Cambria Math"/>
          <w:spacing w:val="-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𝑝</w:t>
      </w:r>
      <w:r>
        <w:rPr>
          <w:rFonts w:ascii="Cambria Math" w:hAnsi="Cambria Math" w:eastAsia="Cambria Math"/>
          <w:vertAlign w:val="subscript"/>
        </w:rPr>
        <w:t>$!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𝑡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  <w:tab w:pos="830" w:val="left" w:leader="none"/>
        </w:tabs>
        <w:spacing w:line="240" w:lineRule="auto" w:before="51" w:after="0"/>
        <w:ind w:left="829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t,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%!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-2"/>
          <w:position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𝐹</w:t>
      </w:r>
      <w:r>
        <w:rPr>
          <w:rFonts w:ascii="Cambria Math" w:hAnsi="Cambria Math" w:eastAsia="Cambria Math"/>
          <w:sz w:val="24"/>
          <w:vertAlign w:val="subscript"/>
        </w:rPr>
        <w:t>&amp;!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𝑡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6"/>
          <w:position w:val="1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equal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1.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MODEL</w:t>
      </w:r>
      <w:r>
        <w:rPr>
          <w:spacing w:val="-1"/>
        </w:rPr>
        <w:t> </w:t>
      </w:r>
      <w:r>
        <w:rPr/>
        <w:t>VALIDATION</w:t>
      </w:r>
    </w:p>
    <w:p>
      <w:pPr>
        <w:pStyle w:val="BodyText"/>
        <w:spacing w:line="276" w:lineRule="auto" w:before="199"/>
        <w:ind w:left="109" w:right="106"/>
        <w:jc w:val="both"/>
      </w:pPr>
      <w:r>
        <w:rPr>
          <w:color w:val="333333"/>
          <w:shd w:fill="FFFF00" w:color="auto" w:val="clear"/>
        </w:rPr>
        <w:t>The models once developed will undergo statistical validation tests. The post transplant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outcome models have been developed on 70% of the dataset and tested on the remaining 30%</w:t>
      </w:r>
      <w:r>
        <w:rPr>
          <w:color w:val="333333"/>
          <w:spacing w:val="-57"/>
        </w:rPr>
        <w:t> </w:t>
      </w:r>
      <w:r>
        <w:rPr>
          <w:color w:val="333333"/>
          <w:shd w:fill="FFFF00" w:color="auto" w:val="clear"/>
        </w:rPr>
        <w:t>using a risk sore method.</w:t>
      </w:r>
      <w:r>
        <w:rPr>
          <w:color w:val="333333"/>
          <w:spacing w:val="1"/>
          <w:shd w:fill="FFFF00" w:color="auto" w:val="clear"/>
        </w:rPr>
        <w:t> </w:t>
      </w:r>
      <w:r>
        <w:rPr>
          <w:color w:val="333333"/>
          <w:shd w:fill="FFFF00" w:color="auto" w:val="clear"/>
        </w:rPr>
        <w:t>In addition, factors have been checked for proportionality, and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residuals have been assessed.</w:t>
      </w:r>
      <w:r>
        <w:rPr>
          <w:color w:val="333333"/>
          <w:spacing w:val="1"/>
          <w:shd w:fill="FFFF00" w:color="auto" w:val="clear"/>
        </w:rPr>
        <w:t> </w:t>
      </w:r>
      <w:r>
        <w:rPr>
          <w:color w:val="333333"/>
          <w:shd w:fill="FFFF00" w:color="auto" w:val="clear"/>
        </w:rPr>
        <w:t>The ‘predictive ability’ of the models will also be ascertained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using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various statistical methods.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FUTURE VERSIONS</w:t>
      </w:r>
    </w:p>
    <w:p>
      <w:pPr>
        <w:pStyle w:val="BodyText"/>
        <w:spacing w:line="276" w:lineRule="auto" w:before="200"/>
        <w:ind w:left="109" w:right="106"/>
        <w:jc w:val="both"/>
      </w:pPr>
      <w:r>
        <w:rPr/>
        <w:t>The parameter estimates will be updated annually as we re-run the models on a more recent</w:t>
      </w:r>
      <w:r>
        <w:rPr>
          <w:spacing w:val="1"/>
        </w:rPr>
        <w:t> </w:t>
      </w:r>
      <w:r>
        <w:rPr/>
        <w:t>time period. The risk factors included in the model will be updated every 3-5 years as we re-</w:t>
      </w:r>
      <w:r>
        <w:rPr>
          <w:spacing w:val="1"/>
        </w:rPr>
        <w:t> </w:t>
      </w:r>
      <w:r>
        <w:rPr/>
        <w:t>test</w:t>
      </w:r>
      <w:r>
        <w:rPr>
          <w:spacing w:val="-1"/>
        </w:rPr>
        <w:t> </w:t>
      </w:r>
      <w:r>
        <w:rPr/>
        <w:t>potential risk factors in the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</w:pPr>
      <w:r>
        <w:rPr/>
        <w:t>LEGAL</w:t>
      </w:r>
      <w:r>
        <w:rPr>
          <w:spacing w:val="-1"/>
        </w:rPr>
        <w:t> </w:t>
      </w:r>
      <w:r>
        <w:rPr/>
        <w:t>DISCLAIMER</w:t>
      </w:r>
    </w:p>
    <w:p>
      <w:pPr>
        <w:pStyle w:val="BodyText"/>
        <w:spacing w:line="276" w:lineRule="auto" w:before="204"/>
        <w:ind w:left="109" w:right="106"/>
        <w:jc w:val="both"/>
      </w:pPr>
      <w:r>
        <w:rPr/>
        <w:t>TRAC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thousands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UK</w:t>
      </w:r>
      <w:r>
        <w:rPr>
          <w:spacing w:val="-58"/>
        </w:rPr>
        <w:t> </w:t>
      </w:r>
      <w:r>
        <w:rPr/>
        <w:t>transplant registry.</w:t>
      </w:r>
      <w:r>
        <w:rPr>
          <w:spacing w:val="1"/>
        </w:rPr>
        <w:t> </w:t>
      </w:r>
      <w:r>
        <w:rPr/>
        <w:t>However, it can only provide a 'best guess' of likely outcomes based on</w:t>
      </w:r>
      <w:r>
        <w:rPr>
          <w:spacing w:val="1"/>
        </w:rPr>
        <w:t> </w:t>
      </w:r>
      <w:r>
        <w:rPr/>
        <w:t>past data, and it can never provide an accurate prediction for an individual. Patients should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consult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specialist,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personalised</w:t>
      </w:r>
      <w:r>
        <w:rPr>
          <w:spacing w:val="-1"/>
        </w:rPr>
        <w:t> </w:t>
      </w:r>
      <w:r>
        <w:rPr/>
        <w:t>context.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Privacy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3"/>
        </w:rPr>
      </w:pPr>
    </w:p>
    <w:p>
      <w:pPr>
        <w:spacing w:before="1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Cookie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policy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3"/>
        </w:rPr>
      </w:pPr>
    </w:p>
    <w:p>
      <w:pPr>
        <w:spacing w:before="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Contact</w:t>
      </w:r>
    </w:p>
    <w:p>
      <w:pPr>
        <w:pStyle w:val="BodyText"/>
        <w:spacing w:before="200"/>
        <w:ind w:left="109"/>
      </w:pPr>
      <w:hyperlink r:id="rId7">
        <w:r>
          <w:rPr>
            <w:color w:val="337AB7"/>
          </w:rPr>
          <w:t>statistical.enquiries@nhsbt.nhs.uk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spacing w:before="0"/>
        <w:ind w:left="109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4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9" w:hanging="36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6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6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48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6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5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3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0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8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7" w:hanging="2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6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9" w:hanging="360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5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9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odt.nhs.uk/statistics-and-reports/organ-specific-reports/)" TargetMode="External"/><Relationship Id="rId6" Type="http://schemas.openxmlformats.org/officeDocument/2006/relationships/hyperlink" Target="http://www.odt.nhs.uk/transplantation/tools-policies-and-guidance/calculators/" TargetMode="External"/><Relationship Id="rId7" Type="http://schemas.openxmlformats.org/officeDocument/2006/relationships/hyperlink" Target="mailto:statistical.enquiries@nhsbt.nhs.uk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Pearson</dc:creator>
  <dcterms:created xsi:type="dcterms:W3CDTF">2021-12-02T10:52:07Z</dcterms:created>
  <dcterms:modified xsi:type="dcterms:W3CDTF">2021-12-02T10:52:07Z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Word</vt:lpwstr>
  </property>
  <property fmtid="{D5CDD505-2E9C-101B-9397-08002B2CF9AE}" pid="4" name="LastSaved">
    <vt:filetime>2021-12-02T00:00:00Z</vt:filetime>
  </property>
</Properties>
</file>