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4C414">
      <w:pPr>
        <w:ind w:firstLine="161" w:firstLineChars="50"/>
        <w:jc w:val="center"/>
        <w:rPr>
          <w:rFonts w:eastAsia="黑体"/>
          <w:b/>
          <w:sz w:val="32"/>
          <w:szCs w:val="32"/>
        </w:rPr>
      </w:pPr>
      <w:r>
        <w:rPr>
          <w:rFonts w:hint="eastAsia" w:eastAsia="黑体"/>
          <w:b/>
          <w:sz w:val="32"/>
          <w:szCs w:val="32"/>
        </w:rPr>
        <w:t>上海电影学院本科课程作品评阅意见表</w:t>
      </w:r>
    </w:p>
    <w:tbl>
      <w:tblPr>
        <w:tblStyle w:val="9"/>
        <w:tblpPr w:leftFromText="180" w:rightFromText="180" w:vertAnchor="text" w:horzAnchor="page" w:tblpX="1243" w:tblpY="291"/>
        <w:tblOverlap w:val="never"/>
        <w:tblW w:w="99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2125"/>
        <w:gridCol w:w="1331"/>
        <w:gridCol w:w="1224"/>
        <w:gridCol w:w="608"/>
        <w:gridCol w:w="642"/>
        <w:gridCol w:w="787"/>
        <w:gridCol w:w="11"/>
        <w:gridCol w:w="720"/>
        <w:gridCol w:w="720"/>
        <w:gridCol w:w="584"/>
      </w:tblGrid>
      <w:tr w14:paraId="2B4C7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44" w:type="dxa"/>
            <w:gridSpan w:val="3"/>
            <w:vAlign w:val="center"/>
          </w:tcPr>
          <w:p w14:paraId="7EA2E9E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20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24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 xml:space="preserve">  ~20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25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 xml:space="preserve">  学年 春 季学期</w:t>
            </w:r>
          </w:p>
        </w:tc>
        <w:tc>
          <w:tcPr>
            <w:tcW w:w="1832" w:type="dxa"/>
            <w:gridSpan w:val="2"/>
            <w:vAlign w:val="center"/>
          </w:tcPr>
          <w:p w14:paraId="4AF3934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课程名称</w:t>
            </w:r>
          </w:p>
          <w:p w14:paraId="7D655D75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（课程号）</w:t>
            </w:r>
          </w:p>
        </w:tc>
        <w:tc>
          <w:tcPr>
            <w:tcW w:w="3464" w:type="dxa"/>
            <w:gridSpan w:val="6"/>
            <w:vAlign w:val="center"/>
          </w:tcPr>
          <w:p w14:paraId="6C15605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游戏音频设计</w:t>
            </w:r>
          </w:p>
          <w:p w14:paraId="34BF55D4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14556325</w:t>
            </w:r>
          </w:p>
        </w:tc>
      </w:tr>
      <w:tr w14:paraId="2C4F98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88" w:type="dxa"/>
            <w:vAlign w:val="center"/>
          </w:tcPr>
          <w:p w14:paraId="2F8FD4B7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学号</w:t>
            </w:r>
          </w:p>
        </w:tc>
        <w:tc>
          <w:tcPr>
            <w:tcW w:w="2125" w:type="dxa"/>
            <w:vAlign w:val="center"/>
          </w:tcPr>
          <w:p w14:paraId="3BE04B12"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22120908</w:t>
            </w:r>
          </w:p>
        </w:tc>
        <w:tc>
          <w:tcPr>
            <w:tcW w:w="1331" w:type="dxa"/>
            <w:vAlign w:val="center"/>
          </w:tcPr>
          <w:p w14:paraId="26ACBC2B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姓名</w:t>
            </w:r>
          </w:p>
        </w:tc>
        <w:tc>
          <w:tcPr>
            <w:tcW w:w="1832" w:type="dxa"/>
            <w:gridSpan w:val="2"/>
            <w:vAlign w:val="center"/>
          </w:tcPr>
          <w:p w14:paraId="4BBB942A"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韦博泓</w:t>
            </w:r>
          </w:p>
        </w:tc>
        <w:tc>
          <w:tcPr>
            <w:tcW w:w="1429" w:type="dxa"/>
            <w:gridSpan w:val="2"/>
            <w:vAlign w:val="center"/>
          </w:tcPr>
          <w:p w14:paraId="762FE13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教师姓名（教师号）</w:t>
            </w:r>
          </w:p>
        </w:tc>
        <w:tc>
          <w:tcPr>
            <w:tcW w:w="2035" w:type="dxa"/>
            <w:gridSpan w:val="4"/>
            <w:vAlign w:val="center"/>
          </w:tcPr>
          <w:p w14:paraId="461366D1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沈希辰 等</w:t>
            </w:r>
          </w:p>
          <w:p w14:paraId="25E06356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（3</w:t>
            </w:r>
            <w:r>
              <w:rPr>
                <w:rFonts w:ascii="楷体_GB2312" w:eastAsia="楷体_GB2312"/>
                <w:b/>
                <w:bCs/>
                <w:sz w:val="24"/>
                <w:szCs w:val="21"/>
              </w:rPr>
              <w:t>000</w:t>
            </w: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）</w:t>
            </w:r>
          </w:p>
        </w:tc>
      </w:tr>
      <w:tr w14:paraId="103DF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88" w:type="dxa"/>
            <w:vAlign w:val="center"/>
          </w:tcPr>
          <w:p w14:paraId="04894BAC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作品题目</w:t>
            </w:r>
          </w:p>
        </w:tc>
        <w:tc>
          <w:tcPr>
            <w:tcW w:w="8752" w:type="dxa"/>
            <w:gridSpan w:val="10"/>
            <w:vAlign w:val="center"/>
          </w:tcPr>
          <w:p w14:paraId="2228BF42">
            <w:pPr>
              <w:jc w:val="center"/>
              <w:rPr>
                <w:rFonts w:hint="default" w:ascii="楷体_GB2312" w:eastAsia="楷体_GB2312"/>
                <w:b/>
                <w:bCs/>
                <w:sz w:val="24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  <w:lang w:val="en-US" w:eastAsia="zh-CN"/>
              </w:rPr>
              <w:t>游戏音频设计</w:t>
            </w:r>
          </w:p>
        </w:tc>
      </w:tr>
      <w:tr w14:paraId="1AB20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3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0022D7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评价项目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145596F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具体要求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C84F488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最高分</w:t>
            </w:r>
          </w:p>
        </w:tc>
        <w:tc>
          <w:tcPr>
            <w:tcW w:w="3464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 w14:paraId="53A5CCE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评分</w:t>
            </w:r>
          </w:p>
        </w:tc>
      </w:tr>
      <w:tr w14:paraId="32904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3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800120">
            <w:pPr>
              <w:jc w:val="center"/>
              <w:rPr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B80E27">
            <w:pPr>
              <w:jc w:val="center"/>
              <w:rPr>
                <w:b/>
                <w:bCs/>
                <w:sz w:val="24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03CCB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FD1DE41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A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1481F8F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B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 w14:paraId="46EF706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C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B86694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D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44196D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E</w:t>
            </w:r>
          </w:p>
        </w:tc>
      </w:tr>
      <w:tr w14:paraId="5F6AD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2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E90AFF">
            <w:pPr>
              <w:ind w:left="205" w:hanging="205" w:hangingChars="85"/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开发环境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C3D6A52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Unreal Engine 和 Wwise 的安装和整合</w:t>
            </w:r>
          </w:p>
          <w:p w14:paraId="7E57B9F7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GitHub 账户和 Repo 仓库的创建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863710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5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65FB1DE1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6DB61C00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5D0EF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148B13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628344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0-1</w:t>
            </w:r>
          </w:p>
        </w:tc>
      </w:tr>
      <w:tr w14:paraId="69F8D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3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38F157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38F4B3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B44F75C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4FD26CB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56A1C90D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17AADB61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0AEE20C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022969E"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 w14:paraId="1E4A9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8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0B688A9A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音频中间件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61F9CDDD">
            <w:pPr>
              <w:pStyle w:val="14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环境声、物件和脚步声资源的结构层级</w:t>
            </w:r>
          </w:p>
          <w:p w14:paraId="4499F410">
            <w:pPr>
              <w:pStyle w:val="14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Positioning 和 Attenuation 衰减等关键设置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6134D38A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40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42A44B25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33-40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3E3A781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25-32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9DCA4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17-24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3657AB5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9-16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72129BB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0-8</w:t>
            </w:r>
          </w:p>
        </w:tc>
      </w:tr>
      <w:tr w14:paraId="395B3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DDD28A4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186CD9EC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2F0EB02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6" w:space="0"/>
            </w:tcBorders>
            <w:shd w:val="clear" w:color="auto" w:fill="auto"/>
            <w:vAlign w:val="center"/>
          </w:tcPr>
          <w:p w14:paraId="0F746F0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nil"/>
              <w:right w:val="single" w:color="auto" w:sz="6" w:space="0"/>
            </w:tcBorders>
            <w:shd w:val="clear" w:color="auto" w:fill="auto"/>
            <w:vAlign w:val="center"/>
          </w:tcPr>
          <w:p w14:paraId="00D3A44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5251F7A2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2D95D26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67B5827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</w:tr>
      <w:tr w14:paraId="11267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7BBE3E2F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游戏引擎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13EADD9E">
            <w:pPr>
              <w:pStyle w:val="14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空间音频框架的理解和使用</w:t>
            </w:r>
          </w:p>
          <w:p w14:paraId="7D38B659">
            <w:pPr>
              <w:pStyle w:val="14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音频相关功能组件播放声音和效果实现</w:t>
            </w:r>
          </w:p>
          <w:p w14:paraId="4C647E78">
            <w:pPr>
              <w:pStyle w:val="14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材质映射和射线检测等功能的实现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 w14:paraId="4654A2ED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30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7FB3610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25-30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B55E71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19-24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8F510B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13-18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24FE3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7-12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39816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0-6</w:t>
            </w:r>
          </w:p>
        </w:tc>
      </w:tr>
      <w:tr w14:paraId="6F350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77BAD3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46F10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99016B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 w14:paraId="77D82CF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 w14:paraId="3B425B1F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BAE881A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1A85776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2303A2F"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 w14:paraId="14E63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8F2E0E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开发规范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E6BD02">
            <w:pPr>
              <w:pStyle w:val="14"/>
              <w:ind w:firstLine="0" w:firstLineChars="0"/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项目结构、资产命名和层级结构的合理规范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EDBB1C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10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33002A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3E2A692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 w14:paraId="191D0A1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5-6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A186F5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3-4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7440C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0-2</w:t>
            </w:r>
          </w:p>
        </w:tc>
      </w:tr>
      <w:tr w14:paraId="2559D0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488B4B">
            <w:pPr>
              <w:jc w:val="center"/>
              <w:rPr>
                <w:rFonts w:ascii="楷体_GB2312" w:eastAsia="楷体_GB2312"/>
                <w:b/>
                <w:bCs/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1497D0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10B8B0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098A25A3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13D28EB2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0FB90A26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8C71238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812D3F3">
            <w:pPr>
              <w:jc w:val="center"/>
              <w:rPr>
                <w:rFonts w:ascii="楷体_GB2312" w:eastAsia="楷体_GB2312"/>
                <w:b/>
                <w:bCs/>
                <w:sz w:val="18"/>
                <w:szCs w:val="18"/>
              </w:rPr>
            </w:pPr>
          </w:p>
        </w:tc>
      </w:tr>
      <w:tr w14:paraId="0303F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9E5D9D">
            <w:pPr>
              <w:jc w:val="center"/>
              <w:rPr>
                <w:rFonts w:ascii="楷体_GB2312" w:eastAsia="楷体_GB2312"/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整体表现</w:t>
            </w:r>
          </w:p>
        </w:tc>
        <w:tc>
          <w:tcPr>
            <w:tcW w:w="468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7BC1B4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各种声音之间的响度比例，听感舒服</w:t>
            </w:r>
          </w:p>
          <w:p w14:paraId="337A0C5B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参考响度范围 -27 至 -40 LUFS 之间</w:t>
            </w:r>
          </w:p>
        </w:tc>
        <w:tc>
          <w:tcPr>
            <w:tcW w:w="60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C38BB00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10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576AE05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9-10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14:paraId="3A2CD959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7-8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59AF536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5-6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BDF635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3-4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9AFDB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0-2</w:t>
            </w:r>
          </w:p>
        </w:tc>
      </w:tr>
      <w:tr w14:paraId="59490E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AA50A06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87E63AC">
            <w:pPr>
              <w:jc w:val="center"/>
              <w:rPr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C27FA5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37A7C5B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3A57EE98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5A690825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A6A65DC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ED26A69">
            <w:pPr>
              <w:jc w:val="center"/>
              <w:rPr>
                <w:rFonts w:ascii="楷体_GB2312" w:eastAsia="楷体_GB2312"/>
                <w:b/>
                <w:bCs/>
                <w:szCs w:val="21"/>
              </w:rPr>
            </w:pPr>
          </w:p>
        </w:tc>
      </w:tr>
      <w:tr w14:paraId="387E8C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9" w:hRule="atLeast"/>
        </w:trPr>
        <w:tc>
          <w:tcPr>
            <w:tcW w:w="118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BFC083">
            <w:pPr>
              <w:jc w:val="center"/>
              <w:rPr>
                <w:sz w:val="24"/>
                <w:szCs w:val="21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szCs w:val="21"/>
              </w:rPr>
              <w:t>说明文档</w:t>
            </w:r>
          </w:p>
        </w:tc>
        <w:tc>
          <w:tcPr>
            <w:tcW w:w="4680" w:type="dxa"/>
            <w:gridSpan w:val="3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951778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开发过程中各个步骤和环节的简述</w:t>
            </w:r>
          </w:p>
          <w:p w14:paraId="71494F82">
            <w:pPr>
              <w:jc w:val="center"/>
              <w:rPr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>关键步骤提供截图辅助说明</w:t>
            </w:r>
          </w:p>
        </w:tc>
        <w:tc>
          <w:tcPr>
            <w:tcW w:w="60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47C19FA">
            <w:pPr>
              <w:jc w:val="center"/>
              <w:rPr>
                <w:rFonts w:eastAsia="楷体_GB2312"/>
                <w:b/>
                <w:bCs/>
                <w:szCs w:val="21"/>
              </w:rPr>
            </w:pPr>
            <w:r>
              <w:rPr>
                <w:rFonts w:hint="eastAsia" w:eastAsia="楷体_GB2312"/>
                <w:b/>
                <w:bCs/>
                <w:szCs w:val="21"/>
              </w:rPr>
              <w:t>5</w:t>
            </w: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47FD4717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5A9D0AD4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55B5602C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A376D2D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hint="eastAsia" w:eastAsia="楷体_GB2312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B640E1F">
            <w:pPr>
              <w:jc w:val="center"/>
              <w:rPr>
                <w:rFonts w:eastAsia="楷体_GB2312"/>
                <w:b/>
                <w:bCs/>
                <w:sz w:val="18"/>
                <w:szCs w:val="18"/>
              </w:rPr>
            </w:pPr>
            <w:r>
              <w:rPr>
                <w:rFonts w:eastAsia="楷体_GB2312"/>
                <w:b/>
                <w:bCs/>
                <w:sz w:val="18"/>
                <w:szCs w:val="18"/>
              </w:rPr>
              <w:t>0-</w:t>
            </w:r>
            <w:r>
              <w:rPr>
                <w:rFonts w:hint="eastAsia" w:eastAsia="楷体_GB2312"/>
                <w:b/>
                <w:bCs/>
                <w:sz w:val="18"/>
                <w:szCs w:val="18"/>
              </w:rPr>
              <w:t>1</w:t>
            </w:r>
          </w:p>
        </w:tc>
      </w:tr>
      <w:tr w14:paraId="2B4EFF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5" w:hRule="atLeast"/>
        </w:trPr>
        <w:tc>
          <w:tcPr>
            <w:tcW w:w="118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E606BB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468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89D12A5">
            <w:pPr>
              <w:rPr>
                <w:szCs w:val="21"/>
              </w:rPr>
            </w:pPr>
          </w:p>
        </w:tc>
        <w:tc>
          <w:tcPr>
            <w:tcW w:w="60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CE10E3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642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60EA6E3A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98" w:type="dxa"/>
            <w:gridSpan w:val="2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14:paraId="1C938DCD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auto"/>
          </w:tcPr>
          <w:p w14:paraId="63B3A612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DF6EE0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  <w:tc>
          <w:tcPr>
            <w:tcW w:w="5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515AB08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  <w:tr w14:paraId="41FED4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2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0A85C9F">
            <w:pPr>
              <w:jc w:val="center"/>
              <w:rPr>
                <w:rFonts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eastAsia="楷体_GB2312"/>
                <w:b/>
                <w:bCs/>
                <w:sz w:val="24"/>
                <w:szCs w:val="21"/>
              </w:rPr>
              <w:t>总分</w:t>
            </w:r>
          </w:p>
        </w:tc>
        <w:tc>
          <w:tcPr>
            <w:tcW w:w="875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5F60991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6AD9D64A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  <w:tr w14:paraId="6AB2F8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2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1F004A">
            <w:pPr>
              <w:jc w:val="center"/>
              <w:rPr>
                <w:rFonts w:eastAsia="楷体_GB2312"/>
                <w:b/>
                <w:bCs/>
                <w:sz w:val="24"/>
                <w:szCs w:val="21"/>
              </w:rPr>
            </w:pPr>
            <w:r>
              <w:rPr>
                <w:rFonts w:hint="eastAsia" w:eastAsia="楷体_GB2312"/>
                <w:b/>
                <w:bCs/>
                <w:sz w:val="24"/>
                <w:szCs w:val="21"/>
              </w:rPr>
              <w:t>评语</w:t>
            </w:r>
          </w:p>
        </w:tc>
        <w:tc>
          <w:tcPr>
            <w:tcW w:w="875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5B0255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26753C7D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7A9E576E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  <w:p w14:paraId="278D16DE">
            <w:pPr>
              <w:jc w:val="center"/>
              <w:rPr>
                <w:rFonts w:eastAsia="楷体_GB2312"/>
                <w:b/>
                <w:bCs/>
                <w:szCs w:val="21"/>
              </w:rPr>
            </w:pPr>
          </w:p>
        </w:tc>
      </w:tr>
    </w:tbl>
    <w:p w14:paraId="1F16A009">
      <w:pPr>
        <w:spacing w:before="156" w:beforeLines="50"/>
        <w:jc w:val="left"/>
        <w:rPr>
          <w:rFonts w:ascii="黑体" w:hAnsi="宋体" w:eastAsia="黑体"/>
          <w:sz w:val="24"/>
        </w:rPr>
      </w:pPr>
      <w:r>
        <w:rPr>
          <w:rFonts w:ascii="黑体" w:hAnsi="宋体" w:eastAsia="黑体"/>
          <w:sz w:val="24"/>
        </w:rPr>
        <w:br w:type="page"/>
      </w:r>
    </w:p>
    <w:p w14:paraId="40388ABB">
      <w:pPr>
        <w:widowControl/>
        <w:jc w:val="center"/>
        <w:rPr>
          <w:rFonts w:ascii="黑体" w:hAnsi="宋体" w:eastAsia="黑体"/>
          <w:b/>
          <w:bCs/>
          <w:sz w:val="32"/>
          <w:szCs w:val="32"/>
        </w:rPr>
      </w:pPr>
      <w:r>
        <w:rPr>
          <w:rFonts w:hint="eastAsia" w:ascii="黑体" w:hAnsi="宋体" w:eastAsia="黑体"/>
          <w:b/>
          <w:bCs/>
          <w:sz w:val="32"/>
          <w:szCs w:val="32"/>
        </w:rPr>
        <w:t>2024-2025学年春季学期《游戏音频设计》期末作品说明</w:t>
      </w:r>
    </w:p>
    <w:p w14:paraId="5FCD6984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一、篝火声音的制作与引擎整合</w:t>
      </w:r>
    </w:p>
    <w:p w14:paraId="336F4B4A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1. 声音资源导入与分类管理</w:t>
      </w:r>
    </w:p>
    <w:p w14:paraId="21693E4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导入资源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：将篝火相关的声音文件（如火焰燃烧声、木柴爆裂声）直接拖入 YS 的 “act Mixer” 层级，默认存放于 “sfx” 目录，可通过创建 “Work Unit”（如 “Ambience”“Object”）分类管理，便于多人协作开发（版本控制中独立检出）。</w:t>
      </w:r>
    </w:p>
    <w:p w14:paraId="0854B88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组织声音资产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：将 7 个随机的木柴爆裂声放入 “Random Container”（命名为 “campfire crack”），通过按住 Shift 多选文件快速创建容器；将火焰燃烧声（Loop 类型）和另一组声音分别放入对应的容器，最终将三层声音（Loop、Crack、Seesaw）放入 “Blend Container” 统一管理。</w:t>
      </w:r>
    </w:p>
    <w:p w14:paraId="5C106784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 声音参数设置与循环逻辑</w:t>
      </w:r>
    </w:p>
    <w:p w14:paraId="1949A65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循环设置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：Loop 类型声音需在参数中启用 “Loop” 选项，确保无限循环；Random Container 中的爆裂声需设置 “Play Type” 为 “INFINITE”，通过 “Trigger Rate” 控制触发频率（如基础间隔 5 秒，随机偏移 ±2 秒，避免声音重叠）。</w:t>
      </w:r>
    </w:p>
    <w:p w14:paraId="2B09B42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音量与效果调整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 “General” 参数中通过 “增益” 调整各层声音的响度，可结合音调、低切高切等参数优化听感。</w:t>
      </w:r>
    </w:p>
    <w:p w14:paraId="554CDF9A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3. 创建 Event 并导出至引擎</w:t>
      </w:r>
    </w:p>
    <w:p w14:paraId="1F84BCD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生成 Event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：选中包含完整逻辑的 Blend Container，右键创建 “Play Event”，命名为 “篝火的声音”。在 YS 中生成 Sound Bank 后，切换至 UE 引擎，通过 “Reconcile” 同步 Event，确保引擎识别新创建的声音资产。</w:t>
      </w:r>
    </w:p>
    <w:p w14:paraId="6A6CF8E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场景中播放设置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：直接将 Event 拖入场景，使用 “AK Ambience Sound” 组件，勾选 “Auto Play” 确保游戏启动时自动播放；关闭 “Obstruction &amp; Occlusion”（遮挡检测），后续通过 YS 的空间音频框架实现声音传播效果。</w:t>
      </w:r>
    </w:p>
    <w:p w14:paraId="37716E06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4. 空间音频效果实现（Special Audio 框架）</w:t>
      </w:r>
    </w:p>
    <w:p w14:paraId="1767002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定义空间区域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 UE 中使用 “AK Special Audio Volume” 绘制室外（如 “Room Base”）和室内（如 “Room Int”）空间，通过调整 “Priority” 确保内层空间优先级高于外层（如室内设为 1，室外默认 0）。使用 “Acoustic Portal” 连接空间（如门窗），通过开关状态动态控制声音传播。</w:t>
      </w:r>
    </w:p>
    <w:p w14:paraId="68DD71D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声音 3D 化与衰减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 YS 中为篝火声音启用 “3D Positioning”，设置衰减曲线（如 10 米范围内声音衰减，距离越远高频成分逐渐削弱），通过 “Defraction” 和 “Transmission” 参数处理障碍物对声音的影响。</w:t>
      </w:r>
    </w:p>
    <w:p w14:paraId="67C2E64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084195" cy="2205990"/>
            <wp:effectExtent l="0" t="0" r="1905" b="3810"/>
            <wp:docPr id="1" name="图片 1" descr="屏幕截图 2025-05-14 13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14 1348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5DA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 w14:paraId="7054D64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混响配置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 YS 的 “Master Audio Bus” 下创建辅助通道（Auxiliary Bus），添加混响效果器（如 “Cathedral” 预设），在 UE 中为室内空间的 “Late Reverb” 组件映射该混响通道，确保进入室内时声音带有混响效果（需在声音资产的 “Routing” 中启用 “Game Defined Override”）。</w:t>
      </w:r>
    </w:p>
    <w:p w14:paraId="5E524C0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二、脚步声的制作与材质检测逻辑</w:t>
      </w:r>
    </w:p>
    <w:p w14:paraId="3154CDA2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1. 声音资产组织与 Switch Group 创建</w:t>
      </w:r>
    </w:p>
    <w:p w14:paraId="4FB4A4C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分类管理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：创建 “Player” 工作单元，按鞋型（如 “High Heel”“SNEAKER”）和地面材质（如 “Dirt”“Grass”）分类，将不同动作（如 “Run”）的声音文件放入对应的 Random Container。</w:t>
      </w:r>
    </w:p>
    <w:p w14:paraId="0388B8B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Switch Group 设计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：创建 “Shoe Type” 和 “Material” 两个 Switch Group，前者管理鞋型（如 “High Heel”“SNEAKER”），后者管理地面材质（如 “Dirt”“Grass”“Rock”“Wood”），通过 “Switch Container” 层级映射，确保引擎传递的参数能正确触发对应声音。</w:t>
      </w:r>
    </w:p>
    <w:p w14:paraId="4A4F7FC0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 动画 Notify 与射线检测实现</w:t>
      </w:r>
    </w:p>
    <w:p w14:paraId="3F4E377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动画关联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 UE 动画编辑器中，为跑步动画（如 “MF_Run Forward”）添加 “Animation Notify AK Event”，指定播放脚步声 Event。通过复制 Notify 节点匹配动画循环节奏。</w:t>
      </w:r>
    </w:p>
    <w:p w14:paraId="7250045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材质检测逻辑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：在蓝图中使用 “Line Trace by Channel” 射线检测地面材质，获取物理材质的 “Surface Type”（如 Dirt、Grass）。根据检测结果设置 Switch 值（如检测到 Dirt 则设置 “Material” 为 Dirt），确保 YS 按材质触发对应声音。</w:t>
      </w:r>
    </w:p>
    <w:p w14:paraId="5F480F9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117215" cy="2226310"/>
            <wp:effectExtent l="0" t="0" r="6985" b="8890"/>
            <wp:docPr id="2" name="图片 2" descr="屏幕截图 2025-05-14 13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14 1351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525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3. 物理材质与表面类型配置</w:t>
      </w:r>
    </w:p>
    <w:p w14:paraId="5FAF0B9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定义 Surface Type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：在 UE 的 Project Setting 中添加物理表面类型（如 Dirt、Grass），创建对应的物理材质（Physic Material），并在材质编辑器中为模型指定物理材质（如地面模型使用 Dirt 材质）。</w:t>
      </w:r>
    </w:p>
    <w:p w14:paraId="3945E1E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1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射线检测优化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：通过角色脚部 Socket（如 “Foot L”“Foot R”）确定射线起点，向下发射射线检测地面，确保检测范围和精度符合实际需求（如起点高于脚部 10 单位，避免误检测）。</w:t>
      </w:r>
    </w:p>
    <w:p w14:paraId="68B873B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765550" cy="2649220"/>
            <wp:effectExtent l="0" t="0" r="6350" b="5080"/>
            <wp:docPr id="3" name="图片 3" descr="屏幕截图 2025-05-14 1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14 1351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1F3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 w14:paraId="481BB30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688080" cy="2255520"/>
            <wp:effectExtent l="0" t="0" r="7620" b="5080"/>
            <wp:docPr id="4" name="图片 4" descr="屏幕截图 2025-05-14 21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5-14 2157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513EA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3681730" cy="2225040"/>
            <wp:effectExtent l="0" t="0" r="1270" b="10160"/>
            <wp:docPr id="5" name="图片 5" descr="屏幕截图 2025-05-14 21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5-14 2157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8B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附：课程建议</w:t>
      </w:r>
    </w:p>
    <w:p w14:paraId="5C2BFBFB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增加案例分析与互动：每个章节后融入经典游戏音频案例（如《塞尔达传说》环境音设计、《使命召唤》枪声特效），通过小组讨论分析设计思路，加深理解。</w:t>
      </w:r>
    </w:p>
    <w:p w14:paraId="15720146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强化前沿内容：扩展游戏音频与 AI模块，增加AI生成音效、智能动态音乐系统等实践演示，引入最新工具的教学。</w:t>
      </w:r>
    </w:p>
    <w:p w14:paraId="0AB2BDE9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ind w:left="0" w:firstLine="0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3.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补充实用主题：添加跨平台音频优化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用户体验测试等内容，讲解不同平台（PC、主机、移动端）的音频适配策略与玩家反馈收集方法。</w:t>
      </w:r>
    </w:p>
    <w:p w14:paraId="6FE7BB58">
      <w:pPr>
        <w:spacing w:before="156" w:beforeLines="50"/>
        <w:jc w:val="left"/>
        <w:rPr>
          <w:rFonts w:ascii="黑体" w:hAnsi="宋体" w:eastAsia="黑体"/>
          <w:sz w:val="24"/>
        </w:rPr>
      </w:pPr>
    </w:p>
    <w:sectPr>
      <w:pgSz w:w="11906" w:h="16838"/>
      <w:pgMar w:top="851" w:right="1797" w:bottom="1134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oots Regular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944"/>
    <w:rsid w:val="00041F96"/>
    <w:rsid w:val="00052646"/>
    <w:rsid w:val="00095202"/>
    <w:rsid w:val="000A184C"/>
    <w:rsid w:val="000C19CE"/>
    <w:rsid w:val="000E2F50"/>
    <w:rsid w:val="0010593A"/>
    <w:rsid w:val="00110C58"/>
    <w:rsid w:val="001316D7"/>
    <w:rsid w:val="001355EA"/>
    <w:rsid w:val="00195E78"/>
    <w:rsid w:val="001A0AC3"/>
    <w:rsid w:val="001F40B6"/>
    <w:rsid w:val="00224A73"/>
    <w:rsid w:val="00264DC5"/>
    <w:rsid w:val="0028642F"/>
    <w:rsid w:val="002B4A4A"/>
    <w:rsid w:val="00310185"/>
    <w:rsid w:val="00361B85"/>
    <w:rsid w:val="0036458D"/>
    <w:rsid w:val="003C0292"/>
    <w:rsid w:val="003C42B1"/>
    <w:rsid w:val="003D2194"/>
    <w:rsid w:val="0042701E"/>
    <w:rsid w:val="004916B6"/>
    <w:rsid w:val="004A4391"/>
    <w:rsid w:val="004B1944"/>
    <w:rsid w:val="004F0F68"/>
    <w:rsid w:val="004F6063"/>
    <w:rsid w:val="0050225A"/>
    <w:rsid w:val="00505AF7"/>
    <w:rsid w:val="0053208D"/>
    <w:rsid w:val="00534A8D"/>
    <w:rsid w:val="005A6FB5"/>
    <w:rsid w:val="00625658"/>
    <w:rsid w:val="006810BE"/>
    <w:rsid w:val="006D6F41"/>
    <w:rsid w:val="006E3A6E"/>
    <w:rsid w:val="006F6D27"/>
    <w:rsid w:val="007006B8"/>
    <w:rsid w:val="00715C05"/>
    <w:rsid w:val="00763EDF"/>
    <w:rsid w:val="0079540A"/>
    <w:rsid w:val="00815FE0"/>
    <w:rsid w:val="00844561"/>
    <w:rsid w:val="0085265C"/>
    <w:rsid w:val="008E6ACD"/>
    <w:rsid w:val="00916DDE"/>
    <w:rsid w:val="00945A05"/>
    <w:rsid w:val="00964941"/>
    <w:rsid w:val="009C03BE"/>
    <w:rsid w:val="009C2952"/>
    <w:rsid w:val="009F5129"/>
    <w:rsid w:val="00A32109"/>
    <w:rsid w:val="00A44247"/>
    <w:rsid w:val="00A477ED"/>
    <w:rsid w:val="00A6304A"/>
    <w:rsid w:val="00A63215"/>
    <w:rsid w:val="00A85A84"/>
    <w:rsid w:val="00AB58BC"/>
    <w:rsid w:val="00B027B7"/>
    <w:rsid w:val="00B03BB8"/>
    <w:rsid w:val="00B276D2"/>
    <w:rsid w:val="00B6787A"/>
    <w:rsid w:val="00B8418C"/>
    <w:rsid w:val="00BA548F"/>
    <w:rsid w:val="00BC6FA0"/>
    <w:rsid w:val="00C21742"/>
    <w:rsid w:val="00C34A5D"/>
    <w:rsid w:val="00C36F61"/>
    <w:rsid w:val="00C3793C"/>
    <w:rsid w:val="00C66384"/>
    <w:rsid w:val="00C90A22"/>
    <w:rsid w:val="00C97EBD"/>
    <w:rsid w:val="00CC61C6"/>
    <w:rsid w:val="00CF4891"/>
    <w:rsid w:val="00D41858"/>
    <w:rsid w:val="00D46321"/>
    <w:rsid w:val="00D53252"/>
    <w:rsid w:val="00D63448"/>
    <w:rsid w:val="00D820ED"/>
    <w:rsid w:val="00DD7ED3"/>
    <w:rsid w:val="00E64DD6"/>
    <w:rsid w:val="00E659ED"/>
    <w:rsid w:val="00EA6B73"/>
    <w:rsid w:val="00ED76E2"/>
    <w:rsid w:val="00F91BBF"/>
    <w:rsid w:val="00FA6CE0"/>
    <w:rsid w:val="145D3C9F"/>
    <w:rsid w:val="4A4E6A63"/>
    <w:rsid w:val="6CAD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0" w:name="heading 4"/>
    <w:lsdException w:qFormat="1" w:uiPriority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autoSpaceDE w:val="0"/>
      <w:autoSpaceDN w:val="0"/>
      <w:adjustRightInd w:val="0"/>
      <w:spacing w:line="720" w:lineRule="auto"/>
      <w:outlineLvl w:val="0"/>
    </w:pPr>
    <w:rPr>
      <w:rFonts w:eastAsia="黑体"/>
      <w:b/>
      <w:bCs/>
      <w:sz w:val="28"/>
    </w:rPr>
  </w:style>
  <w:style w:type="paragraph" w:styleId="3">
    <w:name w:val="heading 2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snapToGrid w:val="0"/>
      <w:spacing w:line="312" w:lineRule="auto"/>
    </w:pPr>
    <w:rPr>
      <w:sz w:val="20"/>
      <w:szCs w:val="20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Strong"/>
    <w:basedOn w:val="10"/>
    <w:qFormat/>
    <w:uiPriority w:val="0"/>
    <w:rPr>
      <w:b/>
    </w:rPr>
  </w:style>
  <w:style w:type="character" w:customStyle="1" w:styleId="12">
    <w:name w:val="标题 1 字符"/>
    <w:basedOn w:val="10"/>
    <w:link w:val="2"/>
    <w:qFormat/>
    <w:uiPriority w:val="0"/>
    <w:rPr>
      <w:rFonts w:ascii="Times New Roman" w:hAnsi="Times New Roman" w:eastAsia="黑体" w:cs="Times New Roman"/>
      <w:b/>
      <w:bCs/>
      <w:sz w:val="28"/>
      <w:szCs w:val="24"/>
    </w:rPr>
  </w:style>
  <w:style w:type="character" w:customStyle="1" w:styleId="13">
    <w:name w:val="标题 2 字符"/>
    <w:basedOn w:val="10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paragraph" w:customStyle="1" w:styleId="14">
    <w:name w:val="List Paragraph1"/>
    <w:basedOn w:val="1"/>
    <w:qFormat/>
    <w:uiPriority w:val="0"/>
    <w:pPr>
      <w:ind w:firstLine="420" w:firstLineChars="200"/>
    </w:pPr>
  </w:style>
  <w:style w:type="character" w:customStyle="1" w:styleId="15">
    <w:name w:val="页眉 字符"/>
    <w:basedOn w:val="10"/>
    <w:link w:val="8"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页脚 字符"/>
    <w:basedOn w:val="10"/>
    <w:link w:val="7"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75F93-C4DA-40CE-BD36-767C101669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366</Words>
  <Characters>504</Characters>
  <Lines>4</Lines>
  <Paragraphs>1</Paragraphs>
  <TotalTime>5</TotalTime>
  <ScaleCrop>false</ScaleCrop>
  <LinksUpToDate>false</LinksUpToDate>
  <CharactersWithSpaces>526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2025-05-08T00:27:00Z</dcterms:created>
  <dc:creator>Dell XPS</dc:creator>
  <cp:lastModifiedBy>韦伟</cp:lastModifiedBy>
  <dcterms:modified xsi:type="dcterms:W3CDTF">2025-05-14T14:01:10Z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eyJoZGlkIjoiYTE4OTZmYWY2N2JhNDhkMWNhNjYwZWQyNDdkNWU5YzEiLCJ1c2VySWQiOiIzMTg2NjA5MjYifQ==</vt:lpwstr>
  </property>
  <property fmtid="{D5CDD505-2E9C-101B-9397-08002B2CF9AE}" pid="4" name="ICV">
    <vt:lpwstr>6A1E08DE776E49E494FD88C4F2F691BC_13</vt:lpwstr>
  </property>
</Properties>
</file>