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731" w:rsidRDefault="001F71D9" w:rsidP="001F71D9">
      <w:pPr>
        <w:jc w:val="center"/>
        <w:rPr>
          <w:rFonts w:ascii="Bookman Old Style" w:hAnsi="Bookman Old Style"/>
          <w:b/>
          <w:sz w:val="24"/>
          <w:szCs w:val="24"/>
        </w:rPr>
      </w:pPr>
      <w:r w:rsidRPr="001F71D9">
        <w:rPr>
          <w:rFonts w:ascii="Bookman Old Style" w:hAnsi="Bookman Old Style"/>
          <w:b/>
          <w:sz w:val="24"/>
          <w:szCs w:val="24"/>
        </w:rPr>
        <w:t>Bike Sales Dashboard Analysis Report</w:t>
      </w:r>
    </w:p>
    <w:p w:rsidR="001F71D9" w:rsidRDefault="0071155E" w:rsidP="001F71D9">
      <w:pPr>
        <w:rPr>
          <w:rFonts w:ascii="Bookman Old Style" w:hAnsi="Bookman Old Style"/>
          <w:b/>
          <w:sz w:val="24"/>
          <w:szCs w:val="24"/>
        </w:rPr>
      </w:pPr>
      <w:r w:rsidRPr="0071155E">
        <w:rPr>
          <w:rFonts w:ascii="Bookman Old Style" w:hAnsi="Bookman Old Style"/>
          <w:b/>
          <w:sz w:val="24"/>
          <w:szCs w:val="24"/>
        </w:rPr>
        <w:t>Overview</w:t>
      </w:r>
    </w:p>
    <w:p w:rsidR="0071155E" w:rsidRDefault="0071155E" w:rsidP="001F71D9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This dataset tracks sales performance across regions and other components. The analysis aims to identify the average income, age range and commute distance.</w:t>
      </w:r>
    </w:p>
    <w:p w:rsidR="0071155E" w:rsidRDefault="0071155E" w:rsidP="001F71D9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primary goal is to identify the demographic of people that contributed to their sales income.</w:t>
      </w:r>
    </w:p>
    <w:p w:rsidR="0071155E" w:rsidRDefault="0071155E" w:rsidP="001F71D9">
      <w:pPr>
        <w:rPr>
          <w:rFonts w:ascii="Bookman Old Style" w:hAnsi="Bookman Old Style"/>
          <w:sz w:val="24"/>
          <w:szCs w:val="24"/>
        </w:rPr>
      </w:pPr>
    </w:p>
    <w:p w:rsidR="0071155E" w:rsidRDefault="0071155E" w:rsidP="001F71D9">
      <w:pPr>
        <w:rPr>
          <w:rFonts w:ascii="Bookman Old Style" w:hAnsi="Bookman Old Style"/>
          <w:b/>
          <w:sz w:val="24"/>
          <w:szCs w:val="24"/>
        </w:rPr>
      </w:pPr>
      <w:r w:rsidRPr="0071155E">
        <w:rPr>
          <w:rFonts w:ascii="Bookman Old Style" w:hAnsi="Bookman Old Style"/>
          <w:b/>
          <w:sz w:val="24"/>
          <w:szCs w:val="24"/>
        </w:rPr>
        <w:t>Key Insight</w:t>
      </w:r>
    </w:p>
    <w:p w:rsidR="0071155E" w:rsidRDefault="003254BB" w:rsidP="003254B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overall income of the male gender that purchased bikes is 7.2% higher than that of the female, making them the highest earning gender.</w:t>
      </w:r>
    </w:p>
    <w:p w:rsidR="003254BB" w:rsidRDefault="00E455CD" w:rsidP="003254B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The </w:t>
      </w:r>
      <w:r w:rsidRPr="00563914">
        <w:rPr>
          <w:rFonts w:ascii="Bookman Old Style" w:hAnsi="Bookman Old Style"/>
          <w:b/>
          <w:sz w:val="24"/>
          <w:szCs w:val="24"/>
        </w:rPr>
        <w:t>“Middle Aged”</w:t>
      </w:r>
      <w:r>
        <w:rPr>
          <w:rFonts w:ascii="Bookman Old Style" w:hAnsi="Bookman Old Style"/>
          <w:sz w:val="24"/>
          <w:szCs w:val="24"/>
        </w:rPr>
        <w:t xml:space="preserve"> (between </w:t>
      </w:r>
      <w:r w:rsidR="00675BF3">
        <w:rPr>
          <w:rFonts w:ascii="Bookman Old Style" w:hAnsi="Bookman Old Style"/>
          <w:sz w:val="24"/>
          <w:szCs w:val="24"/>
        </w:rPr>
        <w:t>30 &amp; 54</w:t>
      </w:r>
      <w:r>
        <w:rPr>
          <w:rFonts w:ascii="Bookman Old Style" w:hAnsi="Bookman Old Style"/>
          <w:sz w:val="24"/>
          <w:szCs w:val="24"/>
        </w:rPr>
        <w:t xml:space="preserve">) constitute the age range </w:t>
      </w:r>
      <w:r w:rsidR="00995BFE">
        <w:rPr>
          <w:rFonts w:ascii="Bookman Old Style" w:hAnsi="Bookman Old Style"/>
          <w:sz w:val="24"/>
          <w:szCs w:val="24"/>
        </w:rPr>
        <w:t xml:space="preserve">with the most </w:t>
      </w:r>
      <w:r>
        <w:rPr>
          <w:rFonts w:ascii="Bookman Old Style" w:hAnsi="Bookman Old Style"/>
          <w:sz w:val="24"/>
          <w:szCs w:val="24"/>
        </w:rPr>
        <w:t xml:space="preserve">purchased bikes. They are totaling 372. This is followed by the </w:t>
      </w:r>
      <w:r w:rsidRPr="00563914">
        <w:rPr>
          <w:rFonts w:ascii="Bookman Old Style" w:hAnsi="Bookman Old Style"/>
          <w:b/>
          <w:sz w:val="24"/>
          <w:szCs w:val="24"/>
        </w:rPr>
        <w:t>“Old”</w:t>
      </w:r>
      <w:r w:rsidR="00675BF3">
        <w:rPr>
          <w:rFonts w:ascii="Bookman Old Style" w:hAnsi="Bookman Old Style"/>
          <w:b/>
          <w:sz w:val="24"/>
          <w:szCs w:val="24"/>
        </w:rPr>
        <w:t xml:space="preserve"> </w:t>
      </w:r>
      <w:r w:rsidR="00675BF3" w:rsidRPr="00675BF3">
        <w:rPr>
          <w:rFonts w:ascii="Bookman Old Style" w:hAnsi="Bookman Old Style"/>
          <w:sz w:val="24"/>
          <w:szCs w:val="24"/>
        </w:rPr>
        <w:t>(</w:t>
      </w:r>
      <w:r w:rsidR="00675BF3">
        <w:rPr>
          <w:rFonts w:ascii="Bookman Old Style" w:hAnsi="Bookman Old Style"/>
          <w:sz w:val="24"/>
          <w:szCs w:val="24"/>
        </w:rPr>
        <w:t>54 upward</w:t>
      </w:r>
      <w:r w:rsidR="00675BF3" w:rsidRPr="00675BF3">
        <w:rPr>
          <w:rFonts w:ascii="Bookman Old Style" w:hAnsi="Bookman Old Style"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 xml:space="preserve"> of 70 and the </w:t>
      </w:r>
      <w:r w:rsidRPr="00563914">
        <w:rPr>
          <w:rFonts w:ascii="Bookman Old Style" w:hAnsi="Bookman Old Style"/>
          <w:b/>
          <w:sz w:val="24"/>
          <w:szCs w:val="24"/>
        </w:rPr>
        <w:t>“Adolescent”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675BF3">
        <w:rPr>
          <w:rFonts w:ascii="Bookman Old Style" w:hAnsi="Bookman Old Style"/>
          <w:sz w:val="24"/>
          <w:szCs w:val="24"/>
        </w:rPr>
        <w:t xml:space="preserve">(30 downward) </w:t>
      </w:r>
      <w:r>
        <w:rPr>
          <w:rFonts w:ascii="Bookman Old Style" w:hAnsi="Bookman Old Style"/>
          <w:sz w:val="24"/>
          <w:szCs w:val="24"/>
        </w:rPr>
        <w:t>of 39.</w:t>
      </w:r>
    </w:p>
    <w:p w:rsidR="00CD186B" w:rsidRDefault="002B7B72" w:rsidP="002B7B72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2B7B72">
        <w:rPr>
          <w:rFonts w:ascii="Bookman Old Style" w:hAnsi="Bookman Old Style"/>
          <w:sz w:val="24"/>
          <w:szCs w:val="24"/>
        </w:rPr>
        <w:t>The data shows a cl</w:t>
      </w:r>
      <w:bookmarkStart w:id="0" w:name="_GoBack"/>
      <w:bookmarkEnd w:id="0"/>
      <w:r w:rsidRPr="002B7B72">
        <w:rPr>
          <w:rFonts w:ascii="Bookman Old Style" w:hAnsi="Bookman Old Style"/>
          <w:sz w:val="24"/>
          <w:szCs w:val="24"/>
        </w:rPr>
        <w:t>ear relationship between commute dista</w:t>
      </w:r>
      <w:r>
        <w:rPr>
          <w:rFonts w:ascii="Bookman Old Style" w:hAnsi="Bookman Old Style"/>
          <w:sz w:val="24"/>
          <w:szCs w:val="24"/>
        </w:rPr>
        <w:t>nce and bike purchase behavior. A</w:t>
      </w:r>
      <w:r w:rsidRPr="002B7B72">
        <w:rPr>
          <w:rFonts w:ascii="Bookman Old Style" w:hAnsi="Bookman Old Style"/>
          <w:sz w:val="24"/>
          <w:szCs w:val="24"/>
        </w:rPr>
        <w:t>s distance increases, customers are more likely to purchase bikes. However, extremely long commutes may discourage both groups, possibly due to physical limits or reliance on other transport options.</w:t>
      </w:r>
    </w:p>
    <w:p w:rsidR="00CA6D8F" w:rsidRDefault="00CA6D8F" w:rsidP="00CA6D8F">
      <w:pPr>
        <w:rPr>
          <w:rFonts w:ascii="Bookman Old Style" w:hAnsi="Bookman Old Style"/>
          <w:b/>
          <w:sz w:val="24"/>
          <w:szCs w:val="24"/>
        </w:rPr>
      </w:pPr>
      <w:r w:rsidRPr="00CA6D8F">
        <w:rPr>
          <w:rFonts w:ascii="Bookman Old Style" w:hAnsi="Bookman Old Style"/>
          <w:b/>
          <w:sz w:val="24"/>
          <w:szCs w:val="24"/>
        </w:rPr>
        <w:t>Implications</w:t>
      </w:r>
    </w:p>
    <w:p w:rsidR="00CA6D8F" w:rsidRDefault="00CA6D8F" w:rsidP="00CA6D8F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Commute </w:t>
      </w:r>
      <w:r w:rsidR="00FA66F5">
        <w:rPr>
          <w:rFonts w:ascii="Bookman Old Style" w:hAnsi="Bookman Old Style"/>
          <w:sz w:val="24"/>
          <w:szCs w:val="24"/>
        </w:rPr>
        <w:t>Distance Strongly Influences Bike Purchase</w:t>
      </w:r>
      <w:r w:rsidR="000D7B51">
        <w:rPr>
          <w:rFonts w:ascii="Bookman Old Style" w:hAnsi="Bookman Old Style"/>
          <w:sz w:val="24"/>
          <w:szCs w:val="24"/>
        </w:rPr>
        <w:t>: The bike is seen as a practical solution for a medium-distance commuting, meaning marketing efforts should prioritize customers who travel several miles daily.</w:t>
      </w:r>
    </w:p>
    <w:p w:rsidR="00FA66F5" w:rsidRDefault="000D7B51" w:rsidP="00CA6D8F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Middle Aged Customers Drive Most Purchases: The middle aged has the highest count compared to other customer. This group most likely has the physical ability, income stability, and commuting patterns that align with bike ownership.</w:t>
      </w:r>
    </w:p>
    <w:p w:rsidR="00FA66F5" w:rsidRDefault="00FA66F5" w:rsidP="00FA66F5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Gender Comparison Show No Major Gap: The gender chart shows both male and female purchasing at relatively similar levels. This means the interest in balanced and does not need gender-specific campaigns but can maintain universal messaging.</w:t>
      </w:r>
    </w:p>
    <w:p w:rsidR="004B5DC9" w:rsidRDefault="004B5DC9" w:rsidP="004B5DC9">
      <w:pPr>
        <w:rPr>
          <w:rFonts w:ascii="Bookman Old Style" w:hAnsi="Bookman Old Style"/>
          <w:b/>
          <w:sz w:val="24"/>
          <w:szCs w:val="24"/>
        </w:rPr>
      </w:pPr>
      <w:r w:rsidRPr="004B5DC9">
        <w:rPr>
          <w:rFonts w:ascii="Bookman Old Style" w:hAnsi="Bookman Old Style"/>
          <w:b/>
          <w:sz w:val="24"/>
          <w:szCs w:val="24"/>
        </w:rPr>
        <w:t>Recommendation</w:t>
      </w:r>
    </w:p>
    <w:p w:rsidR="004B5DC9" w:rsidRDefault="004B5DC9" w:rsidP="004B5DC9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Target customers commuting 3-10 miles with campaigns highlighting time savings, fitness benefits, and cost-effective transportation.</w:t>
      </w:r>
    </w:p>
    <w:p w:rsidR="004B5DC9" w:rsidRDefault="004B5DC9" w:rsidP="004B5DC9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Design marketing messages around health, convenience, and work commuting benefits for the middle-age demographic. Provide flexible payment or upgrade options to encourage repeat purchases.</w:t>
      </w:r>
    </w:p>
    <w:p w:rsidR="004B5DC9" w:rsidRDefault="004B5DC9" w:rsidP="004B5DC9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Use neutral marketing campaigns that appeal to all genders. Avoid over-targeting one group since both segments are equally valuable.</w:t>
      </w:r>
    </w:p>
    <w:p w:rsidR="004B5DC9" w:rsidRDefault="004B5DC9" w:rsidP="004B5DC9">
      <w:pPr>
        <w:rPr>
          <w:rFonts w:ascii="Bookman Old Style" w:hAnsi="Bookman Old Style"/>
          <w:b/>
          <w:sz w:val="24"/>
          <w:szCs w:val="24"/>
        </w:rPr>
      </w:pPr>
      <w:r w:rsidRPr="004B5DC9">
        <w:rPr>
          <w:rFonts w:ascii="Bookman Old Style" w:hAnsi="Bookman Old Style"/>
          <w:b/>
          <w:sz w:val="24"/>
          <w:szCs w:val="24"/>
        </w:rPr>
        <w:t>Summary</w:t>
      </w:r>
    </w:p>
    <w:p w:rsidR="004B5DC9" w:rsidRDefault="00F06241" w:rsidP="004B5DC9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data reveals the strongest predicators of bike purchase behavior are commute distance, age group and income level. Customer commuting medium distance, middle-aged professionals, and higher income earners represent the highest potential market segments. Gender and education have minimal influence, while regional and lifestyle factors shape motivations.</w:t>
      </w:r>
    </w:p>
    <w:p w:rsidR="00F06241" w:rsidRPr="00F06241" w:rsidRDefault="00F06241" w:rsidP="004B5DC9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To maximize sales, strategies should focus on targeted marketing, flexible pricing, commuter-focused product bundles, and regional tailored campaigns.</w:t>
      </w:r>
    </w:p>
    <w:sectPr w:rsidR="00F06241" w:rsidRPr="00F06241" w:rsidSect="001F71D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786D92"/>
    <w:multiLevelType w:val="hybridMultilevel"/>
    <w:tmpl w:val="987C4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B3F7E"/>
    <w:multiLevelType w:val="hybridMultilevel"/>
    <w:tmpl w:val="C6100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8100C"/>
    <w:multiLevelType w:val="hybridMultilevel"/>
    <w:tmpl w:val="6E10E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6D9"/>
    <w:rsid w:val="000D7B51"/>
    <w:rsid w:val="0017621E"/>
    <w:rsid w:val="001F71D9"/>
    <w:rsid w:val="00256D24"/>
    <w:rsid w:val="002B7B72"/>
    <w:rsid w:val="003254BB"/>
    <w:rsid w:val="004B5DC9"/>
    <w:rsid w:val="00563914"/>
    <w:rsid w:val="00675BF3"/>
    <w:rsid w:val="0067759D"/>
    <w:rsid w:val="00683079"/>
    <w:rsid w:val="0071155E"/>
    <w:rsid w:val="008526D9"/>
    <w:rsid w:val="00995BFE"/>
    <w:rsid w:val="00CA6D8F"/>
    <w:rsid w:val="00CD186B"/>
    <w:rsid w:val="00E455CD"/>
    <w:rsid w:val="00F06241"/>
    <w:rsid w:val="00FA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AE2EC-2DB7-4C5B-9CC1-5B0A9363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2025-11-11T20:34:00Z</dcterms:created>
  <dcterms:modified xsi:type="dcterms:W3CDTF">2025-11-15T15:57:00Z</dcterms:modified>
</cp:coreProperties>
</file>