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289"/>
        <w:gridCol w:w="35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ПАСПОРТ</w:t>
            </w:r>
          </w:p>
        </w:tc>
        <w:tc>
          <w:tcPr>
            <w:tcW w:w="28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МАХЛИЁ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ПАСПОРТ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Фрунзенский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52"/>
        <w:gridCol w:w="29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29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2025-09-19T16:55:19Z</dcterms:modified>
  <dc:creator/>
  <dc:description/>
  <dc:identifier/>
  <dc:language/>
  <dc:subject/>
</cp:coreProperties>
</file>