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/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/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/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/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 , выдан  , срок действия до , выдан 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 выдан  , сроком действия до , орган выдачи 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