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Ж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Х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4F6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8EC0" w14:textId="69734B26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DB7" w14:textId="0C1A5674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BD7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1E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C6D2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11F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35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