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Spectrum Coordination Report</w:t>
      </w:r>
    </w:p>
    <w:p>
      <w:r>
        <w:rPr>
          <w:b w:val="false"/>
          <w:bCs w:val="false"/>
        </w:rPr>
        <w:t xml:space="preserve">This report summarizes </w:t>
      </w:r>
      <w:r>
        <w:rPr>
          <w:b/>
          <w:bCs/>
        </w:rPr>
        <w:t xml:space="preserve">GSO/NGSO coordination</w:t>
      </w:r>
      <w:r>
        <w:t xml:space="preserve"> activity for Q2 2026.</w:t>
      </w:r>
    </w:p>
    <w:p>
      <w:r>
        <w:t xml:space="preserve">Key findings include increased filing volume and reduced interference disputes.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Total filings</w:t>
            </w:r>
          </w:p>
        </w:tc>
        <w:tc>
          <w:p>
            <w:r>
              <w:t xml:space="preserve">482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2026-06-23T09:45:10.341Z</dcterms:created>
  <dcterms:modified xsi:type="dcterms:W3CDTF">2026-06-23T09:45:10.341Z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