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B3F" w:rsidRDefault="00AE1B3F" w:rsidP="00AE1B3F">
      <w:pPr>
        <w:spacing w:line="480" w:lineRule="auto"/>
        <w:jc w:val="center"/>
        <w:rPr>
          <w:sz w:val="28"/>
        </w:rPr>
      </w:pPr>
      <w:r w:rsidRPr="00AE1B3F">
        <w:rPr>
          <w:b/>
          <w:sz w:val="28"/>
        </w:rPr>
        <w:t xml:space="preserve">Tolerance of </w:t>
      </w:r>
      <w:r w:rsidR="00456ACF">
        <w:rPr>
          <w:b/>
          <w:sz w:val="28"/>
        </w:rPr>
        <w:t xml:space="preserve">US </w:t>
      </w:r>
      <w:r w:rsidRPr="00AE1B3F">
        <w:rPr>
          <w:b/>
          <w:sz w:val="28"/>
        </w:rPr>
        <w:t>Midwest Soybean Cultivars to Preemergent Applications of Metribuzin and Sulfentrazone</w:t>
      </w:r>
    </w:p>
    <w:p w:rsidR="00D346B9" w:rsidRPr="004A6CC1" w:rsidRDefault="004A6CC1" w:rsidP="004A6CC1">
      <w:pPr>
        <w:spacing w:line="480" w:lineRule="auto"/>
        <w:jc w:val="center"/>
      </w:pPr>
      <w:r w:rsidRPr="004A6CC1">
        <w:t>Maxwel C Oliveira, Thomas Butts, Shaw</w:t>
      </w:r>
      <w:r>
        <w:t>n Conley, and Rodrigo Werle</w:t>
      </w:r>
    </w:p>
    <w:p w:rsidR="00D346B9" w:rsidRPr="004A6CC1" w:rsidRDefault="00D346B9" w:rsidP="00AE1B3F">
      <w:pPr>
        <w:spacing w:line="480" w:lineRule="auto"/>
        <w:rPr>
          <w:i/>
        </w:rPr>
      </w:pPr>
    </w:p>
    <w:p w:rsidR="00D346B9" w:rsidRPr="004A6CC1" w:rsidRDefault="00D346B9" w:rsidP="00AE1B3F">
      <w:pPr>
        <w:spacing w:line="480" w:lineRule="auto"/>
        <w:rPr>
          <w:i/>
        </w:rPr>
      </w:pPr>
    </w:p>
    <w:p w:rsidR="00D346B9" w:rsidRPr="004A6CC1" w:rsidRDefault="00D346B9" w:rsidP="00AE1B3F">
      <w:pPr>
        <w:spacing w:line="480" w:lineRule="auto"/>
        <w:rPr>
          <w:i/>
        </w:rPr>
      </w:pPr>
    </w:p>
    <w:p w:rsidR="00D346B9" w:rsidRPr="008E304B" w:rsidRDefault="00D346B9" w:rsidP="00AE1B3F">
      <w:pPr>
        <w:spacing w:line="480" w:lineRule="auto"/>
        <w:rPr>
          <w:b/>
        </w:rPr>
      </w:pPr>
      <w:r w:rsidRPr="008E304B">
        <w:rPr>
          <w:b/>
        </w:rPr>
        <w:t>Material and Methods</w:t>
      </w:r>
    </w:p>
    <w:p w:rsidR="0032209A" w:rsidRPr="004A6CC1" w:rsidRDefault="00D346B9" w:rsidP="004A6CC1">
      <w:pPr>
        <w:spacing w:line="480" w:lineRule="auto"/>
        <w:rPr>
          <w:szCs w:val="24"/>
        </w:rPr>
      </w:pPr>
      <w:r>
        <w:tab/>
        <w:t xml:space="preserve">The research was conducted in a greenhouse at the University of Wisconsin-Madison to </w:t>
      </w:r>
      <w:r w:rsidRPr="004A6CC1">
        <w:rPr>
          <w:rFonts w:cstheme="majorHAnsi"/>
        </w:rPr>
        <w:t>evaluate</w:t>
      </w:r>
      <w:r w:rsidR="00EF0D6F" w:rsidRPr="004A6CC1">
        <w:rPr>
          <w:rFonts w:cstheme="majorHAnsi"/>
        </w:rPr>
        <w:t xml:space="preserve"> 221</w:t>
      </w:r>
      <w:r w:rsidRPr="004A6CC1">
        <w:rPr>
          <w:rFonts w:cstheme="majorHAnsi"/>
        </w:rPr>
        <w:t xml:space="preserve"> soybean varieties</w:t>
      </w:r>
      <w:r w:rsidR="00103204" w:rsidRPr="004A6CC1">
        <w:rPr>
          <w:rFonts w:cstheme="majorHAnsi"/>
        </w:rPr>
        <w:t xml:space="preserve"> tolerance</w:t>
      </w:r>
      <w:r w:rsidRPr="004A6CC1">
        <w:rPr>
          <w:rFonts w:cstheme="majorHAnsi"/>
        </w:rPr>
        <w:t xml:space="preserve"> to metribuzin and sulfentrazone. </w:t>
      </w:r>
      <w:r w:rsidR="0032209A" w:rsidRPr="004A6CC1">
        <w:rPr>
          <w:rFonts w:cstheme="majorHAnsi"/>
        </w:rPr>
        <w:t>Soybean seeds were</w:t>
      </w:r>
      <w:r w:rsidR="004A6CC1">
        <w:rPr>
          <w:rFonts w:cstheme="majorHAnsi"/>
        </w:rPr>
        <w:t xml:space="preserve"> collected from …… </w:t>
      </w:r>
      <w:r w:rsidR="008E304B">
        <w:rPr>
          <w:rFonts w:cstheme="majorHAnsi"/>
        </w:rPr>
        <w:t>Soybean s</w:t>
      </w:r>
      <w:r w:rsidR="004A6CC1">
        <w:rPr>
          <w:rFonts w:cstheme="majorHAnsi"/>
        </w:rPr>
        <w:t xml:space="preserve">eeds were stored at 5 C until the onset of experiment. </w:t>
      </w:r>
      <w:r w:rsidR="008E304B">
        <w:t>Experimental units consisted of XXX cm</w:t>
      </w:r>
      <w:r w:rsidR="008E304B" w:rsidRPr="00BB62CA">
        <w:rPr>
          <w:vertAlign w:val="superscript"/>
        </w:rPr>
        <w:t>3</w:t>
      </w:r>
      <w:r w:rsidR="008E304B">
        <w:t xml:space="preserve"> plastic pots filled with Plano Silt Loam field soil (pH=6.6 and organic matter=3.1%) containing three soybean seeds manually sown 3 cm deep spaced 5 cm apart.</w:t>
      </w:r>
      <w:r w:rsidR="008E304B">
        <w:rPr>
          <w:rFonts w:cstheme="majorHAnsi"/>
        </w:rPr>
        <w:t xml:space="preserve"> </w:t>
      </w:r>
      <w:r w:rsidR="004A6CC1">
        <w:rPr>
          <w:rFonts w:cstheme="majorHAnsi"/>
        </w:rPr>
        <w:t xml:space="preserve"> Soybean p</w:t>
      </w:r>
      <w:r w:rsidR="0032209A" w:rsidRPr="004A6CC1">
        <w:rPr>
          <w:rFonts w:cstheme="majorHAnsi"/>
          <w:szCs w:val="24"/>
        </w:rPr>
        <w:t xml:space="preserve">lants were supplied with adequate water and kept under greenhouse conditions at 28/20 C day/night temperature with 80% relative humidity. Artificial lightning was provided using metal halide lamps </w:t>
      </w:r>
      <w:r w:rsidR="004A6CC1" w:rsidRPr="004A6CC1">
        <w:rPr>
          <w:rFonts w:cstheme="majorHAnsi"/>
          <w:szCs w:val="24"/>
        </w:rPr>
        <w:t xml:space="preserve">(600 </w:t>
      </w:r>
      <w:r w:rsidR="004A6CC1" w:rsidRPr="004A6CC1">
        <w:rPr>
          <w:rFonts w:cstheme="majorHAnsi"/>
          <w:szCs w:val="24"/>
        </w:rPr>
        <w:t xml:space="preserve">μmol </w:t>
      </w:r>
      <w:r w:rsidR="004A6CC1">
        <w:rPr>
          <w:rFonts w:cstheme="majorHAnsi"/>
        </w:rPr>
        <w:t>photons</w:t>
      </w:r>
      <w:r w:rsidR="004A6CC1" w:rsidRPr="004A6CC1">
        <w:rPr>
          <w:rFonts w:cstheme="majorHAnsi"/>
          <w:szCs w:val="24"/>
        </w:rPr>
        <w:t xml:space="preserve"> </w:t>
      </w:r>
      <w:r w:rsidR="004A6CC1">
        <w:rPr>
          <w:rFonts w:cstheme="majorHAnsi"/>
        </w:rPr>
        <w:t>m</w:t>
      </w:r>
      <w:r w:rsidR="004A6CC1" w:rsidRPr="004A6CC1">
        <w:rPr>
          <w:rFonts w:cstheme="majorHAnsi"/>
          <w:szCs w:val="24"/>
          <w:vertAlign w:val="superscript"/>
        </w:rPr>
        <w:t>-2</w:t>
      </w:r>
      <w:r w:rsidR="004A6CC1" w:rsidRPr="004A6CC1">
        <w:rPr>
          <w:rFonts w:cstheme="majorHAnsi"/>
          <w:szCs w:val="24"/>
        </w:rPr>
        <w:t xml:space="preserve"> </w:t>
      </w:r>
      <w:r w:rsidR="004A6CC1">
        <w:rPr>
          <w:rFonts w:cstheme="majorHAnsi"/>
        </w:rPr>
        <w:t>s</w:t>
      </w:r>
      <w:r w:rsidR="004A6CC1" w:rsidRPr="004A6CC1">
        <w:rPr>
          <w:rFonts w:cstheme="majorHAnsi"/>
          <w:szCs w:val="24"/>
          <w:vertAlign w:val="superscript"/>
        </w:rPr>
        <w:t>-1</w:t>
      </w:r>
      <w:r w:rsidR="004A6CC1">
        <w:rPr>
          <w:rFonts w:cstheme="majorHAnsi"/>
        </w:rPr>
        <w:t xml:space="preserve">) to ensure a 15-h photoperiod. </w:t>
      </w:r>
    </w:p>
    <w:p w:rsidR="00BB62CA" w:rsidRDefault="00BB62CA" w:rsidP="00AE1B3F">
      <w:pPr>
        <w:spacing w:line="480" w:lineRule="auto"/>
      </w:pPr>
      <w:r>
        <w:tab/>
      </w:r>
      <w:r w:rsidR="00103204">
        <w:t>The experiment was conducted in a complete</w:t>
      </w:r>
      <w:r>
        <w:t>ly</w:t>
      </w:r>
      <w:r w:rsidR="00103204">
        <w:t xml:space="preserve"> randomized design with three replications and repeated twice. Treatments were arranged in a factorial design with 221 soybean varieties and three herbicides. The herbicide treatment</w:t>
      </w:r>
      <w:r w:rsidR="00DF29AB">
        <w:t>s</w:t>
      </w:r>
      <w:r w:rsidR="00103204">
        <w:t xml:space="preserve"> were </w:t>
      </w:r>
      <w:r w:rsidR="00DF29AB">
        <w:t xml:space="preserve">metribuzin </w:t>
      </w:r>
      <w:r w:rsidR="00103204">
        <w:t>(</w:t>
      </w:r>
      <w:r w:rsidR="00DF29AB">
        <w:t>TriCor</w:t>
      </w:r>
      <w:r w:rsidR="00DF29AB">
        <w:rPr>
          <w:rFonts w:ascii="Calibri Light" w:hAnsi="Calibri Light" w:cs="Calibri Light"/>
        </w:rPr>
        <w:t>®, United Phosphorus, Inc, King of Prussia, PA</w:t>
      </w:r>
      <w:r w:rsidR="001D0113">
        <w:rPr>
          <w:rFonts w:ascii="Calibri Light" w:hAnsi="Calibri Light" w:cs="Calibri Light"/>
        </w:rPr>
        <w:t>,</w:t>
      </w:r>
      <w:r w:rsidR="00DF29AB">
        <w:rPr>
          <w:rFonts w:ascii="Calibri Light" w:hAnsi="Calibri Light" w:cs="Calibri Light"/>
        </w:rPr>
        <w:t xml:space="preserve"> USA) applied at</w:t>
      </w:r>
      <w:r w:rsidR="00103204">
        <w:t xml:space="preserve"> 560 g ai ha</w:t>
      </w:r>
      <w:r w:rsidR="00103204" w:rsidRPr="00103204">
        <w:rPr>
          <w:vertAlign w:val="superscript"/>
        </w:rPr>
        <w:t>-1</w:t>
      </w:r>
      <w:r w:rsidR="00DF29AB">
        <w:t>; sulfentrazone (Spartan 4F</w:t>
      </w:r>
      <w:r w:rsidR="00DF29AB">
        <w:rPr>
          <w:rFonts w:ascii="Calibri Light" w:hAnsi="Calibri Light" w:cs="Calibri Light"/>
        </w:rPr>
        <w:t>®</w:t>
      </w:r>
      <w:r w:rsidR="00DF29AB">
        <w:t xml:space="preserve">, FMC Corporation, </w:t>
      </w:r>
      <w:r>
        <w:t>Philadelphia, PA</w:t>
      </w:r>
      <w:r w:rsidR="001D0113">
        <w:t>,</w:t>
      </w:r>
      <w:r>
        <w:t xml:space="preserve"> USA</w:t>
      </w:r>
      <w:r w:rsidR="00DF29AB">
        <w:t>) applied at 280 g ai ha</w:t>
      </w:r>
      <w:r w:rsidR="00DF29AB" w:rsidRPr="00DF29AB">
        <w:rPr>
          <w:vertAlign w:val="superscript"/>
        </w:rPr>
        <w:t>-1</w:t>
      </w:r>
      <w:r w:rsidR="00DF29AB">
        <w:t xml:space="preserve">; and an untreated control treatment. </w:t>
      </w:r>
      <w:bookmarkStart w:id="0" w:name="_GoBack"/>
      <w:bookmarkEnd w:id="0"/>
      <w:r w:rsidR="001D0113">
        <w:t>The day after soybean planting, h</w:t>
      </w:r>
      <w:r>
        <w:t xml:space="preserve">erbicide treatments were applied </w:t>
      </w:r>
      <w:r w:rsidR="001D0113">
        <w:t xml:space="preserve">using a single-nozzle track research sprayer (DeVries Manufacturing Corp., Hollandale, MN, USA). The sprayer </w:t>
      </w:r>
      <w:r w:rsidR="001D0113">
        <w:lastRenderedPageBreak/>
        <w:t xml:space="preserve">is equipped with 8002 E nozzle </w:t>
      </w:r>
      <w:proofErr w:type="gramStart"/>
      <w:r w:rsidR="00456ACF">
        <w:t>(  )</w:t>
      </w:r>
      <w:proofErr w:type="gramEnd"/>
      <w:r w:rsidR="00456ACF">
        <w:t xml:space="preserve"> calibrated to delivery 140 L ha</w:t>
      </w:r>
      <w:r w:rsidR="00456ACF" w:rsidRPr="00456ACF">
        <w:rPr>
          <w:vertAlign w:val="superscript"/>
        </w:rPr>
        <w:t>-1</w:t>
      </w:r>
      <w:r w:rsidR="00456ACF">
        <w:t xml:space="preserve"> spray volume at 83 kPa at a speed of 3.7 km.</w:t>
      </w:r>
    </w:p>
    <w:p w:rsidR="00456ACF" w:rsidRPr="00DF29AB" w:rsidRDefault="00456ACF" w:rsidP="00AE1B3F">
      <w:pPr>
        <w:spacing w:line="480" w:lineRule="auto"/>
      </w:pPr>
      <w:r>
        <w:tab/>
      </w:r>
      <w:r w:rsidR="00544E75">
        <w:t>T</w:t>
      </w:r>
      <w:r>
        <w:t>olerance estimation were assessed when soybeans were transitioning from V1 to V2 growth stages</w:t>
      </w:r>
      <w:r w:rsidR="00544E75">
        <w:t xml:space="preserve"> on a scale from 1 to 10 (1 = complete plant death, 10 = healthy, uninjured plant)</w:t>
      </w:r>
      <w:r>
        <w:t xml:space="preserve">. </w:t>
      </w:r>
      <w:r w:rsidR="00AB4A53">
        <w:t xml:space="preserve">The tolerance rating was </w:t>
      </w:r>
      <w:r w:rsidR="001B3B01">
        <w:t xml:space="preserve">assessed for each soybean plant and averaged within experimental unit. </w:t>
      </w:r>
      <w:r w:rsidR="00AB4A53">
        <w:t xml:space="preserve">Tolerance estimation were based on herbicide symptoms on soybean leaves and stem such as necrosis and stunting compared to untreated plants. </w:t>
      </w:r>
    </w:p>
    <w:p w:rsidR="00D346B9" w:rsidRDefault="00D346B9" w:rsidP="00AE1B3F">
      <w:pPr>
        <w:spacing w:line="480" w:lineRule="auto"/>
        <w:rPr>
          <w:i/>
        </w:rPr>
      </w:pPr>
    </w:p>
    <w:p w:rsidR="00D346B9" w:rsidRDefault="00D346B9" w:rsidP="00AE1B3F">
      <w:pPr>
        <w:spacing w:line="480" w:lineRule="auto"/>
        <w:rPr>
          <w:i/>
        </w:rPr>
      </w:pPr>
    </w:p>
    <w:p w:rsidR="00AE1B3F" w:rsidRPr="006330D9" w:rsidRDefault="00AE1B3F" w:rsidP="00AE1B3F">
      <w:pPr>
        <w:spacing w:line="480" w:lineRule="auto"/>
        <w:rPr>
          <w:i/>
        </w:rPr>
      </w:pPr>
      <w:r w:rsidRPr="006330D9">
        <w:rPr>
          <w:i/>
        </w:rPr>
        <w:t>Statistical analysis:</w:t>
      </w:r>
    </w:p>
    <w:p w:rsidR="00AE1B3F" w:rsidRDefault="00AE1B3F" w:rsidP="00AE1B3F">
      <w:pPr>
        <w:spacing w:line="480" w:lineRule="auto"/>
      </w:pPr>
      <w:r>
        <w:tab/>
      </w:r>
      <w:r w:rsidR="00333F76">
        <w:t>Visible tolerance rating data</w:t>
      </w:r>
      <w:r w:rsidR="0032469F">
        <w:t xml:space="preserve"> were converted to proportions (0 = highly susceptible, 1 = highly tolerant)</w:t>
      </w:r>
      <w:r w:rsidR="00A224EC">
        <w:t>,</w:t>
      </w:r>
      <w:r w:rsidR="0032469F">
        <w:t xml:space="preserve"> and </w:t>
      </w:r>
      <w:r w:rsidR="00FB75D5">
        <w:t>were</w:t>
      </w:r>
      <w:r w:rsidR="0032469F">
        <w:t xml:space="preserve"> standardized </w:t>
      </w:r>
      <w:r w:rsidR="00B92395">
        <w:t>to adjust for differences in early-season vigor across cultivars</w:t>
      </w:r>
      <w:r w:rsidR="00CD119B">
        <w:t>. This was accomplished</w:t>
      </w:r>
      <w:r w:rsidR="00B92395">
        <w:t xml:space="preserve"> </w:t>
      </w:r>
      <w:r w:rsidR="00FB75D5">
        <w:t xml:space="preserve">by dividing the average of </w:t>
      </w:r>
      <w:r w:rsidR="0032469F">
        <w:t xml:space="preserve">the nontreated control </w:t>
      </w:r>
      <w:r w:rsidR="00B92395">
        <w:t>for each cultivar by the individual tolerance proportions</w:t>
      </w:r>
      <w:r w:rsidR="0032469F">
        <w:t xml:space="preserve">. </w:t>
      </w:r>
      <w:r w:rsidR="00E8314C">
        <w:t xml:space="preserve">As a result of this correction, it was possible to attain a tolerance rating greater than </w:t>
      </w:r>
      <w:r w:rsidR="005549FF">
        <w:t>one</w:t>
      </w:r>
      <w:r w:rsidR="00E8314C">
        <w:t xml:space="preserve"> if the </w:t>
      </w:r>
      <w:r w:rsidR="005549FF">
        <w:t>treated</w:t>
      </w:r>
      <w:r w:rsidR="00E8314C">
        <w:t xml:space="preserve"> plants appeared healthier than the nontreated control plants. </w:t>
      </w:r>
      <w:r w:rsidR="00C008AD">
        <w:t>All analyses were conducted with R 3.5.1 statistical software and used t</w:t>
      </w:r>
      <w:r w:rsidR="00333F76">
        <w:t xml:space="preserve">he adjusted tolerance proportions </w:t>
      </w:r>
      <w:r w:rsidR="00C008AD">
        <w:t>throughout.</w:t>
      </w:r>
    </w:p>
    <w:p w:rsidR="00C87CEC" w:rsidRDefault="00333F76" w:rsidP="00AE1B3F">
      <w:pPr>
        <w:spacing w:line="480" w:lineRule="auto"/>
      </w:pPr>
      <w:r>
        <w:tab/>
      </w:r>
      <w:r w:rsidR="00361707">
        <w:t xml:space="preserve">A random forest analysis (RFA) was conducted separately for each herbicide using the </w:t>
      </w:r>
      <w:r w:rsidR="00361707" w:rsidRPr="00EF0D6F">
        <w:rPr>
          <w:i/>
        </w:rPr>
        <w:t>randomForest</w:t>
      </w:r>
      <w:r w:rsidR="00361707">
        <w:t xml:space="preserve"> package with soybean seed brand, maturity group, seed treatment, herbicide trait, and early-season vigor as explanatory variables. This analysis ranked explanatory variables by importance in predicting soybean cultivar tolerance </w:t>
      </w:r>
      <w:r w:rsidR="000D7FDB">
        <w:t xml:space="preserve">to the respective herbicide active ingredient </w:t>
      </w:r>
      <w:r w:rsidR="00361707">
        <w:t>after pooling the results from 500 regression tree</w:t>
      </w:r>
      <w:r w:rsidR="003D3B8C">
        <w:t xml:space="preserve">s </w:t>
      </w:r>
      <w:r w:rsidR="003D3B8C">
        <w:fldChar w:fldCharType="begin" w:fldLock="1"/>
      </w:r>
      <w:r w:rsidR="00F548D2">
        <w:instrText>ADDIN CSL_CITATION {"citationItems":[{"id":"ITEM-1","itemData":{"ISBN":"978-0-321-88803-7","author":[{"dropping-particle":"","family":"Lander","given":"J P","non-dropping-particle":"","parse-names":false,"suffix":""}],"editor":[{"dropping-particle":"","family":"Dix","given":"P","non-dropping-particle":"","parse-names":false,"suffix":""}],"id":"ITEM-1","issued":{"date-parts":[["2014"]]},"number-of-pages":"432","publisher":"Addison-Wesley","publisher-place":"Upper Saddle River, NJ 07458","title":"R for Everyone: Advanced Analytics and Graphics","type":"book"},"uris":["http://www.mendeley.com/documents/?uuid=1f4fbcc0-c36f-462d-a88a-cbee35a70d3c"]}],"mendeley":{"formattedCitation":"(Lander 2014)","plainTextFormattedCitation":"(Lander 2014)","previouslyFormattedCitation":"(Lander 2014)"},"properties":{"noteIndex":0},"schema":"https://github.com/citation-style-language/schema/raw/master/csl-citation.json"}</w:instrText>
      </w:r>
      <w:r w:rsidR="003D3B8C">
        <w:fldChar w:fldCharType="separate"/>
      </w:r>
      <w:r w:rsidR="00F548D2" w:rsidRPr="00F548D2">
        <w:rPr>
          <w:noProof/>
        </w:rPr>
        <w:t>(Lander 2014)</w:t>
      </w:r>
      <w:r w:rsidR="003D3B8C">
        <w:fldChar w:fldCharType="end"/>
      </w:r>
      <w:r w:rsidR="00361707">
        <w:t xml:space="preserve">. </w:t>
      </w:r>
    </w:p>
    <w:p w:rsidR="00333F76" w:rsidRDefault="000D7FDB" w:rsidP="00C87CEC">
      <w:pPr>
        <w:spacing w:line="480" w:lineRule="auto"/>
        <w:ind w:firstLine="720"/>
      </w:pPr>
      <w:r>
        <w:lastRenderedPageBreak/>
        <w:t>Pearson correlation tests</w:t>
      </w:r>
      <w:r w:rsidR="003D3B8C">
        <w:t xml:space="preserve"> </w:t>
      </w:r>
      <w:r>
        <w:t>were used to determine the correlation between tolerance proportions and maturity group, early-season vigor, and herbicide active ingredient</w:t>
      </w:r>
      <w:r w:rsidR="003D3B8C">
        <w:t xml:space="preserve">. Linear models were </w:t>
      </w:r>
      <w:r w:rsidR="00C87CEC">
        <w:t>then</w:t>
      </w:r>
      <w:r w:rsidR="003D3B8C">
        <w:t xml:space="preserve"> established to quantify the effect of each quantitative variable on predicting soybean</w:t>
      </w:r>
      <w:r w:rsidR="00C87CEC">
        <w:t xml:space="preserve"> cultivar</w:t>
      </w:r>
      <w:r w:rsidR="003D3B8C">
        <w:t xml:space="preserve"> tolerance to metribuzin and sulfentrazone.</w:t>
      </w:r>
      <w:r w:rsidR="00361707">
        <w:t xml:space="preserve"> </w:t>
      </w:r>
      <w:r>
        <w:t>Analysis of variance</w:t>
      </w:r>
      <w:r w:rsidR="0099149F">
        <w:t xml:space="preserve"> (ANOVA)</w:t>
      </w:r>
      <w:r>
        <w:t xml:space="preserve"> was </w:t>
      </w:r>
      <w:r w:rsidR="00C87CEC">
        <w:t>conducted on the categorical explanatory variables (soybean seed brand, seed treatment, and herbicide trait)</w:t>
      </w:r>
      <w:r>
        <w:t xml:space="preserve"> to determine the</w:t>
      </w:r>
      <w:r w:rsidR="00C87CEC">
        <w:t>ir</w:t>
      </w:r>
      <w:r>
        <w:t xml:space="preserve"> effect on soybean cultivar tolerance to metribuzin and sulfentrazone.</w:t>
      </w:r>
      <w:r w:rsidR="00CA226A">
        <w:t xml:space="preserve"> Means were separated using Fisher’s least significant difference test at </w:t>
      </w:r>
      <w:r w:rsidR="00CA226A">
        <w:rPr>
          <w:rFonts w:cstheme="majorHAnsi"/>
        </w:rPr>
        <w:t>α</w:t>
      </w:r>
      <w:r w:rsidR="00CA226A">
        <w:t>=0.05.</w:t>
      </w:r>
    </w:p>
    <w:p w:rsidR="006330D9" w:rsidRDefault="006330D9" w:rsidP="00AE1B3F">
      <w:pPr>
        <w:spacing w:line="480" w:lineRule="auto"/>
      </w:pPr>
    </w:p>
    <w:p w:rsidR="006330D9" w:rsidRDefault="006330D9" w:rsidP="00AE1B3F">
      <w:pPr>
        <w:spacing w:line="480" w:lineRule="auto"/>
      </w:pPr>
      <w:r>
        <w:rPr>
          <w:b/>
        </w:rPr>
        <w:t>Results and Discussion:</w:t>
      </w:r>
    </w:p>
    <w:p w:rsidR="006330D9" w:rsidRPr="006330D9" w:rsidRDefault="002B20D9" w:rsidP="00C464E8">
      <w:pPr>
        <w:spacing w:line="480" w:lineRule="auto"/>
        <w:ind w:firstLine="720"/>
      </w:pPr>
      <w:r>
        <w:t xml:space="preserve">Soybean cultivar tolerances to metribuzin and sulfentrazone ranged from 0.529 to 1.111 and 0.373 to 1.314, respectively, highlighting the variability across cultivars for their tolerance to these </w:t>
      </w:r>
      <w:r w:rsidRPr="00C464E8">
        <w:t>herbicides.</w:t>
      </w:r>
      <w:r w:rsidR="006B652F" w:rsidRPr="00C464E8">
        <w:t xml:space="preserve"> </w:t>
      </w:r>
      <w:r w:rsidR="00C464E8" w:rsidRPr="00C464E8">
        <w:t>T</w:t>
      </w:r>
      <w:r w:rsidR="00C464E8">
        <w:t xml:space="preserve">he high variability observed in </w:t>
      </w:r>
      <w:r w:rsidR="007416BC">
        <w:t>tolerance proportions</w:t>
      </w:r>
      <w:r w:rsidR="00C464E8">
        <w:t xml:space="preserve"> </w:t>
      </w:r>
      <w:r w:rsidR="00C464E8" w:rsidRPr="00C464E8">
        <w:t xml:space="preserve">substantiates previous conclusions that identifying tolerant soybean cultivars to PRE herbicides is a foundational component of a successful soybean production system </w:t>
      </w:r>
      <w:r w:rsidR="00C464E8" w:rsidRPr="00C464E8">
        <w:fldChar w:fldCharType="begin" w:fldLock="1"/>
      </w:r>
      <w:r w:rsidR="00C464E8" w:rsidRPr="00C464E8">
        <w:instrText>ADDIN CSL_CITATION {"citationItems":[{"id":"ITEM-1","itemData":{"DOI":"10.1614/WT-D-15-00082.1","ISSN":"0890-037X","abstract":"Field experiments were conducted from 2011 to 2013 near Ridgetown and Exeter, Ontario, Canada to evaluate the tolerance of seven identity-preserved (IP) soybean cultivars to protoporphyrinogen oxidase (PPO)-inhibiting herbicides flumioxazin, saflufenacil/dimethenamid-P, and sulfentrazone applied PRE; fomesafen applied POST; as well as PRE followed by (fb) POST application. Ridgetown sites demonstrated excellent tolerance (&lt; 10% injury) to PRE treatments, whereas PRE sulfentrazone caused up to 36% injury at 1 and 2 wk after application (WAA) at Exeter. Of the PRE fb POST treatments evaluated, those containing saflufenacil/dimethenamid-P and sulfentrazone were most injurious to soybean, with cultivar being a further determinant of injury. At Exeter 1 WAA, cultivars ‘S03W4’ and ‘S23T5’ showed 23 to 27 and 45 to 46% injury for saflufenacil/dimethenamid-P and sulfentrazone when followed by POST fomesafen, respectively. Sulfentrazone application (PRE alone or fb fomesafen) consequently reduced S03W4 yield up to 38% and S23T5 up to 25%, whereas saflufenacil/dimethenamid-P fb fomesafen reduced S03W4 by 18%. In general, PRE fb POST caused more injury than PRE treatments; however, injury diminished over time and no significant reduction to soybean yield could be attributed to adding POST fomesafen. On the basis of this study, the injury from PPO herbicides applied PRE is active ingredient, cultivar, and environment specific. Although PPO herbicides have the potential to cause unacceptable crop injury in some IP soybean cultivars, selecting a tolerant cultivar will minimize yield losses.","author":[{"dropping-particle":"","family":"Belfry","given":"Kimberly D.","non-dropping-particle":"","parse-names":false,"suffix":""},{"dropping-particle":"","family":"Shropshire","given":"Christy","non-dropping-particle":"","parse-names":false,"suffix":""},{"dropping-particle":"","family":"Sikkema","given":"Peter H.","non-dropping-particle":"","parse-names":false,"suffix":""}],"container-title":"Weed Technology","id":"ITEM-1","issue":"01","issued":{"date-parts":[["2016","3"]]},"page":"137-147","title":"Identity-preserved soybean tolerance to protoporphyrinogen oxidase-inhibiting herbicides","type":"article-journal","volume":"30"},"uris":["http://www.mendeley.com/documents/?uuid=7d85d3e0-b371-44c7-85ae-e0070a0f1d59","http://www.mendeley.com/documents/?uuid=004a6509-97f5-4411-9cd2-5be5cf5e45ce"]},{"id":"ITEM-2","itemData":{"DOI":"10.1017/S0043174500027053","author":[{"dropping-particle":"","family":"Coble","given":"H. D.","non-dropping-particle":"","parse-names":false,"suffix":""},{"dropping-particle":"","family":"Schrader","given":"J. W.","non-dropping-particle":"","parse-names":false,"suffix":""}],"container-title":"Weed Science","id":"ITEM-2","issue":"4","issued":{"date-parts":[["1973"]]},"page":"308-309","title":"Soybean tolerance to metribuzin","type":"article-journal","volume":"21"},"uris":["http://www.mendeley.com/documents/?uuid=dad25963-b056-4b2b-8698-516e08b8e6ef"]}],"mendeley":{"formattedCitation":"(Belfry et al. 2016, Coble and Schrader 1973)","plainTextFormattedCitation":"(Belfry et al. 2016, Coble and Schrader 1973)","previouslyFormattedCitation":"(Belfry et al. 2016)"},"properties":{"noteIndex":0},"schema":"https://github.com/citation-style-language/schema/raw/master/csl-citation.json"}</w:instrText>
      </w:r>
      <w:r w:rsidR="00C464E8" w:rsidRPr="00C464E8">
        <w:fldChar w:fldCharType="separate"/>
      </w:r>
      <w:r w:rsidR="00C464E8" w:rsidRPr="00C464E8">
        <w:rPr>
          <w:noProof/>
        </w:rPr>
        <w:t>(Belfry et al. 2016, Coble and Schrader 1973)</w:t>
      </w:r>
      <w:r w:rsidR="00C464E8" w:rsidRPr="00C464E8">
        <w:fldChar w:fldCharType="end"/>
      </w:r>
      <w:r w:rsidR="00C464E8" w:rsidRPr="00C464E8">
        <w:t xml:space="preserve">. </w:t>
      </w:r>
      <w:r w:rsidR="009F0245" w:rsidRPr="00C464E8">
        <w:t>Initially</w:t>
      </w:r>
      <w:r w:rsidR="009F0245">
        <w:t xml:space="preserve">, a Pearson correlation test was conducted to compare the tolerance ratings between the two herbicide active ingredients. This correlation test revealed a </w:t>
      </w:r>
      <w:r w:rsidR="00C4286B">
        <w:t xml:space="preserve">positive </w:t>
      </w:r>
      <w:r w:rsidR="009F0245">
        <w:t>relationship between the two herbicides</w:t>
      </w:r>
      <w:r w:rsidR="00621B6C">
        <w:t xml:space="preserve"> and modes-of-action</w:t>
      </w:r>
      <w:r w:rsidR="009F0245">
        <w:t xml:space="preserve"> (</w:t>
      </w:r>
      <w:r w:rsidR="009F0245">
        <w:rPr>
          <w:i/>
        </w:rPr>
        <w:t>r</w:t>
      </w:r>
      <w:r w:rsidR="009F0245">
        <w:t xml:space="preserve"> = 0.256</w:t>
      </w:r>
      <w:r w:rsidR="00C25573">
        <w:t>, p=0.0001</w:t>
      </w:r>
      <w:r w:rsidR="009F0245">
        <w:t>)</w:t>
      </w:r>
      <w:r w:rsidR="00C4286B">
        <w:t xml:space="preserve">. However, significant variability in tolerances were noted, </w:t>
      </w:r>
      <w:r w:rsidR="00621B6C">
        <w:t>hence</w:t>
      </w:r>
      <w:r w:rsidR="00BB40B2">
        <w:t xml:space="preserve"> greater tolerance to metribuzin</w:t>
      </w:r>
      <w:r w:rsidR="00621B6C">
        <w:t xml:space="preserve"> (PSII-inhibitor)</w:t>
      </w:r>
      <w:r w:rsidR="00BB40B2">
        <w:t xml:space="preserve"> does not necessarily indicate greater tolerance to sulfentrazone</w:t>
      </w:r>
      <w:r w:rsidR="00621B6C">
        <w:t xml:space="preserve"> (PPO-inhibitor)</w:t>
      </w:r>
      <w:r w:rsidR="00BB40B2">
        <w:t xml:space="preserve"> </w:t>
      </w:r>
      <w:r w:rsidR="00621B6C">
        <w:t>and</w:t>
      </w:r>
      <w:r w:rsidR="00BB40B2">
        <w:t xml:space="preserve"> vice versa (Figure 1).</w:t>
      </w:r>
      <w:r w:rsidR="005549FF">
        <w:t xml:space="preserve"> As a result, all further analyses in this research were conducted separately for each herbicide, and f</w:t>
      </w:r>
      <w:r w:rsidR="00621B6C">
        <w:t xml:space="preserve">uture soybean cultivar herbicide tolerance studies </w:t>
      </w:r>
      <w:r w:rsidR="00C4286B">
        <w:t>should</w:t>
      </w:r>
      <w:r w:rsidR="00621B6C">
        <w:t xml:space="preserve"> investigate herbicide modes-of-action separately. Additionally, future research should investigate if a </w:t>
      </w:r>
      <w:r w:rsidR="00621B6C">
        <w:lastRenderedPageBreak/>
        <w:t>correlation exists between different herbicides within the same mode-of-action as it pertains to soybean cultivar herbicide tolerance [e.g. sulfentrazone, saflufenacil, and flumioxazin (PPO-inhibitors)].</w:t>
      </w:r>
    </w:p>
    <w:p w:rsidR="006330D9" w:rsidRDefault="00E02C32" w:rsidP="00AE1B3F">
      <w:pPr>
        <w:spacing w:line="480" w:lineRule="auto"/>
      </w:pPr>
      <w:r>
        <w:tab/>
      </w:r>
      <w:r w:rsidR="00833B3C">
        <w:t xml:space="preserve">The RFA revealed that </w:t>
      </w:r>
      <w:r w:rsidR="001A2F44">
        <w:t xml:space="preserve">the five explanatory variables (early-season vigor, herbicide trait, maturity group, seed treatment, and soybean seed brand) explained 33 and 34% of the model variance when predicting herbicide tolerance for metribuzin and sulfentrazone, respectively. Therefore, approximately two-thirds of the </w:t>
      </w:r>
      <w:r w:rsidR="00C25573">
        <w:t>model variability must be explained by other factors not accounted for within this research such as soil characteristics (organic matter, pH, texture, etc.), moisture content, temperature, planting depth</w:t>
      </w:r>
      <w:r w:rsidR="007F3D88">
        <w:t xml:space="preserve">, </w:t>
      </w:r>
      <w:r w:rsidR="00E01B76">
        <w:t xml:space="preserve">genetic make-up, </w:t>
      </w:r>
      <w:r w:rsidR="007F3D88">
        <w:t>and their interactions</w:t>
      </w:r>
      <w:r w:rsidR="00C25573">
        <w:t xml:space="preserve"> </w:t>
      </w:r>
      <w:r w:rsidR="00C25573" w:rsidRPr="005824C8">
        <w:fldChar w:fldCharType="begin" w:fldLock="1"/>
      </w:r>
      <w:r w:rsidR="00C25573" w:rsidRPr="005824C8">
        <w:instrText>ADDIN CSL_CITATION {"citationItems":[{"id":"ITEM-1","itemData":{"DOI":"10.1017/S0890037X00032565","ISSN":"0890-037X","abstract":"Field studies were conducted on a Crowley silt loam under weed-free conditions to determine herbicidal tolerance of ‘Centennial’ soybeans. Early season phytotoxicity and mature plant height reductions were caused by imazaquin at 140 g ai/ha applied preemergence (PRE) followed by imazaquin applied postemergence (POE) at both 140 (labeled rate) and 280 g/ha and for metribuzin plus chlorimuron at 360 plus 60 g ai/ha PRE followed by chlorimuron POE at 18 g/ha (double rate). Soybean yields, averaged across 3 yr, were reduced only for metribuzin plus chlorimuron PRE followed by chlorimuron POE at both 9 and 18 g/ha (10 and 15%, respectively).","author":[{"dropping-particle":"","family":"Griffin","given":"James L.","non-dropping-particle":"","parse-names":false,"suffix":""},{"dropping-particle":"","family":"Habetz","given":"Robert J.","non-dropping-particle":"","parse-names":false,"suffix":""}],"container-title":"Weed Technology","id":"ITEM-1","issue":"03","issued":{"date-parts":[["1989","9"]]},"page":"459-462","title":"Soybean (Glycine max) tolerance to preemergence and postemergence herbicides","type":"article-journal","volume":"3"},"uris":["http://www.mendeley.com/documents/?uuid=62e8de54-1448-4400-88bc-09c41a8a91a7","http://www.mendeley.com/documents/?uuid=2171a0f0-ae2c-4195-8885-3f2515917325"]},{"id":"ITEM-2","itemData":{"DOI":"10.1017/S0043174500090524","author":[{"dropping-particle":"","family":"Swantek","given":"J. M.","non-dropping-particle":"","parse-names":false,"suffix":""},{"dropping-particle":"","family":"Sneller","given":"C. H.","non-dropping-particle":"","parse-names":false,"suffix":""},{"dropping-particle":"","family":"Oliver","given":"L. R.","non-dropping-particle":"","parse-names":false,"suffix":""}],"container-title":"Weed Science","id":"ITEM-2","issue":"2","issued":{"date-parts":[["1998"]]},"page":"271-277","title":"Evaluation of soybean injury from sulfentrazone and inheritance of tolerance","type":"article-journal","volume":"46"},"uris":["http://www.mendeley.com/documents/?uuid=a57290b6-4b8a-4a8e-bbef-1ddab03a1df3"]}],"mendeley":{"formattedCitation":"(Griffin and Habetz 1989, Swantek et al. 1998)","plainTextFormattedCitation":"(Griffin and Habetz 1989, Swantek et al. 1998)","previouslyFormattedCitation":"(Griffin and Habetz 1989, Swantek et al. 1998)"},"properties":{"noteIndex":0},"schema":"https://github.com/citation-style-language/schema/raw/master/csl-citation.json"}</w:instrText>
      </w:r>
      <w:r w:rsidR="00C25573" w:rsidRPr="005824C8">
        <w:fldChar w:fldCharType="separate"/>
      </w:r>
      <w:r w:rsidR="00C25573" w:rsidRPr="005824C8">
        <w:rPr>
          <w:noProof/>
        </w:rPr>
        <w:t>(Griffin and Habetz 1989, Swantek et al. 1998)</w:t>
      </w:r>
      <w:r w:rsidR="00C25573" w:rsidRPr="005824C8">
        <w:fldChar w:fldCharType="end"/>
      </w:r>
      <w:r w:rsidR="00C25573">
        <w:t xml:space="preserve">. </w:t>
      </w:r>
      <w:r w:rsidR="001A2F44">
        <w:t>E</w:t>
      </w:r>
      <w:r w:rsidR="00833B3C">
        <w:t xml:space="preserve">arly-season vigor was the most important explanatory variable to predict soybean cultivar tolerance to both metribuzin (Figure 2) and sulfentrazone (Figure 3). The remaining four explanatory variables (soybean seed brand, seed treatment, maturity group, and herbicide trait) were deemed </w:t>
      </w:r>
      <w:r w:rsidR="003C026A">
        <w:t xml:space="preserve">substantially </w:t>
      </w:r>
      <w:r w:rsidR="00DF5D02">
        <w:t>less</w:t>
      </w:r>
      <w:r w:rsidR="00833B3C">
        <w:t xml:space="preserve"> important </w:t>
      </w:r>
      <w:r w:rsidR="00DF5D02">
        <w:t xml:space="preserve">than early-season vigor </w:t>
      </w:r>
      <w:r w:rsidR="00833B3C">
        <w:t>by the RFA</w:t>
      </w:r>
      <w:r w:rsidR="0051472D">
        <w:t xml:space="preserve"> for both herbicides. Maturity group was the only explanatory variable that differed in importance </w:t>
      </w:r>
      <w:r w:rsidR="003C026A">
        <w:t xml:space="preserve">ranking </w:t>
      </w:r>
      <w:r w:rsidR="0051472D">
        <w:t>between metribuzin and sulfentrazone</w:t>
      </w:r>
      <w:r w:rsidR="003C026A">
        <w:t xml:space="preserve">; it </w:t>
      </w:r>
      <w:r w:rsidR="0051472D">
        <w:t>was the second most important variable for sulfentrazone while it was the fourth most important variable for metribuzin.</w:t>
      </w:r>
      <w:r w:rsidR="00515098">
        <w:t xml:space="preserve"> </w:t>
      </w:r>
    </w:p>
    <w:p w:rsidR="00DA2F6E" w:rsidRDefault="00041C8A" w:rsidP="00DA2F6E">
      <w:pPr>
        <w:spacing w:line="480" w:lineRule="auto"/>
      </w:pPr>
      <w:r>
        <w:tab/>
      </w:r>
      <w:r w:rsidR="009225EC">
        <w:t>A more in-depth evaluation of the early-season vigor effect on PRE herbicide tolerance revealed relatively similar trends between metribuzin (</w:t>
      </w:r>
      <w:r w:rsidR="009225EC">
        <w:rPr>
          <w:i/>
        </w:rPr>
        <w:t>r</w:t>
      </w:r>
      <w:r w:rsidR="009225EC">
        <w:t>=0.367; p&lt;0.0001) and sulfentrazone (</w:t>
      </w:r>
      <w:r w:rsidR="009225EC">
        <w:rPr>
          <w:i/>
        </w:rPr>
        <w:t>r</w:t>
      </w:r>
      <w:r w:rsidR="009225EC">
        <w:t xml:space="preserve">=0.317; p&lt;0.0001) (Figure 4). A negative relationship </w:t>
      </w:r>
      <w:r w:rsidR="003041DB">
        <w:t xml:space="preserve">predicted </w:t>
      </w:r>
      <w:r w:rsidR="007416BC">
        <w:t xml:space="preserve">that </w:t>
      </w:r>
      <w:r w:rsidR="003041DB">
        <w:t xml:space="preserve">for </w:t>
      </w:r>
      <w:r w:rsidR="007416BC">
        <w:t>an</w:t>
      </w:r>
      <w:r w:rsidR="003041DB">
        <w:t xml:space="preserve"> increase of one in</w:t>
      </w:r>
      <w:r w:rsidR="009225EC">
        <w:t xml:space="preserve"> </w:t>
      </w:r>
      <w:r w:rsidR="003041DB">
        <w:t>early-season vigor</w:t>
      </w:r>
      <w:r w:rsidR="00DA2F6E">
        <w:t xml:space="preserve"> ratings</w:t>
      </w:r>
      <w:r w:rsidR="003041DB">
        <w:t xml:space="preserve">, metribuzin and sulfentrazone tolerance </w:t>
      </w:r>
      <w:r w:rsidR="007F3D88">
        <w:t>proportion</w:t>
      </w:r>
      <w:r w:rsidR="00A933AA">
        <w:t>s</w:t>
      </w:r>
      <w:r w:rsidR="007F3D88">
        <w:t xml:space="preserve"> </w:t>
      </w:r>
      <w:r w:rsidR="003041DB">
        <w:t>decreased by 0.05.</w:t>
      </w:r>
      <w:r w:rsidR="00DA2F6E">
        <w:t xml:space="preserve"> </w:t>
      </w:r>
      <w:r w:rsidR="00DA2F6E" w:rsidRPr="00386AAD">
        <w:t>The negative correlation between early-season vigor</w:t>
      </w:r>
      <w:r w:rsidR="00DA2F6E">
        <w:t xml:space="preserve"> (evaluated from the nontreated </w:t>
      </w:r>
      <w:r w:rsidR="00DA2F6E">
        <w:lastRenderedPageBreak/>
        <w:t>control plants)</w:t>
      </w:r>
      <w:r w:rsidR="00DA2F6E" w:rsidRPr="00386AAD">
        <w:t xml:space="preserve"> and tolerance ratings may be attributed to </w:t>
      </w:r>
      <w:r w:rsidR="00DA2F6E">
        <w:t xml:space="preserve">either an </w:t>
      </w:r>
      <w:r w:rsidR="00DA2F6E" w:rsidRPr="00386AAD">
        <w:t xml:space="preserve">inherent bias of </w:t>
      </w:r>
      <w:r w:rsidR="00D872F6">
        <w:t>visible</w:t>
      </w:r>
      <w:r w:rsidR="00DA2F6E" w:rsidRPr="00386AAD">
        <w:t xml:space="preserve"> injury assessments as healthier plants provide the opportunity of “greater injury” to occur</w:t>
      </w:r>
      <w:r w:rsidR="00DA2F6E">
        <w:t>,</w:t>
      </w:r>
      <w:r w:rsidR="00DA2F6E" w:rsidRPr="00386AAD">
        <w:t xml:space="preserve"> </w:t>
      </w:r>
      <w:r w:rsidR="00DA2F6E">
        <w:t>or low early-season vigor cultivars being more tolerant to injury from PRE herbicides due to uncharacterized physiological constraints</w:t>
      </w:r>
      <w:r w:rsidR="00DA2F6E" w:rsidRPr="00386AAD">
        <w:t>.</w:t>
      </w:r>
    </w:p>
    <w:p w:rsidR="0054028D" w:rsidRDefault="00D872F6" w:rsidP="007F3D88">
      <w:pPr>
        <w:spacing w:line="480" w:lineRule="auto"/>
      </w:pPr>
      <w:r>
        <w:tab/>
        <w:t xml:space="preserve">Soybean maturity group affected tolerance to metribuzin and sulfentrazone differently. </w:t>
      </w:r>
      <w:r w:rsidR="007F3D88">
        <w:t xml:space="preserve">Across the 221 Midwest-adapted soybean cultivars evaluated in </w:t>
      </w:r>
      <w:r w:rsidR="007416BC">
        <w:t>this</w:t>
      </w:r>
      <w:r w:rsidR="007F3D88">
        <w:t xml:space="preserve"> research, maturity group ranged from 0.3 to 2.9. </w:t>
      </w:r>
      <w:r>
        <w:t>No relationship between maturity group and metribuzin tolerance was identified through the Pearson correlation analysis and resulting linear model development (</w:t>
      </w:r>
      <w:r>
        <w:rPr>
          <w:i/>
        </w:rPr>
        <w:t>r</w:t>
      </w:r>
      <w:r>
        <w:t xml:space="preserve"> = 0.048; p=0.4760) (Figure 5). Conversely, a negative relationship between maturity group and sulfentrazone tolerance emerged (</w:t>
      </w:r>
      <w:r>
        <w:rPr>
          <w:i/>
        </w:rPr>
        <w:t>r</w:t>
      </w:r>
      <w:r>
        <w:t xml:space="preserve"> = 0.273; p&lt;0.0001). </w:t>
      </w:r>
      <w:r w:rsidR="007F3D88">
        <w:t xml:space="preserve">Within the range of evaluated Midwest-adapted maturity groups, as maturity group increased by one, the resulting predicted sulfentrazone tolerance proportion decreased by 0.05 (Figure 5). </w:t>
      </w:r>
      <w:r w:rsidR="002A76B4">
        <w:t xml:space="preserve">Therefore, growers may need to </w:t>
      </w:r>
      <w:r w:rsidR="00A933AA">
        <w:t xml:space="preserve">balance </w:t>
      </w:r>
      <w:r w:rsidR="002A76B4">
        <w:t>the interaction between maturity group and sulfentrazone tolerance when selecting a cultivar for their operation</w:t>
      </w:r>
      <w:r w:rsidR="00A933AA">
        <w:t xml:space="preserve"> to successfully optimize their soybean production system</w:t>
      </w:r>
      <w:r w:rsidR="002A76B4">
        <w:t xml:space="preserve">. </w:t>
      </w:r>
    </w:p>
    <w:p w:rsidR="0099149F" w:rsidRDefault="00E46EFC" w:rsidP="00C4286B">
      <w:pPr>
        <w:spacing w:line="480" w:lineRule="auto"/>
      </w:pPr>
      <w:r>
        <w:tab/>
        <w:t>Soybean seed brand, seed treatment, and herbicide trait minimally impacted soybean tolerance to metribuzin and sulfentrazone, and relatively no discernable trends were identified</w:t>
      </w:r>
      <w:r w:rsidR="0099149F">
        <w:t xml:space="preserve"> through the ANOVA</w:t>
      </w:r>
      <w:r>
        <w:t xml:space="preserve">. Soybean seed brand #17 had the greatest tolerance </w:t>
      </w:r>
      <w:r w:rsidR="0099149F">
        <w:t>proportions</w:t>
      </w:r>
      <w:r>
        <w:t xml:space="preserve"> for both metribuzin and sulfentrazone (Table 1); however, there were no differences in tolerance </w:t>
      </w:r>
      <w:r w:rsidR="00362713">
        <w:t>proportions</w:t>
      </w:r>
      <w:r>
        <w:t xml:space="preserve"> between the other 26 soybean seed brands evaluated for either PRE herbicide.  </w:t>
      </w:r>
      <w:r w:rsidR="00F264E7">
        <w:t xml:space="preserve">Across the 23 seed treatments evaluated, no differences were observed in </w:t>
      </w:r>
      <w:r w:rsidR="00362713">
        <w:t>soybean cultivar</w:t>
      </w:r>
      <w:r w:rsidR="00F264E7">
        <w:t xml:space="preserve"> tolerance</w:t>
      </w:r>
      <w:r w:rsidR="00362713">
        <w:t xml:space="preserve"> to sulfentrazone</w:t>
      </w:r>
      <w:r w:rsidR="00F264E7">
        <w:t xml:space="preserve"> (Table 2). Soybean cultivars with seed treatment #4 (1.036), #21 (1.032), and #22 (1.008) had greater metribuzin tolerance than soybean cultivars with seed </w:t>
      </w:r>
      <w:r w:rsidR="00F264E7">
        <w:lastRenderedPageBreak/>
        <w:t>treatment #5 (0.695) and #10 (0.690). All other seed treatments had similar effects on soybean cultivar tolerance to metribuzin.</w:t>
      </w:r>
      <w:r w:rsidR="00362713">
        <w:t xml:space="preserve"> Across the six herbicide traits evaluated, no differences were observed in soybean cultivar tolerance to sulfentrazone similar to the seed treatments (Table 3). Soybean cultivars with the GT27</w:t>
      </w:r>
      <w:r w:rsidR="00362713">
        <w:rPr>
          <w:rFonts w:cstheme="majorHAnsi"/>
        </w:rPr>
        <w:t>™</w:t>
      </w:r>
      <w:r w:rsidR="00362713">
        <w:t xml:space="preserve"> (BASF Corporation, Florham Park, NJ 07932) (0.851) and glyphosate-tolerant (0.854) herbicide traits had greater metribuzin tolerance than soybean cultivars with the Roundup Ready 2 Yield</w:t>
      </w:r>
      <w:r w:rsidR="00362713">
        <w:rPr>
          <w:rFonts w:cstheme="majorHAnsi"/>
        </w:rPr>
        <w:t>®</w:t>
      </w:r>
      <w:r w:rsidR="00362713">
        <w:t xml:space="preserve"> (Bayer CropScience, Research Triangle Park, NC 27709) (0.770) trait. Soybean cultivars with any other herbicide trait resulted in similar metribuzin tolerance proportions. </w:t>
      </w:r>
    </w:p>
    <w:p w:rsidR="008F52CA" w:rsidRDefault="0099149F" w:rsidP="00C464E8">
      <w:pPr>
        <w:spacing w:line="480" w:lineRule="auto"/>
        <w:ind w:firstLine="720"/>
      </w:pPr>
      <w:r>
        <w:t>Although slight statistical differences were observed in soybean cultivar tolerances due to soybean seed brand, seed treatment, and herbicide trait, these results may be biased due to differing sample sizes for each variable level. Therefore, r</w:t>
      </w:r>
      <w:r w:rsidR="00E46EFC">
        <w:t xml:space="preserve">esults indicate soybean seed brand, seed treatment, and herbicide trait are relatively unhelpful in regards to assisting growers with selecting a metribuzin- or sulfentrazone-tolerant soybean cultivar. </w:t>
      </w:r>
      <w:r>
        <w:t>As a result, t</w:t>
      </w:r>
      <w:r w:rsidR="00E46EFC">
        <w:t xml:space="preserve">hese specific soybean characteristics can be selected based on the grower’s preference without concern for PRE herbicide tolerance to metribuzin and sulfentrazone. Previous research </w:t>
      </w:r>
      <w:r w:rsidR="00C464E8">
        <w:t xml:space="preserve">drew </w:t>
      </w:r>
      <w:r w:rsidR="00E46EFC">
        <w:t xml:space="preserve">similar </w:t>
      </w:r>
      <w:r w:rsidR="00C464E8">
        <w:t>conclusions</w:t>
      </w:r>
      <w:r w:rsidR="00E46EFC">
        <w:t xml:space="preserve"> </w:t>
      </w:r>
      <w:r w:rsidR="00C464E8">
        <w:t>as</w:t>
      </w:r>
      <w:r w:rsidR="00E46EFC">
        <w:t xml:space="preserve"> soybean yield differences were attributed to a larger interaction between herbicide and </w:t>
      </w:r>
      <w:r w:rsidR="00C464E8">
        <w:t xml:space="preserve">soybean </w:t>
      </w:r>
      <w:r w:rsidR="00E46EFC">
        <w:t xml:space="preserve">variety as opposed to interactions between </w:t>
      </w:r>
      <w:r w:rsidR="00C464E8">
        <w:t xml:space="preserve">herbicide and seed treatment or seed treatment and variety </w:t>
      </w:r>
      <w:r w:rsidR="00C445DB">
        <w:fldChar w:fldCharType="begin" w:fldLock="1"/>
      </w:r>
      <w:r w:rsidR="00F548D2">
        <w:instrText>ADDIN CSL_CITATION {"citationItems":[{"id":"ITEM-1","itemData":{"DOI":"10.1017/wet.2018.44","ISSN":"0890-037X","abstract":"Field experiments were performed in 2016 and 2017 in Missouri to determine whether interactions exist between PRE herbicides and seed treatments in soybean. The experiments consisted of a randomized complete block design with factorial arrangements of varieties, seed treatments, and herbicides. We selected two genetically similar varieties of soybean, one with known tolerance to PPO-inhibiting herbicides and one with known sensitivity. Each variety of seed received three separate seed treatment mixtures (STMs): (1) STM1, imidacloprid plus prothioconazol+penflufen+metalaxyl plus metalaxyl plus Bacillus subtilis + B. pumilis , (2) STM2, Pasteuria nishizawae plus thiamethoxam plus prothioconazol+penflufen+metalaxyl plus metalaxyl plus B. subtilis + B. pumilis , and (3) STM3, fluopyram plus imidacloprid plus prothioconazol+penflufen+metalaxyl plus metalaxyl plus B. subtilis + B. pumilis . Chlorimuron-ethyl+flumioxazin+pyroxasulfone, chlorimuron-ethyl+flumioxazin+metribuzin, and chlorimuron-ethyl+sulfentrazone were applied PRE to each variety and seed treatment combination at 1× and 2× the labeled use rate. Chlorimuron-ethyl+sulfentrazone treatment at the 2× rate resulted in greater injury of 8% and 14% to the sensitive variety than the tolerant in 2016 and 2017, respectively; this was the highest injury observed from any herbicide treatment in either year. In 2017, chlorimuron-ethyl+sulfentrazone resulted in the greatest height reductions in both varieties, but this reduction was more evident in the sensitive (19%) than in the tolerant (6%) variety. Overall, yield differences between the two varieties were not consistent between years, and for both varieties, the sulfentrazone-containing treatments resulted in the highest yield losses. The results of this research indicate that there is a larger interaction between herbicides and varieties than there is between herbicides and seed treatments, or seed treatments and varieties.","author":[{"dropping-particle":"","family":"Barlow","given":"Blake R.","non-dropping-particle":"","parse-names":false,"suffix":""},{"dropping-particle":"","family":"Shergill","given":"Lovreet S.","non-dropping-particle":"","parse-names":false,"suffix":""},{"dropping-particle":"","family":"Bish","given":"Mandy D.","non-dropping-particle":"","parse-names":false,"suffix":""},{"dropping-particle":"","family":"Bradley","given":"Kevin W.","non-dropping-particle":"","parse-names":false,"suffix":""}],"container-title":"Weed Technology","id":"ITEM-1","issue":"5","issued":{"date-parts":[["2018","10","24"]]},"page":"570-578","title":"Investigations of the potential interactions between pre-emergence residual herbicides, variety, and seed treatments in soybean","type":"article-journal","volume":"32"},"uris":["http://www.mendeley.com/documents/?uuid=d66755aa-6f72-4703-ae4b-4620229e8668"]}],"mendeley":{"formattedCitation":"(Barlow et al. 2018)","plainTextFormattedCitation":"(Barlow et al. 2018)","previouslyFormattedCitation":"(Barlow et al. 2018)"},"properties":{"noteIndex":0},"schema":"https://github.com/citation-style-language/schema/raw/master/csl-citation.json"}</w:instrText>
      </w:r>
      <w:r w:rsidR="00C445DB">
        <w:fldChar w:fldCharType="separate"/>
      </w:r>
      <w:r w:rsidR="00F548D2" w:rsidRPr="00F548D2">
        <w:rPr>
          <w:noProof/>
        </w:rPr>
        <w:t>(Barlow et al. 2018)</w:t>
      </w:r>
      <w:r w:rsidR="00C445DB">
        <w:fldChar w:fldCharType="end"/>
      </w:r>
      <w:r w:rsidR="00C464E8">
        <w:t>.</w:t>
      </w:r>
      <w:r>
        <w:t xml:space="preserve"> </w:t>
      </w:r>
      <w:r w:rsidR="008F52CA">
        <w:t xml:space="preserve">Other factors such as soil characteristics (organic matter, pH, texture, moisture, etc.), planting depth, overapplication, </w:t>
      </w:r>
      <w:r w:rsidR="007F3D88">
        <w:t xml:space="preserve">and </w:t>
      </w:r>
      <w:r w:rsidR="008F52CA">
        <w:t xml:space="preserve">precipitation, among others, </w:t>
      </w:r>
      <w:r w:rsidR="007F3D88">
        <w:t xml:space="preserve">and their interactions </w:t>
      </w:r>
      <w:r w:rsidR="008F52CA">
        <w:t xml:space="preserve">should be more completely evaluated for their influence on </w:t>
      </w:r>
      <w:r w:rsidR="008F52CA" w:rsidRPr="005824C8">
        <w:t>PRE herbicide</w:t>
      </w:r>
      <w:r>
        <w:t xml:space="preserve"> tolerance of soybean cultivars </w:t>
      </w:r>
      <w:r w:rsidR="008F52CA" w:rsidRPr="005824C8">
        <w:fldChar w:fldCharType="begin" w:fldLock="1"/>
      </w:r>
      <w:r w:rsidR="0007306F" w:rsidRPr="005824C8">
        <w:instrText>ADDIN CSL_CITATION {"citationItems":[{"id":"ITEM-1","itemData":{"DOI":"10.1017/S0890037X00032565","ISSN":"0890-037X","abstract":"Field studies were conducted on a Crowley silt loam under weed-free conditions to determine herbicidal tolerance of ‘Centennial’ soybeans. Early season phytotoxicity and mature plant height reductions were caused by imazaquin at 140 g ai/ha applied preemergence (PRE) followed by imazaquin applied postemergence (POE) at both 140 (labeled rate) and 280 g/ha and for metribuzin plus chlorimuron at 360 plus 60 g ai/ha PRE followed by chlorimuron POE at 18 g/ha (double rate). Soybean yields, averaged across 3 yr, were reduced only for metribuzin plus chlorimuron PRE followed by chlorimuron POE at both 9 and 18 g/ha (10 and 15%, respectively).","author":[{"dropping-particle":"","family":"Griffin","given":"James L.","non-dropping-particle":"","parse-names":false,"suffix":""},{"dropping-particle":"","family":"Habetz","given":"Robert J.","non-dropping-particle":"","parse-names":false,"suffix":""}],"container-title":"Weed Technology","id":"ITEM-1","issue":"03","issued":{"date-parts":[["1989","9"]]},"page":"459-462","title":"Soybean (Glycine max) tolerance to preemergence and postemergence herbicides","type":"article-journal","volume":"3"},"uris":["http://www.mendeley.com/documents/?uuid=62e8de54-1448-4400-88bc-09c41a8a91a7","http://www.mendeley.com/documents/?uuid=2171a0f0-ae2c-4195-8885-3f2515917325"]},{"id":"ITEM-2","itemData":{"DOI":"10.1017/S0043174500090524","author":[{"dropping-particle":"","family":"Swantek","given":"J. M.","non-dropping-particle":"","parse-names":false,"suffix":""},{"dropping-particle":"","family":"Sneller","given":"C. H.","non-dropping-particle":"","parse-names":false,"suffix":""},{"dropping-particle":"","family":"Oliver","given":"L. R.","non-dropping-particle":"","parse-names":false,"suffix":""}],"container-title":"Weed Science","id":"ITEM-2","issue":"2","issued":{"date-parts":[["1998"]]},"page":"271-277","title":"Evaluation of soybean injury from sulfentrazone and inheritance of tolerance","type":"article-journal","volume":"46"},"uris":["http://www.mendeley.com/documents/?uuid=a57290b6-4b8a-4a8e-bbef-1ddab03a1df3"]}],"mendeley":{"formattedCitation":"(Griffin and Habetz 1989, Swantek et al. 1998)","plainTextFormattedCitation":"(Griffin and Habetz 1989, Swantek et al. 1998)","previouslyFormattedCitation":"(Griffin and Habetz 1989, Swantek et al. 1998)"},"properties":{"noteIndex":0},"schema":"https://github.com/citation-style-language/schema/raw/master/csl-citation.json"}</w:instrText>
      </w:r>
      <w:r w:rsidR="008F52CA" w:rsidRPr="005824C8">
        <w:fldChar w:fldCharType="separate"/>
      </w:r>
      <w:r w:rsidR="008F52CA" w:rsidRPr="005824C8">
        <w:rPr>
          <w:noProof/>
        </w:rPr>
        <w:t>(Griffin and Habetz 1989, Swantek et al. 1998)</w:t>
      </w:r>
      <w:r w:rsidR="008F52CA" w:rsidRPr="005824C8">
        <w:fldChar w:fldCharType="end"/>
      </w:r>
      <w:r w:rsidR="008F52CA" w:rsidRPr="005824C8">
        <w:t xml:space="preserve">. </w:t>
      </w:r>
      <w:r w:rsidR="007C44D5">
        <w:t xml:space="preserve">Additionally, soybean genetic markers should be evaluated in more detail for their role in </w:t>
      </w:r>
      <w:r w:rsidR="007C44D5">
        <w:lastRenderedPageBreak/>
        <w:t xml:space="preserve">determining tolerance to PRE herbicides. </w:t>
      </w:r>
      <w:r w:rsidR="007416BC">
        <w:t xml:space="preserve">A more </w:t>
      </w:r>
      <w:r w:rsidR="007C44D5">
        <w:t>holistic</w:t>
      </w:r>
      <w:r w:rsidR="007416BC">
        <w:t xml:space="preserve"> understanding of the abiotic and biotic factors</w:t>
      </w:r>
      <w:r w:rsidR="007C44D5">
        <w:t xml:space="preserve"> </w:t>
      </w:r>
      <w:r w:rsidR="007416BC">
        <w:t xml:space="preserve">influencing herbicide activity and soybean growth may </w:t>
      </w:r>
      <w:r w:rsidR="007C44D5">
        <w:t>assist in</w:t>
      </w:r>
      <w:r w:rsidR="007416BC">
        <w:t xml:space="preserve"> accurately predict</w:t>
      </w:r>
      <w:r w:rsidR="007C44D5">
        <w:t>ing</w:t>
      </w:r>
      <w:r w:rsidR="007416BC">
        <w:t xml:space="preserve"> cultivar tolerance to PRE herbicides such as metribuzin and sulfentrazone.</w:t>
      </w:r>
    </w:p>
    <w:p w:rsidR="007C44D5" w:rsidRDefault="005824C8" w:rsidP="007C44D5">
      <w:pPr>
        <w:spacing w:line="480" w:lineRule="auto"/>
        <w:ind w:firstLine="720"/>
      </w:pPr>
      <w:r>
        <w:t xml:space="preserve">Overall, </w:t>
      </w:r>
      <w:r w:rsidR="00C4286B">
        <w:t>this research highlights the variation in tolerance of 221 Midwest-adapted soybean cultivars to metribuzin and sulfentrazone. R</w:t>
      </w:r>
      <w:r w:rsidR="001400A8">
        <w:t xml:space="preserve">esults indicate </w:t>
      </w:r>
      <w:r w:rsidR="007C44D5">
        <w:t xml:space="preserve">the negative interaction between </w:t>
      </w:r>
      <w:r w:rsidR="001400A8">
        <w:t>early-season vigor</w:t>
      </w:r>
      <w:r w:rsidR="007C44D5">
        <w:t xml:space="preserve"> and PRE herbicide tolerance</w:t>
      </w:r>
      <w:r w:rsidR="001400A8">
        <w:t xml:space="preserve"> </w:t>
      </w:r>
      <w:r w:rsidR="007C44D5">
        <w:t>is an important consideration</w:t>
      </w:r>
      <w:r w:rsidR="001400A8">
        <w:t xml:space="preserve"> when </w:t>
      </w:r>
      <w:r w:rsidR="007C44D5">
        <w:t>selecting a</w:t>
      </w:r>
      <w:r w:rsidR="001400A8">
        <w:t xml:space="preserve"> soybean</w:t>
      </w:r>
      <w:r w:rsidR="007C44D5">
        <w:t xml:space="preserve"> cultivar for a production system</w:t>
      </w:r>
      <w:r w:rsidR="001374B7">
        <w:t>. G</w:t>
      </w:r>
      <w:r w:rsidR="001400A8">
        <w:t>enerally, there are no consistent trends across soybean seed brands, seed treatment, and herbicide trait in relation to predicting herbicide tolerance. Maturity group was not important when predicting tolerance to metribuzin; however, a negative relationship between tolerance and maturity group was observed for sulfentrazone</w:t>
      </w:r>
      <w:r w:rsidR="00E01B76">
        <w:t xml:space="preserve">. Growers may need to balance the interaction between maturity group and sulfentrazone tolerance when selecting a cultivar for their operation, and maturity group should be </w:t>
      </w:r>
      <w:r w:rsidR="001400A8">
        <w:t xml:space="preserve">included </w:t>
      </w:r>
      <w:r w:rsidR="00E01B76">
        <w:t>as an explanatory variable in future PRE herbicide tolerance screenings</w:t>
      </w:r>
      <w:r w:rsidR="001400A8">
        <w:t xml:space="preserve">. </w:t>
      </w:r>
      <w:r w:rsidR="00C4286B">
        <w:t>The importance of herbicide screenings such as this is evident as a cultivar selection aid for farmers and advisers searching for high yielding cultivars with reduced likelihood of early-season soybean injury from PRE applications of metribuzin and sulfentrazone herbicides.</w:t>
      </w:r>
      <w:r w:rsidR="007C44D5">
        <w:br w:type="page"/>
      </w:r>
    </w:p>
    <w:p w:rsidR="006330D9" w:rsidRDefault="006330D9" w:rsidP="00AE1B3F">
      <w:pPr>
        <w:spacing w:line="480" w:lineRule="auto"/>
      </w:pPr>
      <w:r>
        <w:rPr>
          <w:b/>
        </w:rPr>
        <w:lastRenderedPageBreak/>
        <w:t>Literature Cited:</w:t>
      </w:r>
    </w:p>
    <w:p w:rsidR="0007306F" w:rsidRPr="0007306F" w:rsidRDefault="00C445DB" w:rsidP="0007306F">
      <w:pPr>
        <w:widowControl w:val="0"/>
        <w:autoSpaceDE w:val="0"/>
        <w:autoSpaceDN w:val="0"/>
        <w:adjustRightInd w:val="0"/>
        <w:spacing w:after="140" w:line="480" w:lineRule="auto"/>
        <w:ind w:left="480" w:hanging="480"/>
        <w:rPr>
          <w:rFonts w:ascii="Calibri Light" w:hAnsi="Calibri Light" w:cs="Calibri Light"/>
          <w:noProof/>
          <w:szCs w:val="24"/>
        </w:rPr>
      </w:pPr>
      <w:r>
        <w:rPr>
          <w:rFonts w:ascii="Calibri Light" w:hAnsi="Calibri Light" w:cs="Calibri Light"/>
          <w:szCs w:val="24"/>
        </w:rPr>
        <w:fldChar w:fldCharType="begin" w:fldLock="1"/>
      </w:r>
      <w:r>
        <w:rPr>
          <w:rFonts w:ascii="Calibri Light" w:hAnsi="Calibri Light" w:cs="Calibri Light"/>
          <w:szCs w:val="24"/>
        </w:rPr>
        <w:instrText xml:space="preserve">ADDIN Mendeley Bibliography CSL_BIBLIOGRAPHY </w:instrText>
      </w:r>
      <w:r>
        <w:rPr>
          <w:rFonts w:ascii="Calibri Light" w:hAnsi="Calibri Light" w:cs="Calibri Light"/>
          <w:szCs w:val="24"/>
        </w:rPr>
        <w:fldChar w:fldCharType="separate"/>
      </w:r>
      <w:r w:rsidR="0007306F" w:rsidRPr="0007306F">
        <w:rPr>
          <w:rFonts w:ascii="Calibri Light" w:hAnsi="Calibri Light" w:cs="Calibri Light"/>
          <w:noProof/>
          <w:szCs w:val="24"/>
        </w:rPr>
        <w:t>Barlow BR, Shergill LS, Bish MD, Bradley KW (2018) Investigations of the potential interactions between pre-emergence residual herbicides, variety, and seed treatments in soybean. Weed Technol 32:570–578</w:t>
      </w:r>
    </w:p>
    <w:p w:rsidR="0007306F" w:rsidRPr="0007306F" w:rsidRDefault="0007306F" w:rsidP="0007306F">
      <w:pPr>
        <w:widowControl w:val="0"/>
        <w:autoSpaceDE w:val="0"/>
        <w:autoSpaceDN w:val="0"/>
        <w:adjustRightInd w:val="0"/>
        <w:spacing w:after="140" w:line="480" w:lineRule="auto"/>
        <w:ind w:left="480" w:hanging="480"/>
        <w:rPr>
          <w:rFonts w:ascii="Calibri Light" w:hAnsi="Calibri Light" w:cs="Calibri Light"/>
          <w:noProof/>
          <w:szCs w:val="24"/>
        </w:rPr>
      </w:pPr>
      <w:r w:rsidRPr="0007306F">
        <w:rPr>
          <w:rFonts w:ascii="Calibri Light" w:hAnsi="Calibri Light" w:cs="Calibri Light"/>
          <w:noProof/>
          <w:szCs w:val="24"/>
        </w:rPr>
        <w:t>Belfry KD, Shropshire C, Sikkema PH (2016) Identity-preserved soybean tolerance to protoporphyrinogen oxidase-inhibiting herbicides. Weed Technol 30:137–147</w:t>
      </w:r>
    </w:p>
    <w:p w:rsidR="0007306F" w:rsidRPr="0007306F" w:rsidRDefault="0007306F" w:rsidP="0007306F">
      <w:pPr>
        <w:widowControl w:val="0"/>
        <w:autoSpaceDE w:val="0"/>
        <w:autoSpaceDN w:val="0"/>
        <w:adjustRightInd w:val="0"/>
        <w:spacing w:after="140" w:line="480" w:lineRule="auto"/>
        <w:ind w:left="480" w:hanging="480"/>
        <w:rPr>
          <w:rFonts w:ascii="Calibri Light" w:hAnsi="Calibri Light" w:cs="Calibri Light"/>
          <w:noProof/>
          <w:szCs w:val="24"/>
        </w:rPr>
      </w:pPr>
      <w:r w:rsidRPr="0007306F">
        <w:rPr>
          <w:rFonts w:ascii="Calibri Light" w:hAnsi="Calibri Light" w:cs="Calibri Light"/>
          <w:noProof/>
          <w:szCs w:val="24"/>
        </w:rPr>
        <w:t>Coble HD, Schrader JW (1973) Soybean tolerance to metribuzin. Weed Sci 21:308–309</w:t>
      </w:r>
    </w:p>
    <w:p w:rsidR="0007306F" w:rsidRPr="0007306F" w:rsidRDefault="0007306F" w:rsidP="0007306F">
      <w:pPr>
        <w:widowControl w:val="0"/>
        <w:autoSpaceDE w:val="0"/>
        <w:autoSpaceDN w:val="0"/>
        <w:adjustRightInd w:val="0"/>
        <w:spacing w:after="140" w:line="480" w:lineRule="auto"/>
        <w:ind w:left="480" w:hanging="480"/>
        <w:rPr>
          <w:rFonts w:ascii="Calibri Light" w:hAnsi="Calibri Light" w:cs="Calibri Light"/>
          <w:noProof/>
          <w:szCs w:val="24"/>
        </w:rPr>
      </w:pPr>
      <w:r w:rsidRPr="0007306F">
        <w:rPr>
          <w:rFonts w:ascii="Calibri Light" w:hAnsi="Calibri Light" w:cs="Calibri Light"/>
          <w:noProof/>
          <w:szCs w:val="24"/>
        </w:rPr>
        <w:t>Griffin JL, Habetz RJ (1989) Soybean (Glycine max) tolerance to preemergence and postemergence herbicides. Weed Technol 3:459–462</w:t>
      </w:r>
    </w:p>
    <w:p w:rsidR="0007306F" w:rsidRPr="0007306F" w:rsidRDefault="0007306F" w:rsidP="0007306F">
      <w:pPr>
        <w:widowControl w:val="0"/>
        <w:autoSpaceDE w:val="0"/>
        <w:autoSpaceDN w:val="0"/>
        <w:adjustRightInd w:val="0"/>
        <w:spacing w:after="140" w:line="480" w:lineRule="auto"/>
        <w:ind w:left="480" w:hanging="480"/>
        <w:rPr>
          <w:rFonts w:ascii="Calibri Light" w:hAnsi="Calibri Light" w:cs="Calibri Light"/>
          <w:noProof/>
          <w:szCs w:val="24"/>
        </w:rPr>
      </w:pPr>
      <w:r w:rsidRPr="0007306F">
        <w:rPr>
          <w:rFonts w:ascii="Calibri Light" w:hAnsi="Calibri Light" w:cs="Calibri Light"/>
          <w:noProof/>
          <w:szCs w:val="24"/>
        </w:rPr>
        <w:t>Lander JP (2014) R for Everyone: Advanced Analytics and Graphics. Page (P Dix, ed.). Upper Saddle River, NJ 07458: Addison-Wesley. 432 p</w:t>
      </w:r>
    </w:p>
    <w:p w:rsidR="00F2545D" w:rsidRPr="002B20D9" w:rsidRDefault="0007306F" w:rsidP="00A933AA">
      <w:pPr>
        <w:widowControl w:val="0"/>
        <w:autoSpaceDE w:val="0"/>
        <w:autoSpaceDN w:val="0"/>
        <w:adjustRightInd w:val="0"/>
        <w:spacing w:after="140" w:line="480" w:lineRule="auto"/>
        <w:ind w:left="480" w:hanging="480"/>
        <w:rPr>
          <w:rFonts w:ascii="Calibri Light" w:hAnsi="Calibri Light" w:cs="Calibri Light"/>
        </w:rPr>
      </w:pPr>
      <w:r w:rsidRPr="0007306F">
        <w:rPr>
          <w:rFonts w:ascii="Calibri Light" w:hAnsi="Calibri Light" w:cs="Calibri Light"/>
          <w:noProof/>
          <w:szCs w:val="24"/>
        </w:rPr>
        <w:t>Swantek JM, Sneller CH, Oliver LR (1998) Evaluation of soybean injury from sulfentrazone and inheritance of tolerance. Weed Sci 46:271–277</w:t>
      </w:r>
      <w:r w:rsidR="00C445DB">
        <w:rPr>
          <w:rFonts w:ascii="Calibri Light" w:hAnsi="Calibri Light" w:cs="Calibri Light"/>
          <w:szCs w:val="24"/>
        </w:rPr>
        <w:fldChar w:fldCharType="end"/>
      </w:r>
      <w:r w:rsidR="00C445DB" w:rsidRPr="002B20D9">
        <w:rPr>
          <w:rFonts w:ascii="Calibri Light" w:hAnsi="Calibri Light" w:cs="Calibri Light"/>
        </w:rPr>
        <w:t xml:space="preserve"> </w:t>
      </w:r>
      <w:r w:rsidR="00F2545D" w:rsidRPr="002B20D9">
        <w:rPr>
          <w:rFonts w:ascii="Calibri Light" w:hAnsi="Calibri Light" w:cs="Calibri Light"/>
        </w:rPr>
        <w:br w:type="page"/>
      </w:r>
    </w:p>
    <w:p w:rsidR="00F2545D" w:rsidRDefault="00F2545D" w:rsidP="003D3B8C">
      <w:pPr>
        <w:widowControl w:val="0"/>
        <w:autoSpaceDE w:val="0"/>
        <w:autoSpaceDN w:val="0"/>
        <w:adjustRightInd w:val="0"/>
        <w:spacing w:line="480" w:lineRule="auto"/>
      </w:pPr>
      <w:r>
        <w:rPr>
          <w:b/>
        </w:rPr>
        <w:lastRenderedPageBreak/>
        <w:t>Tables</w:t>
      </w:r>
    </w:p>
    <w:p w:rsidR="005674D0" w:rsidRPr="00115808" w:rsidRDefault="005674D0" w:rsidP="003D3B8C">
      <w:pPr>
        <w:widowControl w:val="0"/>
        <w:autoSpaceDE w:val="0"/>
        <w:autoSpaceDN w:val="0"/>
        <w:adjustRightInd w:val="0"/>
        <w:spacing w:line="480" w:lineRule="auto"/>
      </w:pPr>
      <w:r>
        <w:rPr>
          <w:b/>
        </w:rPr>
        <w:t>Table 1.</w:t>
      </w:r>
      <w:r>
        <w:t xml:space="preserve"> Analysis of variance results for the effect of soybean seed brand on the cultivar tolerance to metribuzin and sulfentrazone herbicides.</w:t>
      </w:r>
      <w:r w:rsidR="00115808">
        <w:rPr>
          <w:vertAlign w:val="superscript"/>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2240"/>
        <w:gridCol w:w="2240"/>
      </w:tblGrid>
      <w:tr w:rsidR="005674D0" w:rsidTr="00115808">
        <w:trPr>
          <w:trHeight w:val="70"/>
        </w:trPr>
        <w:tc>
          <w:tcPr>
            <w:tcW w:w="2240" w:type="dxa"/>
            <w:tcBorders>
              <w:top w:val="single" w:sz="4" w:space="0" w:color="auto"/>
              <w:bottom w:val="single" w:sz="4" w:space="0" w:color="auto"/>
            </w:tcBorders>
            <w:vAlign w:val="bottom"/>
          </w:tcPr>
          <w:p w:rsidR="005674D0" w:rsidRDefault="005674D0" w:rsidP="00115808">
            <w:pPr>
              <w:widowControl w:val="0"/>
              <w:autoSpaceDE w:val="0"/>
              <w:autoSpaceDN w:val="0"/>
              <w:adjustRightInd w:val="0"/>
            </w:pPr>
            <w:r>
              <w:t>Soybean seed brand</w:t>
            </w:r>
          </w:p>
        </w:tc>
        <w:tc>
          <w:tcPr>
            <w:tcW w:w="2240" w:type="dxa"/>
            <w:tcBorders>
              <w:top w:val="single" w:sz="4" w:space="0" w:color="auto"/>
              <w:bottom w:val="single" w:sz="4" w:space="0" w:color="auto"/>
            </w:tcBorders>
            <w:vAlign w:val="bottom"/>
          </w:tcPr>
          <w:p w:rsidR="005674D0" w:rsidRDefault="005674D0" w:rsidP="005674D0">
            <w:pPr>
              <w:widowControl w:val="0"/>
              <w:autoSpaceDE w:val="0"/>
              <w:autoSpaceDN w:val="0"/>
              <w:adjustRightInd w:val="0"/>
              <w:jc w:val="center"/>
            </w:pPr>
            <w:r>
              <w:t>Metribuzin</w:t>
            </w:r>
          </w:p>
        </w:tc>
        <w:tc>
          <w:tcPr>
            <w:tcW w:w="2240" w:type="dxa"/>
            <w:tcBorders>
              <w:top w:val="single" w:sz="4" w:space="0" w:color="auto"/>
              <w:bottom w:val="single" w:sz="4" w:space="0" w:color="auto"/>
            </w:tcBorders>
            <w:vAlign w:val="bottom"/>
          </w:tcPr>
          <w:p w:rsidR="005674D0" w:rsidRDefault="005674D0" w:rsidP="005674D0">
            <w:pPr>
              <w:widowControl w:val="0"/>
              <w:autoSpaceDE w:val="0"/>
              <w:autoSpaceDN w:val="0"/>
              <w:adjustRightInd w:val="0"/>
              <w:jc w:val="center"/>
            </w:pPr>
            <w:r>
              <w:t>Sulfentrazone</w:t>
            </w:r>
          </w:p>
        </w:tc>
      </w:tr>
      <w:tr w:rsidR="005674D0" w:rsidTr="00115808">
        <w:trPr>
          <w:trHeight w:val="282"/>
        </w:trPr>
        <w:tc>
          <w:tcPr>
            <w:tcW w:w="2240" w:type="dxa"/>
            <w:tcBorders>
              <w:top w:val="single" w:sz="4" w:space="0" w:color="auto"/>
            </w:tcBorders>
          </w:tcPr>
          <w:p w:rsidR="005674D0" w:rsidRDefault="005674D0" w:rsidP="005674D0">
            <w:pPr>
              <w:widowControl w:val="0"/>
              <w:autoSpaceDE w:val="0"/>
              <w:autoSpaceDN w:val="0"/>
              <w:adjustRightInd w:val="0"/>
            </w:pPr>
            <w:r>
              <w:t>1</w:t>
            </w:r>
          </w:p>
        </w:tc>
        <w:tc>
          <w:tcPr>
            <w:tcW w:w="2240" w:type="dxa"/>
            <w:tcBorders>
              <w:top w:val="single" w:sz="4" w:space="0" w:color="auto"/>
            </w:tcBorders>
            <w:vAlign w:val="bottom"/>
          </w:tcPr>
          <w:p w:rsidR="005674D0" w:rsidRDefault="005674D0" w:rsidP="005674D0">
            <w:pPr>
              <w:widowControl w:val="0"/>
              <w:autoSpaceDE w:val="0"/>
              <w:autoSpaceDN w:val="0"/>
              <w:adjustRightInd w:val="0"/>
              <w:jc w:val="center"/>
            </w:pPr>
            <w:r>
              <w:t>0.756</w:t>
            </w:r>
            <w:r w:rsidR="00115808">
              <w:t xml:space="preserve"> b</w:t>
            </w:r>
          </w:p>
        </w:tc>
        <w:tc>
          <w:tcPr>
            <w:tcW w:w="2240" w:type="dxa"/>
            <w:tcBorders>
              <w:top w:val="single" w:sz="4" w:space="0" w:color="auto"/>
            </w:tcBorders>
            <w:vAlign w:val="bottom"/>
          </w:tcPr>
          <w:p w:rsidR="005674D0" w:rsidRDefault="005674D0" w:rsidP="005674D0">
            <w:pPr>
              <w:widowControl w:val="0"/>
              <w:autoSpaceDE w:val="0"/>
              <w:autoSpaceDN w:val="0"/>
              <w:adjustRightInd w:val="0"/>
              <w:jc w:val="center"/>
            </w:pPr>
            <w:r>
              <w:t>0.736</w:t>
            </w:r>
            <w:r w:rsidR="00115808">
              <w:t xml:space="preserve"> b</w:t>
            </w:r>
          </w:p>
        </w:tc>
      </w:tr>
      <w:tr w:rsidR="005674D0" w:rsidTr="00115808">
        <w:trPr>
          <w:trHeight w:val="282"/>
        </w:trPr>
        <w:tc>
          <w:tcPr>
            <w:tcW w:w="2240" w:type="dxa"/>
          </w:tcPr>
          <w:p w:rsidR="005674D0" w:rsidRDefault="005674D0" w:rsidP="005674D0">
            <w:pPr>
              <w:widowControl w:val="0"/>
              <w:autoSpaceDE w:val="0"/>
              <w:autoSpaceDN w:val="0"/>
              <w:adjustRightInd w:val="0"/>
            </w:pPr>
            <w:r>
              <w:t>2</w:t>
            </w:r>
          </w:p>
        </w:tc>
        <w:tc>
          <w:tcPr>
            <w:tcW w:w="2240" w:type="dxa"/>
            <w:vAlign w:val="bottom"/>
          </w:tcPr>
          <w:p w:rsidR="005674D0" w:rsidRDefault="005674D0" w:rsidP="005674D0">
            <w:pPr>
              <w:widowControl w:val="0"/>
              <w:autoSpaceDE w:val="0"/>
              <w:autoSpaceDN w:val="0"/>
              <w:adjustRightInd w:val="0"/>
              <w:jc w:val="center"/>
            </w:pPr>
            <w:r>
              <w:t>0.790</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0.759</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3</w:t>
            </w:r>
          </w:p>
        </w:tc>
        <w:tc>
          <w:tcPr>
            <w:tcW w:w="2240" w:type="dxa"/>
            <w:vAlign w:val="bottom"/>
          </w:tcPr>
          <w:p w:rsidR="005674D0" w:rsidRDefault="005674D0" w:rsidP="005674D0">
            <w:pPr>
              <w:widowControl w:val="0"/>
              <w:autoSpaceDE w:val="0"/>
              <w:autoSpaceDN w:val="0"/>
              <w:adjustRightInd w:val="0"/>
              <w:jc w:val="center"/>
            </w:pPr>
            <w:r>
              <w:t>0.658</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0.772</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4</w:t>
            </w:r>
          </w:p>
        </w:tc>
        <w:tc>
          <w:tcPr>
            <w:tcW w:w="2240" w:type="dxa"/>
            <w:vAlign w:val="bottom"/>
          </w:tcPr>
          <w:p w:rsidR="005674D0" w:rsidRDefault="005674D0" w:rsidP="005674D0">
            <w:pPr>
              <w:widowControl w:val="0"/>
              <w:autoSpaceDE w:val="0"/>
              <w:autoSpaceDN w:val="0"/>
              <w:adjustRightInd w:val="0"/>
              <w:jc w:val="center"/>
            </w:pPr>
            <w:r>
              <w:t>0.783</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0.676</w:t>
            </w:r>
            <w:r w:rsidR="00115808">
              <w:t xml:space="preserve"> b</w:t>
            </w:r>
          </w:p>
        </w:tc>
      </w:tr>
      <w:tr w:rsidR="005674D0" w:rsidTr="00115808">
        <w:trPr>
          <w:trHeight w:val="282"/>
        </w:trPr>
        <w:tc>
          <w:tcPr>
            <w:tcW w:w="2240" w:type="dxa"/>
          </w:tcPr>
          <w:p w:rsidR="005674D0" w:rsidRDefault="005674D0" w:rsidP="005674D0">
            <w:pPr>
              <w:widowControl w:val="0"/>
              <w:autoSpaceDE w:val="0"/>
              <w:autoSpaceDN w:val="0"/>
              <w:adjustRightInd w:val="0"/>
            </w:pPr>
            <w:r>
              <w:t>5</w:t>
            </w:r>
          </w:p>
        </w:tc>
        <w:tc>
          <w:tcPr>
            <w:tcW w:w="2240" w:type="dxa"/>
            <w:vAlign w:val="bottom"/>
          </w:tcPr>
          <w:p w:rsidR="005674D0" w:rsidRDefault="005674D0" w:rsidP="005674D0">
            <w:pPr>
              <w:widowControl w:val="0"/>
              <w:autoSpaceDE w:val="0"/>
              <w:autoSpaceDN w:val="0"/>
              <w:adjustRightInd w:val="0"/>
              <w:jc w:val="center"/>
            </w:pPr>
            <w:r>
              <w:t>0.750</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0.780</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6</w:t>
            </w:r>
          </w:p>
        </w:tc>
        <w:tc>
          <w:tcPr>
            <w:tcW w:w="2240" w:type="dxa"/>
            <w:vAlign w:val="bottom"/>
          </w:tcPr>
          <w:p w:rsidR="005674D0" w:rsidRDefault="005674D0" w:rsidP="005674D0">
            <w:pPr>
              <w:widowControl w:val="0"/>
              <w:autoSpaceDE w:val="0"/>
              <w:autoSpaceDN w:val="0"/>
              <w:adjustRightInd w:val="0"/>
              <w:jc w:val="center"/>
            </w:pPr>
            <w:r>
              <w:t>0.728</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0.780</w:t>
            </w:r>
            <w:r w:rsidR="00115808">
              <w:t xml:space="preserve"> ab</w:t>
            </w:r>
          </w:p>
        </w:tc>
      </w:tr>
      <w:tr w:rsidR="005674D0" w:rsidTr="00115808">
        <w:trPr>
          <w:trHeight w:val="282"/>
        </w:trPr>
        <w:tc>
          <w:tcPr>
            <w:tcW w:w="2240" w:type="dxa"/>
          </w:tcPr>
          <w:p w:rsidR="005674D0" w:rsidRDefault="005674D0" w:rsidP="005674D0">
            <w:pPr>
              <w:widowControl w:val="0"/>
              <w:autoSpaceDE w:val="0"/>
              <w:autoSpaceDN w:val="0"/>
              <w:adjustRightInd w:val="0"/>
            </w:pPr>
            <w:r>
              <w:t>7</w:t>
            </w:r>
          </w:p>
        </w:tc>
        <w:tc>
          <w:tcPr>
            <w:tcW w:w="2240" w:type="dxa"/>
            <w:vAlign w:val="bottom"/>
          </w:tcPr>
          <w:p w:rsidR="005674D0" w:rsidRDefault="005674D0" w:rsidP="005674D0">
            <w:pPr>
              <w:widowControl w:val="0"/>
              <w:autoSpaceDE w:val="0"/>
              <w:autoSpaceDN w:val="0"/>
              <w:adjustRightInd w:val="0"/>
              <w:jc w:val="center"/>
            </w:pPr>
            <w:r>
              <w:t>0.782</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0.714</w:t>
            </w:r>
            <w:r w:rsidR="00115808">
              <w:t xml:space="preserve"> b</w:t>
            </w:r>
          </w:p>
        </w:tc>
      </w:tr>
      <w:tr w:rsidR="005674D0" w:rsidTr="00115808">
        <w:trPr>
          <w:trHeight w:val="297"/>
        </w:trPr>
        <w:tc>
          <w:tcPr>
            <w:tcW w:w="2240" w:type="dxa"/>
          </w:tcPr>
          <w:p w:rsidR="005674D0" w:rsidRDefault="005674D0" w:rsidP="005674D0">
            <w:pPr>
              <w:widowControl w:val="0"/>
              <w:autoSpaceDE w:val="0"/>
              <w:autoSpaceDN w:val="0"/>
              <w:adjustRightInd w:val="0"/>
            </w:pPr>
            <w:r>
              <w:t>8</w:t>
            </w:r>
          </w:p>
        </w:tc>
        <w:tc>
          <w:tcPr>
            <w:tcW w:w="2240" w:type="dxa"/>
            <w:vAlign w:val="bottom"/>
          </w:tcPr>
          <w:p w:rsidR="005674D0" w:rsidRDefault="005674D0" w:rsidP="005674D0">
            <w:pPr>
              <w:widowControl w:val="0"/>
              <w:autoSpaceDE w:val="0"/>
              <w:autoSpaceDN w:val="0"/>
              <w:adjustRightInd w:val="0"/>
              <w:jc w:val="center"/>
            </w:pPr>
            <w:r>
              <w:t>0.722</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0.809</w:t>
            </w:r>
            <w:r w:rsidR="00115808">
              <w:t xml:space="preserve"> ab</w:t>
            </w:r>
          </w:p>
        </w:tc>
      </w:tr>
      <w:tr w:rsidR="005674D0" w:rsidTr="00115808">
        <w:trPr>
          <w:trHeight w:val="282"/>
        </w:trPr>
        <w:tc>
          <w:tcPr>
            <w:tcW w:w="2240" w:type="dxa"/>
          </w:tcPr>
          <w:p w:rsidR="005674D0" w:rsidRDefault="005674D0" w:rsidP="005674D0">
            <w:pPr>
              <w:widowControl w:val="0"/>
              <w:autoSpaceDE w:val="0"/>
              <w:autoSpaceDN w:val="0"/>
              <w:adjustRightInd w:val="0"/>
            </w:pPr>
            <w:r>
              <w:t>9</w:t>
            </w:r>
          </w:p>
        </w:tc>
        <w:tc>
          <w:tcPr>
            <w:tcW w:w="2240" w:type="dxa"/>
            <w:vAlign w:val="bottom"/>
          </w:tcPr>
          <w:p w:rsidR="005674D0" w:rsidRDefault="005674D0" w:rsidP="005674D0">
            <w:pPr>
              <w:widowControl w:val="0"/>
              <w:autoSpaceDE w:val="0"/>
              <w:autoSpaceDN w:val="0"/>
              <w:adjustRightInd w:val="0"/>
              <w:jc w:val="center"/>
            </w:pPr>
            <w:r>
              <w:t>0.804</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0.757</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10</w:t>
            </w:r>
          </w:p>
        </w:tc>
        <w:tc>
          <w:tcPr>
            <w:tcW w:w="2240" w:type="dxa"/>
            <w:vAlign w:val="bottom"/>
          </w:tcPr>
          <w:p w:rsidR="005674D0" w:rsidRDefault="005674D0" w:rsidP="005674D0">
            <w:pPr>
              <w:widowControl w:val="0"/>
              <w:autoSpaceDE w:val="0"/>
              <w:autoSpaceDN w:val="0"/>
              <w:adjustRightInd w:val="0"/>
              <w:jc w:val="center"/>
            </w:pPr>
            <w:r>
              <w:t>0.887</w:t>
            </w:r>
            <w:r w:rsidR="00115808">
              <w:t xml:space="preserve"> ab</w:t>
            </w:r>
          </w:p>
        </w:tc>
        <w:tc>
          <w:tcPr>
            <w:tcW w:w="2240" w:type="dxa"/>
            <w:vAlign w:val="bottom"/>
          </w:tcPr>
          <w:p w:rsidR="005674D0" w:rsidRDefault="005674D0" w:rsidP="005674D0">
            <w:pPr>
              <w:widowControl w:val="0"/>
              <w:autoSpaceDE w:val="0"/>
              <w:autoSpaceDN w:val="0"/>
              <w:adjustRightInd w:val="0"/>
              <w:jc w:val="center"/>
            </w:pPr>
            <w:r>
              <w:t>0.879</w:t>
            </w:r>
            <w:r w:rsidR="00115808">
              <w:t xml:space="preserve"> ab</w:t>
            </w:r>
          </w:p>
        </w:tc>
      </w:tr>
      <w:tr w:rsidR="005674D0" w:rsidTr="00115808">
        <w:trPr>
          <w:trHeight w:val="282"/>
        </w:trPr>
        <w:tc>
          <w:tcPr>
            <w:tcW w:w="2240" w:type="dxa"/>
          </w:tcPr>
          <w:p w:rsidR="005674D0" w:rsidRDefault="005674D0" w:rsidP="005674D0">
            <w:pPr>
              <w:widowControl w:val="0"/>
              <w:autoSpaceDE w:val="0"/>
              <w:autoSpaceDN w:val="0"/>
              <w:adjustRightInd w:val="0"/>
            </w:pPr>
            <w:r>
              <w:t>11</w:t>
            </w:r>
          </w:p>
        </w:tc>
        <w:tc>
          <w:tcPr>
            <w:tcW w:w="2240" w:type="dxa"/>
            <w:vAlign w:val="bottom"/>
          </w:tcPr>
          <w:p w:rsidR="005674D0" w:rsidRDefault="005674D0" w:rsidP="005674D0">
            <w:pPr>
              <w:widowControl w:val="0"/>
              <w:autoSpaceDE w:val="0"/>
              <w:autoSpaceDN w:val="0"/>
              <w:adjustRightInd w:val="0"/>
              <w:jc w:val="center"/>
            </w:pPr>
            <w:r>
              <w:t>0.794</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0.828</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12</w:t>
            </w:r>
          </w:p>
        </w:tc>
        <w:tc>
          <w:tcPr>
            <w:tcW w:w="2240" w:type="dxa"/>
            <w:vAlign w:val="bottom"/>
          </w:tcPr>
          <w:p w:rsidR="005674D0" w:rsidRDefault="005674D0" w:rsidP="005674D0">
            <w:pPr>
              <w:widowControl w:val="0"/>
              <w:autoSpaceDE w:val="0"/>
              <w:autoSpaceDN w:val="0"/>
              <w:adjustRightInd w:val="0"/>
              <w:jc w:val="center"/>
            </w:pPr>
            <w:r>
              <w:t>0.793</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0.806</w:t>
            </w:r>
            <w:r w:rsidR="00115808">
              <w:t xml:space="preserve"> ab</w:t>
            </w:r>
          </w:p>
        </w:tc>
      </w:tr>
      <w:tr w:rsidR="005674D0" w:rsidTr="00115808">
        <w:trPr>
          <w:trHeight w:val="282"/>
        </w:trPr>
        <w:tc>
          <w:tcPr>
            <w:tcW w:w="2240" w:type="dxa"/>
          </w:tcPr>
          <w:p w:rsidR="005674D0" w:rsidRDefault="005674D0" w:rsidP="005674D0">
            <w:pPr>
              <w:widowControl w:val="0"/>
              <w:autoSpaceDE w:val="0"/>
              <w:autoSpaceDN w:val="0"/>
              <w:adjustRightInd w:val="0"/>
            </w:pPr>
            <w:r>
              <w:t>13</w:t>
            </w:r>
          </w:p>
        </w:tc>
        <w:tc>
          <w:tcPr>
            <w:tcW w:w="2240" w:type="dxa"/>
            <w:vAlign w:val="bottom"/>
          </w:tcPr>
          <w:p w:rsidR="005674D0" w:rsidRDefault="005674D0" w:rsidP="005674D0">
            <w:pPr>
              <w:widowControl w:val="0"/>
              <w:autoSpaceDE w:val="0"/>
              <w:autoSpaceDN w:val="0"/>
              <w:adjustRightInd w:val="0"/>
              <w:jc w:val="center"/>
            </w:pPr>
            <w:r>
              <w:t>0.747</w:t>
            </w:r>
            <w:r w:rsidR="00115808">
              <w:t xml:space="preserve"> b</w:t>
            </w:r>
          </w:p>
        </w:tc>
        <w:tc>
          <w:tcPr>
            <w:tcW w:w="2240" w:type="dxa"/>
            <w:vAlign w:val="bottom"/>
          </w:tcPr>
          <w:p w:rsidR="005674D0" w:rsidRDefault="005674D0" w:rsidP="005674D0">
            <w:pPr>
              <w:widowControl w:val="0"/>
              <w:autoSpaceDE w:val="0"/>
              <w:autoSpaceDN w:val="0"/>
              <w:adjustRightInd w:val="0"/>
              <w:jc w:val="center"/>
            </w:pPr>
            <w:r>
              <w:t>0.797</w:t>
            </w:r>
            <w:r w:rsidR="00115808">
              <w:t xml:space="preserve"> ab</w:t>
            </w:r>
          </w:p>
        </w:tc>
      </w:tr>
      <w:tr w:rsidR="005674D0" w:rsidTr="00115808">
        <w:trPr>
          <w:trHeight w:val="297"/>
        </w:trPr>
        <w:tc>
          <w:tcPr>
            <w:tcW w:w="2240" w:type="dxa"/>
          </w:tcPr>
          <w:p w:rsidR="005674D0" w:rsidRDefault="005674D0" w:rsidP="005674D0">
            <w:pPr>
              <w:widowControl w:val="0"/>
              <w:autoSpaceDE w:val="0"/>
              <w:autoSpaceDN w:val="0"/>
              <w:adjustRightInd w:val="0"/>
            </w:pPr>
            <w:r>
              <w:t>14</w:t>
            </w:r>
          </w:p>
        </w:tc>
        <w:tc>
          <w:tcPr>
            <w:tcW w:w="2240" w:type="dxa"/>
            <w:vAlign w:val="bottom"/>
          </w:tcPr>
          <w:p w:rsidR="005674D0" w:rsidRDefault="005674D0" w:rsidP="005674D0">
            <w:pPr>
              <w:widowControl w:val="0"/>
              <w:autoSpaceDE w:val="0"/>
              <w:autoSpaceDN w:val="0"/>
              <w:adjustRightInd w:val="0"/>
              <w:jc w:val="center"/>
            </w:pPr>
            <w:r>
              <w:t>0.792</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0.802 ab</w:t>
            </w:r>
          </w:p>
        </w:tc>
      </w:tr>
      <w:tr w:rsidR="005674D0" w:rsidTr="00115808">
        <w:trPr>
          <w:trHeight w:val="282"/>
        </w:trPr>
        <w:tc>
          <w:tcPr>
            <w:tcW w:w="2240" w:type="dxa"/>
          </w:tcPr>
          <w:p w:rsidR="005674D0" w:rsidRDefault="005674D0" w:rsidP="005674D0">
            <w:pPr>
              <w:widowControl w:val="0"/>
              <w:autoSpaceDE w:val="0"/>
              <w:autoSpaceDN w:val="0"/>
              <w:adjustRightInd w:val="0"/>
            </w:pPr>
            <w:r>
              <w:t>15</w:t>
            </w:r>
          </w:p>
        </w:tc>
        <w:tc>
          <w:tcPr>
            <w:tcW w:w="2240" w:type="dxa"/>
            <w:vAlign w:val="bottom"/>
          </w:tcPr>
          <w:p w:rsidR="005674D0" w:rsidRDefault="005674D0" w:rsidP="005674D0">
            <w:pPr>
              <w:widowControl w:val="0"/>
              <w:autoSpaceDE w:val="0"/>
              <w:autoSpaceDN w:val="0"/>
              <w:adjustRightInd w:val="0"/>
              <w:jc w:val="center"/>
            </w:pPr>
            <w:r>
              <w:t>0.766</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0.829 ab</w:t>
            </w:r>
          </w:p>
        </w:tc>
      </w:tr>
      <w:tr w:rsidR="005674D0" w:rsidTr="00115808">
        <w:trPr>
          <w:trHeight w:val="297"/>
        </w:trPr>
        <w:tc>
          <w:tcPr>
            <w:tcW w:w="2240" w:type="dxa"/>
          </w:tcPr>
          <w:p w:rsidR="005674D0" w:rsidRDefault="005674D0" w:rsidP="005674D0">
            <w:pPr>
              <w:widowControl w:val="0"/>
              <w:autoSpaceDE w:val="0"/>
              <w:autoSpaceDN w:val="0"/>
              <w:adjustRightInd w:val="0"/>
            </w:pPr>
            <w:r>
              <w:t>16</w:t>
            </w:r>
          </w:p>
        </w:tc>
        <w:tc>
          <w:tcPr>
            <w:tcW w:w="2240" w:type="dxa"/>
            <w:vAlign w:val="bottom"/>
          </w:tcPr>
          <w:p w:rsidR="005674D0" w:rsidRDefault="005674D0" w:rsidP="005674D0">
            <w:pPr>
              <w:widowControl w:val="0"/>
              <w:autoSpaceDE w:val="0"/>
              <w:autoSpaceDN w:val="0"/>
              <w:adjustRightInd w:val="0"/>
              <w:jc w:val="center"/>
            </w:pPr>
            <w:r>
              <w:t>0.896</w:t>
            </w:r>
            <w:r w:rsidR="00115808">
              <w:t xml:space="preserve"> ab</w:t>
            </w:r>
          </w:p>
        </w:tc>
        <w:tc>
          <w:tcPr>
            <w:tcW w:w="2240" w:type="dxa"/>
            <w:vAlign w:val="bottom"/>
          </w:tcPr>
          <w:p w:rsidR="005674D0" w:rsidRDefault="00115808" w:rsidP="005674D0">
            <w:pPr>
              <w:widowControl w:val="0"/>
              <w:autoSpaceDE w:val="0"/>
              <w:autoSpaceDN w:val="0"/>
              <w:adjustRightInd w:val="0"/>
              <w:jc w:val="center"/>
            </w:pPr>
            <w:r>
              <w:t>0.839 ab</w:t>
            </w:r>
          </w:p>
        </w:tc>
      </w:tr>
      <w:tr w:rsidR="005674D0" w:rsidTr="00115808">
        <w:trPr>
          <w:trHeight w:val="282"/>
        </w:trPr>
        <w:tc>
          <w:tcPr>
            <w:tcW w:w="2240" w:type="dxa"/>
          </w:tcPr>
          <w:p w:rsidR="005674D0" w:rsidRDefault="005674D0" w:rsidP="005674D0">
            <w:pPr>
              <w:widowControl w:val="0"/>
              <w:autoSpaceDE w:val="0"/>
              <w:autoSpaceDN w:val="0"/>
              <w:adjustRightInd w:val="0"/>
            </w:pPr>
            <w:r>
              <w:t>17</w:t>
            </w:r>
          </w:p>
        </w:tc>
        <w:tc>
          <w:tcPr>
            <w:tcW w:w="2240" w:type="dxa"/>
            <w:vAlign w:val="bottom"/>
          </w:tcPr>
          <w:p w:rsidR="005674D0" w:rsidRDefault="005674D0" w:rsidP="005674D0">
            <w:pPr>
              <w:widowControl w:val="0"/>
              <w:autoSpaceDE w:val="0"/>
              <w:autoSpaceDN w:val="0"/>
              <w:adjustRightInd w:val="0"/>
              <w:jc w:val="center"/>
            </w:pPr>
            <w:r>
              <w:t>1.032</w:t>
            </w:r>
            <w:r w:rsidR="00115808">
              <w:t xml:space="preserve"> a</w:t>
            </w:r>
          </w:p>
        </w:tc>
        <w:tc>
          <w:tcPr>
            <w:tcW w:w="2240" w:type="dxa"/>
            <w:vAlign w:val="bottom"/>
          </w:tcPr>
          <w:p w:rsidR="005674D0" w:rsidRDefault="00115808" w:rsidP="005674D0">
            <w:pPr>
              <w:widowControl w:val="0"/>
              <w:autoSpaceDE w:val="0"/>
              <w:autoSpaceDN w:val="0"/>
              <w:adjustRightInd w:val="0"/>
              <w:jc w:val="center"/>
            </w:pPr>
            <w:r>
              <w:t>0.923 a</w:t>
            </w:r>
          </w:p>
        </w:tc>
      </w:tr>
      <w:tr w:rsidR="005674D0" w:rsidTr="00115808">
        <w:trPr>
          <w:trHeight w:val="297"/>
        </w:trPr>
        <w:tc>
          <w:tcPr>
            <w:tcW w:w="2240" w:type="dxa"/>
          </w:tcPr>
          <w:p w:rsidR="005674D0" w:rsidRDefault="005674D0" w:rsidP="005674D0">
            <w:pPr>
              <w:widowControl w:val="0"/>
              <w:autoSpaceDE w:val="0"/>
              <w:autoSpaceDN w:val="0"/>
              <w:adjustRightInd w:val="0"/>
            </w:pPr>
            <w:r>
              <w:t>18</w:t>
            </w:r>
          </w:p>
        </w:tc>
        <w:tc>
          <w:tcPr>
            <w:tcW w:w="2240" w:type="dxa"/>
            <w:vAlign w:val="bottom"/>
          </w:tcPr>
          <w:p w:rsidR="005674D0" w:rsidRDefault="005674D0" w:rsidP="005674D0">
            <w:pPr>
              <w:widowControl w:val="0"/>
              <w:autoSpaceDE w:val="0"/>
              <w:autoSpaceDN w:val="0"/>
              <w:adjustRightInd w:val="0"/>
              <w:jc w:val="center"/>
            </w:pPr>
            <w:r>
              <w:t>0.690</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0.741 ab</w:t>
            </w:r>
          </w:p>
        </w:tc>
      </w:tr>
      <w:tr w:rsidR="005674D0" w:rsidTr="00115808">
        <w:trPr>
          <w:trHeight w:val="282"/>
        </w:trPr>
        <w:tc>
          <w:tcPr>
            <w:tcW w:w="2240" w:type="dxa"/>
          </w:tcPr>
          <w:p w:rsidR="005674D0" w:rsidRDefault="005674D0" w:rsidP="005674D0">
            <w:pPr>
              <w:widowControl w:val="0"/>
              <w:autoSpaceDE w:val="0"/>
              <w:autoSpaceDN w:val="0"/>
              <w:adjustRightInd w:val="0"/>
            </w:pPr>
            <w:r>
              <w:t>19</w:t>
            </w:r>
          </w:p>
        </w:tc>
        <w:tc>
          <w:tcPr>
            <w:tcW w:w="2240" w:type="dxa"/>
            <w:vAlign w:val="bottom"/>
          </w:tcPr>
          <w:p w:rsidR="005674D0" w:rsidRDefault="005674D0" w:rsidP="005674D0">
            <w:pPr>
              <w:widowControl w:val="0"/>
              <w:autoSpaceDE w:val="0"/>
              <w:autoSpaceDN w:val="0"/>
              <w:adjustRightInd w:val="0"/>
              <w:jc w:val="center"/>
            </w:pPr>
            <w:r>
              <w:t>0.818</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0.741 ab</w:t>
            </w:r>
          </w:p>
        </w:tc>
      </w:tr>
      <w:tr w:rsidR="005674D0" w:rsidTr="00115808">
        <w:trPr>
          <w:trHeight w:val="297"/>
        </w:trPr>
        <w:tc>
          <w:tcPr>
            <w:tcW w:w="2240" w:type="dxa"/>
          </w:tcPr>
          <w:p w:rsidR="005674D0" w:rsidRDefault="005674D0" w:rsidP="005674D0">
            <w:pPr>
              <w:widowControl w:val="0"/>
              <w:autoSpaceDE w:val="0"/>
              <w:autoSpaceDN w:val="0"/>
              <w:adjustRightInd w:val="0"/>
            </w:pPr>
            <w:r>
              <w:t>20</w:t>
            </w:r>
          </w:p>
        </w:tc>
        <w:tc>
          <w:tcPr>
            <w:tcW w:w="2240" w:type="dxa"/>
            <w:vAlign w:val="bottom"/>
          </w:tcPr>
          <w:p w:rsidR="005674D0" w:rsidRDefault="005674D0" w:rsidP="005674D0">
            <w:pPr>
              <w:widowControl w:val="0"/>
              <w:autoSpaceDE w:val="0"/>
              <w:autoSpaceDN w:val="0"/>
              <w:adjustRightInd w:val="0"/>
              <w:jc w:val="center"/>
            </w:pPr>
            <w:r>
              <w:t>0.834</w:t>
            </w:r>
            <w:r w:rsidR="00115808">
              <w:t xml:space="preserve"> ab </w:t>
            </w:r>
          </w:p>
        </w:tc>
        <w:tc>
          <w:tcPr>
            <w:tcW w:w="2240" w:type="dxa"/>
            <w:vAlign w:val="bottom"/>
          </w:tcPr>
          <w:p w:rsidR="005674D0" w:rsidRDefault="00115808" w:rsidP="005674D0">
            <w:pPr>
              <w:widowControl w:val="0"/>
              <w:autoSpaceDE w:val="0"/>
              <w:autoSpaceDN w:val="0"/>
              <w:adjustRightInd w:val="0"/>
              <w:jc w:val="center"/>
            </w:pPr>
            <w:r>
              <w:t>0.790 ab</w:t>
            </w:r>
          </w:p>
        </w:tc>
      </w:tr>
      <w:tr w:rsidR="005674D0" w:rsidTr="00115808">
        <w:trPr>
          <w:trHeight w:val="297"/>
        </w:trPr>
        <w:tc>
          <w:tcPr>
            <w:tcW w:w="2240" w:type="dxa"/>
          </w:tcPr>
          <w:p w:rsidR="005674D0" w:rsidRDefault="005674D0" w:rsidP="005674D0">
            <w:pPr>
              <w:widowControl w:val="0"/>
              <w:autoSpaceDE w:val="0"/>
              <w:autoSpaceDN w:val="0"/>
              <w:adjustRightInd w:val="0"/>
            </w:pPr>
            <w:r>
              <w:t>21</w:t>
            </w:r>
          </w:p>
        </w:tc>
        <w:tc>
          <w:tcPr>
            <w:tcW w:w="2240" w:type="dxa"/>
            <w:vAlign w:val="bottom"/>
          </w:tcPr>
          <w:p w:rsidR="005674D0" w:rsidRDefault="005674D0" w:rsidP="005674D0">
            <w:pPr>
              <w:widowControl w:val="0"/>
              <w:autoSpaceDE w:val="0"/>
              <w:autoSpaceDN w:val="0"/>
              <w:adjustRightInd w:val="0"/>
              <w:jc w:val="center"/>
            </w:pPr>
            <w:r>
              <w:t>0.785</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0.789 ab</w:t>
            </w:r>
          </w:p>
        </w:tc>
      </w:tr>
      <w:tr w:rsidR="005674D0" w:rsidTr="00115808">
        <w:trPr>
          <w:trHeight w:val="282"/>
        </w:trPr>
        <w:tc>
          <w:tcPr>
            <w:tcW w:w="2240" w:type="dxa"/>
          </w:tcPr>
          <w:p w:rsidR="005674D0" w:rsidRDefault="005674D0" w:rsidP="005674D0">
            <w:pPr>
              <w:widowControl w:val="0"/>
              <w:autoSpaceDE w:val="0"/>
              <w:autoSpaceDN w:val="0"/>
              <w:adjustRightInd w:val="0"/>
            </w:pPr>
            <w:r>
              <w:t>22</w:t>
            </w:r>
          </w:p>
        </w:tc>
        <w:tc>
          <w:tcPr>
            <w:tcW w:w="2240" w:type="dxa"/>
            <w:vAlign w:val="bottom"/>
          </w:tcPr>
          <w:p w:rsidR="005674D0" w:rsidRDefault="005674D0" w:rsidP="005674D0">
            <w:pPr>
              <w:widowControl w:val="0"/>
              <w:autoSpaceDE w:val="0"/>
              <w:autoSpaceDN w:val="0"/>
              <w:adjustRightInd w:val="0"/>
              <w:jc w:val="center"/>
            </w:pPr>
            <w:r>
              <w:t>0.854</w:t>
            </w:r>
            <w:r w:rsidR="00115808">
              <w:t xml:space="preserve"> ab</w:t>
            </w:r>
          </w:p>
        </w:tc>
        <w:tc>
          <w:tcPr>
            <w:tcW w:w="2240" w:type="dxa"/>
            <w:vAlign w:val="bottom"/>
          </w:tcPr>
          <w:p w:rsidR="005674D0" w:rsidRDefault="00115808" w:rsidP="005674D0">
            <w:pPr>
              <w:widowControl w:val="0"/>
              <w:autoSpaceDE w:val="0"/>
              <w:autoSpaceDN w:val="0"/>
              <w:adjustRightInd w:val="0"/>
              <w:jc w:val="center"/>
            </w:pPr>
            <w:r>
              <w:t>0.658 b</w:t>
            </w:r>
          </w:p>
        </w:tc>
      </w:tr>
      <w:tr w:rsidR="005674D0" w:rsidTr="00115808">
        <w:trPr>
          <w:trHeight w:val="297"/>
        </w:trPr>
        <w:tc>
          <w:tcPr>
            <w:tcW w:w="2240" w:type="dxa"/>
          </w:tcPr>
          <w:p w:rsidR="005674D0" w:rsidRDefault="005674D0" w:rsidP="005674D0">
            <w:pPr>
              <w:widowControl w:val="0"/>
              <w:autoSpaceDE w:val="0"/>
              <w:autoSpaceDN w:val="0"/>
              <w:adjustRightInd w:val="0"/>
            </w:pPr>
            <w:r>
              <w:t>23</w:t>
            </w:r>
          </w:p>
        </w:tc>
        <w:tc>
          <w:tcPr>
            <w:tcW w:w="2240" w:type="dxa"/>
            <w:vAlign w:val="bottom"/>
          </w:tcPr>
          <w:p w:rsidR="005674D0" w:rsidRDefault="005674D0" w:rsidP="005674D0">
            <w:pPr>
              <w:widowControl w:val="0"/>
              <w:autoSpaceDE w:val="0"/>
              <w:autoSpaceDN w:val="0"/>
              <w:adjustRightInd w:val="0"/>
              <w:jc w:val="center"/>
            </w:pPr>
            <w:r>
              <w:t>0.871</w:t>
            </w:r>
            <w:r w:rsidR="00115808">
              <w:t xml:space="preserve"> ab</w:t>
            </w:r>
          </w:p>
        </w:tc>
        <w:tc>
          <w:tcPr>
            <w:tcW w:w="2240" w:type="dxa"/>
            <w:vAlign w:val="bottom"/>
          </w:tcPr>
          <w:p w:rsidR="005674D0" w:rsidRDefault="00115808" w:rsidP="005674D0">
            <w:pPr>
              <w:widowControl w:val="0"/>
              <w:autoSpaceDE w:val="0"/>
              <w:autoSpaceDN w:val="0"/>
              <w:adjustRightInd w:val="0"/>
              <w:jc w:val="center"/>
            </w:pPr>
            <w:r>
              <w:t>0.814 ab</w:t>
            </w:r>
          </w:p>
        </w:tc>
      </w:tr>
      <w:tr w:rsidR="005674D0" w:rsidTr="00115808">
        <w:trPr>
          <w:trHeight w:val="282"/>
        </w:trPr>
        <w:tc>
          <w:tcPr>
            <w:tcW w:w="2240" w:type="dxa"/>
          </w:tcPr>
          <w:p w:rsidR="005674D0" w:rsidRDefault="005674D0" w:rsidP="005674D0">
            <w:pPr>
              <w:widowControl w:val="0"/>
              <w:autoSpaceDE w:val="0"/>
              <w:autoSpaceDN w:val="0"/>
              <w:adjustRightInd w:val="0"/>
            </w:pPr>
            <w:r>
              <w:t>24</w:t>
            </w:r>
          </w:p>
        </w:tc>
        <w:tc>
          <w:tcPr>
            <w:tcW w:w="2240" w:type="dxa"/>
            <w:vAlign w:val="bottom"/>
          </w:tcPr>
          <w:p w:rsidR="005674D0" w:rsidRDefault="005674D0" w:rsidP="005674D0">
            <w:pPr>
              <w:widowControl w:val="0"/>
              <w:autoSpaceDE w:val="0"/>
              <w:autoSpaceDN w:val="0"/>
              <w:adjustRightInd w:val="0"/>
              <w:jc w:val="center"/>
            </w:pPr>
            <w:r>
              <w:t>0.832</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0.807 ab</w:t>
            </w:r>
          </w:p>
        </w:tc>
      </w:tr>
      <w:tr w:rsidR="005674D0" w:rsidTr="00115808">
        <w:trPr>
          <w:trHeight w:val="297"/>
        </w:trPr>
        <w:tc>
          <w:tcPr>
            <w:tcW w:w="2240" w:type="dxa"/>
          </w:tcPr>
          <w:p w:rsidR="005674D0" w:rsidRDefault="005674D0" w:rsidP="005674D0">
            <w:pPr>
              <w:widowControl w:val="0"/>
              <w:autoSpaceDE w:val="0"/>
              <w:autoSpaceDN w:val="0"/>
              <w:adjustRightInd w:val="0"/>
            </w:pPr>
            <w:r>
              <w:t>25</w:t>
            </w:r>
          </w:p>
        </w:tc>
        <w:tc>
          <w:tcPr>
            <w:tcW w:w="2240" w:type="dxa"/>
            <w:vAlign w:val="bottom"/>
          </w:tcPr>
          <w:p w:rsidR="005674D0" w:rsidRDefault="005674D0" w:rsidP="005674D0">
            <w:pPr>
              <w:widowControl w:val="0"/>
              <w:autoSpaceDE w:val="0"/>
              <w:autoSpaceDN w:val="0"/>
              <w:adjustRightInd w:val="0"/>
              <w:jc w:val="center"/>
            </w:pPr>
            <w:r>
              <w:t>0.914</w:t>
            </w:r>
            <w:r w:rsidR="00115808">
              <w:t xml:space="preserve"> ab</w:t>
            </w:r>
          </w:p>
        </w:tc>
        <w:tc>
          <w:tcPr>
            <w:tcW w:w="2240" w:type="dxa"/>
            <w:vAlign w:val="bottom"/>
          </w:tcPr>
          <w:p w:rsidR="005674D0" w:rsidRDefault="00115808" w:rsidP="005674D0">
            <w:pPr>
              <w:widowControl w:val="0"/>
              <w:autoSpaceDE w:val="0"/>
              <w:autoSpaceDN w:val="0"/>
              <w:adjustRightInd w:val="0"/>
              <w:jc w:val="center"/>
            </w:pPr>
            <w:r>
              <w:t>0.915 ab</w:t>
            </w:r>
          </w:p>
        </w:tc>
      </w:tr>
      <w:tr w:rsidR="005674D0" w:rsidTr="00115808">
        <w:trPr>
          <w:trHeight w:val="282"/>
        </w:trPr>
        <w:tc>
          <w:tcPr>
            <w:tcW w:w="2240" w:type="dxa"/>
          </w:tcPr>
          <w:p w:rsidR="005674D0" w:rsidRDefault="005674D0" w:rsidP="005674D0">
            <w:pPr>
              <w:widowControl w:val="0"/>
              <w:autoSpaceDE w:val="0"/>
              <w:autoSpaceDN w:val="0"/>
              <w:adjustRightInd w:val="0"/>
            </w:pPr>
            <w:r>
              <w:t>26</w:t>
            </w:r>
          </w:p>
        </w:tc>
        <w:tc>
          <w:tcPr>
            <w:tcW w:w="2240" w:type="dxa"/>
            <w:vAlign w:val="bottom"/>
          </w:tcPr>
          <w:p w:rsidR="005674D0" w:rsidRDefault="005674D0" w:rsidP="005674D0">
            <w:pPr>
              <w:widowControl w:val="0"/>
              <w:autoSpaceDE w:val="0"/>
              <w:autoSpaceDN w:val="0"/>
              <w:adjustRightInd w:val="0"/>
              <w:jc w:val="center"/>
            </w:pPr>
            <w:r>
              <w:t>0.797</w:t>
            </w:r>
            <w:r w:rsidR="00115808">
              <w:t xml:space="preserve"> b</w:t>
            </w:r>
          </w:p>
        </w:tc>
        <w:tc>
          <w:tcPr>
            <w:tcW w:w="2240" w:type="dxa"/>
            <w:vAlign w:val="bottom"/>
          </w:tcPr>
          <w:p w:rsidR="005674D0" w:rsidRDefault="00115808" w:rsidP="005674D0">
            <w:pPr>
              <w:widowControl w:val="0"/>
              <w:autoSpaceDE w:val="0"/>
              <w:autoSpaceDN w:val="0"/>
              <w:adjustRightInd w:val="0"/>
              <w:jc w:val="center"/>
            </w:pPr>
            <w:r>
              <w:t>0.737 b</w:t>
            </w:r>
          </w:p>
        </w:tc>
      </w:tr>
      <w:tr w:rsidR="005674D0" w:rsidTr="00115808">
        <w:trPr>
          <w:trHeight w:val="297"/>
        </w:trPr>
        <w:tc>
          <w:tcPr>
            <w:tcW w:w="2240" w:type="dxa"/>
            <w:tcBorders>
              <w:bottom w:val="single" w:sz="4" w:space="0" w:color="auto"/>
            </w:tcBorders>
          </w:tcPr>
          <w:p w:rsidR="005674D0" w:rsidRDefault="005674D0" w:rsidP="005674D0">
            <w:pPr>
              <w:widowControl w:val="0"/>
              <w:autoSpaceDE w:val="0"/>
              <w:autoSpaceDN w:val="0"/>
              <w:adjustRightInd w:val="0"/>
            </w:pPr>
            <w:r>
              <w:t>27</w:t>
            </w:r>
          </w:p>
        </w:tc>
        <w:tc>
          <w:tcPr>
            <w:tcW w:w="2240" w:type="dxa"/>
            <w:tcBorders>
              <w:bottom w:val="single" w:sz="4" w:space="0" w:color="auto"/>
            </w:tcBorders>
            <w:vAlign w:val="bottom"/>
          </w:tcPr>
          <w:p w:rsidR="005674D0" w:rsidRDefault="005674D0" w:rsidP="005674D0">
            <w:pPr>
              <w:widowControl w:val="0"/>
              <w:autoSpaceDE w:val="0"/>
              <w:autoSpaceDN w:val="0"/>
              <w:adjustRightInd w:val="0"/>
              <w:jc w:val="center"/>
            </w:pPr>
            <w:r>
              <w:t>0.835</w:t>
            </w:r>
            <w:r w:rsidR="00115808">
              <w:t xml:space="preserve"> ab</w:t>
            </w:r>
          </w:p>
        </w:tc>
        <w:tc>
          <w:tcPr>
            <w:tcW w:w="2240" w:type="dxa"/>
            <w:tcBorders>
              <w:bottom w:val="single" w:sz="4" w:space="0" w:color="auto"/>
            </w:tcBorders>
            <w:vAlign w:val="bottom"/>
          </w:tcPr>
          <w:p w:rsidR="005674D0" w:rsidRDefault="00115808" w:rsidP="005674D0">
            <w:pPr>
              <w:widowControl w:val="0"/>
              <w:autoSpaceDE w:val="0"/>
              <w:autoSpaceDN w:val="0"/>
              <w:adjustRightInd w:val="0"/>
              <w:jc w:val="center"/>
            </w:pPr>
            <w:r>
              <w:t>0.836 ab</w:t>
            </w:r>
          </w:p>
        </w:tc>
      </w:tr>
    </w:tbl>
    <w:p w:rsidR="00115808" w:rsidRDefault="00115808" w:rsidP="00171B4E">
      <w:pPr>
        <w:widowControl w:val="0"/>
        <w:autoSpaceDE w:val="0"/>
        <w:autoSpaceDN w:val="0"/>
        <w:adjustRightInd w:val="0"/>
        <w:spacing w:line="480" w:lineRule="auto"/>
      </w:pPr>
      <w:r>
        <w:rPr>
          <w:vertAlign w:val="superscript"/>
        </w:rPr>
        <w:t>a</w:t>
      </w:r>
      <w:r>
        <w:t xml:space="preserve"> Means within a column followed by the same letter are not different at </w:t>
      </w:r>
      <w:r>
        <w:rPr>
          <w:rFonts w:cstheme="majorHAnsi"/>
        </w:rPr>
        <w:t>α</w:t>
      </w:r>
      <w:r>
        <w:t>=0.05.</w:t>
      </w:r>
      <w:r>
        <w:br w:type="page"/>
      </w:r>
    </w:p>
    <w:p w:rsidR="00F2545D" w:rsidRPr="00115808" w:rsidRDefault="00115808" w:rsidP="003D3B8C">
      <w:pPr>
        <w:widowControl w:val="0"/>
        <w:autoSpaceDE w:val="0"/>
        <w:autoSpaceDN w:val="0"/>
        <w:adjustRightInd w:val="0"/>
        <w:spacing w:line="480" w:lineRule="auto"/>
      </w:pPr>
      <w:r>
        <w:rPr>
          <w:b/>
        </w:rPr>
        <w:lastRenderedPageBreak/>
        <w:t>Table 2.</w:t>
      </w:r>
      <w:r>
        <w:t xml:space="preserve"> Analysis of variance results for the effect of seed treatment on the cultivar tolerance to metribuzin and sulfentrazone herbicides.</w:t>
      </w:r>
      <w:r>
        <w:rPr>
          <w:vertAlign w:val="superscript"/>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115808" w:rsidTr="00115808">
        <w:tc>
          <w:tcPr>
            <w:tcW w:w="1870" w:type="dxa"/>
            <w:tcBorders>
              <w:top w:val="single" w:sz="4" w:space="0" w:color="auto"/>
              <w:bottom w:val="single" w:sz="4" w:space="0" w:color="auto"/>
            </w:tcBorders>
          </w:tcPr>
          <w:p w:rsidR="00115808" w:rsidRDefault="00115808" w:rsidP="00103204">
            <w:pPr>
              <w:widowControl w:val="0"/>
              <w:autoSpaceDE w:val="0"/>
              <w:autoSpaceDN w:val="0"/>
              <w:adjustRightInd w:val="0"/>
            </w:pPr>
            <w:r>
              <w:t>Seed treatment</w:t>
            </w:r>
          </w:p>
        </w:tc>
        <w:tc>
          <w:tcPr>
            <w:tcW w:w="1870" w:type="dxa"/>
            <w:tcBorders>
              <w:top w:val="single" w:sz="4" w:space="0" w:color="auto"/>
              <w:bottom w:val="single" w:sz="4" w:space="0" w:color="auto"/>
            </w:tcBorders>
            <w:vAlign w:val="bottom"/>
          </w:tcPr>
          <w:p w:rsidR="00115808" w:rsidRDefault="00115808" w:rsidP="00103204">
            <w:pPr>
              <w:widowControl w:val="0"/>
              <w:autoSpaceDE w:val="0"/>
              <w:autoSpaceDN w:val="0"/>
              <w:adjustRightInd w:val="0"/>
              <w:jc w:val="center"/>
            </w:pPr>
            <w:r>
              <w:t>Metribuzin</w:t>
            </w:r>
          </w:p>
        </w:tc>
        <w:tc>
          <w:tcPr>
            <w:tcW w:w="1870" w:type="dxa"/>
            <w:tcBorders>
              <w:top w:val="single" w:sz="4" w:space="0" w:color="auto"/>
              <w:bottom w:val="single" w:sz="4" w:space="0" w:color="auto"/>
            </w:tcBorders>
            <w:vAlign w:val="bottom"/>
          </w:tcPr>
          <w:p w:rsidR="00115808" w:rsidRDefault="00115808" w:rsidP="00103204">
            <w:pPr>
              <w:widowControl w:val="0"/>
              <w:autoSpaceDE w:val="0"/>
              <w:autoSpaceDN w:val="0"/>
              <w:adjustRightInd w:val="0"/>
              <w:jc w:val="center"/>
            </w:pPr>
            <w:r>
              <w:t>Sulfentrazone</w:t>
            </w:r>
          </w:p>
        </w:tc>
      </w:tr>
      <w:tr w:rsidR="00115808" w:rsidTr="00115808">
        <w:tc>
          <w:tcPr>
            <w:tcW w:w="1870" w:type="dxa"/>
            <w:tcBorders>
              <w:top w:val="single" w:sz="4" w:space="0" w:color="auto"/>
            </w:tcBorders>
          </w:tcPr>
          <w:p w:rsidR="00115808" w:rsidRDefault="00115808" w:rsidP="00103204">
            <w:pPr>
              <w:widowControl w:val="0"/>
              <w:autoSpaceDE w:val="0"/>
              <w:autoSpaceDN w:val="0"/>
              <w:adjustRightInd w:val="0"/>
            </w:pPr>
            <w:r>
              <w:t>1</w:t>
            </w:r>
          </w:p>
        </w:tc>
        <w:tc>
          <w:tcPr>
            <w:tcW w:w="1870" w:type="dxa"/>
            <w:tcBorders>
              <w:top w:val="single" w:sz="4" w:space="0" w:color="auto"/>
            </w:tcBorders>
            <w:vAlign w:val="bottom"/>
          </w:tcPr>
          <w:p w:rsidR="00115808" w:rsidRDefault="00115808" w:rsidP="00103204">
            <w:pPr>
              <w:widowControl w:val="0"/>
              <w:autoSpaceDE w:val="0"/>
              <w:autoSpaceDN w:val="0"/>
              <w:adjustRightInd w:val="0"/>
              <w:jc w:val="center"/>
            </w:pPr>
            <w:r>
              <w:t>0.792</w:t>
            </w:r>
            <w:r w:rsidR="003A0D6D">
              <w:t xml:space="preserve"> ab</w:t>
            </w:r>
          </w:p>
        </w:tc>
        <w:tc>
          <w:tcPr>
            <w:tcW w:w="1870" w:type="dxa"/>
            <w:tcBorders>
              <w:top w:val="single" w:sz="4" w:space="0" w:color="auto"/>
            </w:tcBorders>
            <w:vAlign w:val="bottom"/>
          </w:tcPr>
          <w:p w:rsidR="00115808" w:rsidRDefault="003A0D6D" w:rsidP="00103204">
            <w:pPr>
              <w:widowControl w:val="0"/>
              <w:autoSpaceDE w:val="0"/>
              <w:autoSpaceDN w:val="0"/>
              <w:adjustRightInd w:val="0"/>
              <w:jc w:val="center"/>
            </w:pPr>
            <w:r>
              <w:t>0.794 a</w:t>
            </w:r>
          </w:p>
        </w:tc>
      </w:tr>
      <w:tr w:rsidR="00115808" w:rsidTr="00115808">
        <w:tc>
          <w:tcPr>
            <w:tcW w:w="1870" w:type="dxa"/>
          </w:tcPr>
          <w:p w:rsidR="00115808" w:rsidRDefault="00115808" w:rsidP="00103204">
            <w:pPr>
              <w:widowControl w:val="0"/>
              <w:autoSpaceDE w:val="0"/>
              <w:autoSpaceDN w:val="0"/>
              <w:adjustRightInd w:val="0"/>
            </w:pPr>
            <w:r>
              <w:t>2</w:t>
            </w:r>
          </w:p>
        </w:tc>
        <w:tc>
          <w:tcPr>
            <w:tcW w:w="1870" w:type="dxa"/>
            <w:vAlign w:val="bottom"/>
          </w:tcPr>
          <w:p w:rsidR="00115808" w:rsidRDefault="00115808" w:rsidP="00103204">
            <w:pPr>
              <w:widowControl w:val="0"/>
              <w:autoSpaceDE w:val="0"/>
              <w:autoSpaceDN w:val="0"/>
              <w:adjustRightInd w:val="0"/>
              <w:jc w:val="center"/>
            </w:pPr>
            <w:r>
              <w:t>0.782</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0.714 a</w:t>
            </w:r>
          </w:p>
        </w:tc>
      </w:tr>
      <w:tr w:rsidR="00115808" w:rsidTr="00115808">
        <w:tc>
          <w:tcPr>
            <w:tcW w:w="1870" w:type="dxa"/>
          </w:tcPr>
          <w:p w:rsidR="00115808" w:rsidRDefault="00115808" w:rsidP="00103204">
            <w:pPr>
              <w:widowControl w:val="0"/>
              <w:autoSpaceDE w:val="0"/>
              <w:autoSpaceDN w:val="0"/>
              <w:adjustRightInd w:val="0"/>
            </w:pPr>
            <w:r>
              <w:t>3</w:t>
            </w:r>
          </w:p>
        </w:tc>
        <w:tc>
          <w:tcPr>
            <w:tcW w:w="1870" w:type="dxa"/>
            <w:vAlign w:val="bottom"/>
          </w:tcPr>
          <w:p w:rsidR="00115808" w:rsidRDefault="00115808" w:rsidP="00103204">
            <w:pPr>
              <w:widowControl w:val="0"/>
              <w:autoSpaceDE w:val="0"/>
              <w:autoSpaceDN w:val="0"/>
              <w:adjustRightInd w:val="0"/>
              <w:jc w:val="center"/>
            </w:pPr>
            <w:r>
              <w:t>0.783</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0.786 a</w:t>
            </w:r>
          </w:p>
        </w:tc>
      </w:tr>
      <w:tr w:rsidR="00115808" w:rsidTr="00115808">
        <w:tc>
          <w:tcPr>
            <w:tcW w:w="1870" w:type="dxa"/>
          </w:tcPr>
          <w:p w:rsidR="00115808" w:rsidRDefault="00115808" w:rsidP="00103204">
            <w:pPr>
              <w:widowControl w:val="0"/>
              <w:autoSpaceDE w:val="0"/>
              <w:autoSpaceDN w:val="0"/>
              <w:adjustRightInd w:val="0"/>
            </w:pPr>
            <w:r>
              <w:t>4</w:t>
            </w:r>
          </w:p>
        </w:tc>
        <w:tc>
          <w:tcPr>
            <w:tcW w:w="1870" w:type="dxa"/>
            <w:vAlign w:val="bottom"/>
          </w:tcPr>
          <w:p w:rsidR="00115808" w:rsidRDefault="00115808" w:rsidP="00103204">
            <w:pPr>
              <w:widowControl w:val="0"/>
              <w:autoSpaceDE w:val="0"/>
              <w:autoSpaceDN w:val="0"/>
              <w:adjustRightInd w:val="0"/>
              <w:jc w:val="center"/>
            </w:pPr>
            <w:r>
              <w:t>1.036</w:t>
            </w:r>
            <w:r w:rsidR="003A0D6D">
              <w:t xml:space="preserve"> a</w:t>
            </w:r>
          </w:p>
        </w:tc>
        <w:tc>
          <w:tcPr>
            <w:tcW w:w="1870" w:type="dxa"/>
            <w:vAlign w:val="bottom"/>
          </w:tcPr>
          <w:p w:rsidR="00115808" w:rsidRDefault="003A0D6D" w:rsidP="00103204">
            <w:pPr>
              <w:widowControl w:val="0"/>
              <w:autoSpaceDE w:val="0"/>
              <w:autoSpaceDN w:val="0"/>
              <w:adjustRightInd w:val="0"/>
              <w:jc w:val="center"/>
            </w:pPr>
            <w:r>
              <w:t>0.995 a</w:t>
            </w:r>
          </w:p>
        </w:tc>
      </w:tr>
      <w:tr w:rsidR="00115808" w:rsidTr="00115808">
        <w:tc>
          <w:tcPr>
            <w:tcW w:w="1870" w:type="dxa"/>
          </w:tcPr>
          <w:p w:rsidR="00115808" w:rsidRDefault="00115808" w:rsidP="00103204">
            <w:pPr>
              <w:widowControl w:val="0"/>
              <w:autoSpaceDE w:val="0"/>
              <w:autoSpaceDN w:val="0"/>
              <w:adjustRightInd w:val="0"/>
            </w:pPr>
            <w:r>
              <w:t>5</w:t>
            </w:r>
          </w:p>
        </w:tc>
        <w:tc>
          <w:tcPr>
            <w:tcW w:w="1870" w:type="dxa"/>
            <w:vAlign w:val="bottom"/>
          </w:tcPr>
          <w:p w:rsidR="00115808" w:rsidRDefault="00115808" w:rsidP="00103204">
            <w:pPr>
              <w:widowControl w:val="0"/>
              <w:autoSpaceDE w:val="0"/>
              <w:autoSpaceDN w:val="0"/>
              <w:adjustRightInd w:val="0"/>
              <w:jc w:val="center"/>
            </w:pPr>
            <w:r>
              <w:t>0.695</w:t>
            </w:r>
            <w:r w:rsidR="003A0D6D">
              <w:t xml:space="preserve"> b</w:t>
            </w:r>
          </w:p>
        </w:tc>
        <w:tc>
          <w:tcPr>
            <w:tcW w:w="1870" w:type="dxa"/>
            <w:vAlign w:val="bottom"/>
          </w:tcPr>
          <w:p w:rsidR="00115808" w:rsidRDefault="003A0D6D" w:rsidP="00103204">
            <w:pPr>
              <w:widowControl w:val="0"/>
              <w:autoSpaceDE w:val="0"/>
              <w:autoSpaceDN w:val="0"/>
              <w:adjustRightInd w:val="0"/>
              <w:jc w:val="center"/>
            </w:pPr>
            <w:r>
              <w:t>0.760 a</w:t>
            </w:r>
          </w:p>
        </w:tc>
      </w:tr>
      <w:tr w:rsidR="00115808" w:rsidTr="00115808">
        <w:tc>
          <w:tcPr>
            <w:tcW w:w="1870" w:type="dxa"/>
          </w:tcPr>
          <w:p w:rsidR="00115808" w:rsidRDefault="00115808" w:rsidP="00103204">
            <w:pPr>
              <w:widowControl w:val="0"/>
              <w:autoSpaceDE w:val="0"/>
              <w:autoSpaceDN w:val="0"/>
              <w:adjustRightInd w:val="0"/>
            </w:pPr>
            <w:r>
              <w:t>6</w:t>
            </w:r>
          </w:p>
        </w:tc>
        <w:tc>
          <w:tcPr>
            <w:tcW w:w="1870" w:type="dxa"/>
            <w:vAlign w:val="bottom"/>
          </w:tcPr>
          <w:p w:rsidR="00115808" w:rsidRDefault="00115808" w:rsidP="00103204">
            <w:pPr>
              <w:widowControl w:val="0"/>
              <w:autoSpaceDE w:val="0"/>
              <w:autoSpaceDN w:val="0"/>
              <w:adjustRightInd w:val="0"/>
              <w:jc w:val="center"/>
            </w:pPr>
            <w:r>
              <w:t>0.867</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0.812 a</w:t>
            </w:r>
          </w:p>
        </w:tc>
      </w:tr>
      <w:tr w:rsidR="00115808" w:rsidTr="00115808">
        <w:tc>
          <w:tcPr>
            <w:tcW w:w="1870" w:type="dxa"/>
          </w:tcPr>
          <w:p w:rsidR="00115808" w:rsidRDefault="00115808" w:rsidP="00103204">
            <w:pPr>
              <w:widowControl w:val="0"/>
              <w:autoSpaceDE w:val="0"/>
              <w:autoSpaceDN w:val="0"/>
              <w:adjustRightInd w:val="0"/>
            </w:pPr>
            <w:r>
              <w:t>7</w:t>
            </w:r>
          </w:p>
        </w:tc>
        <w:tc>
          <w:tcPr>
            <w:tcW w:w="1870" w:type="dxa"/>
            <w:vAlign w:val="bottom"/>
          </w:tcPr>
          <w:p w:rsidR="00115808" w:rsidRDefault="00115808" w:rsidP="00103204">
            <w:pPr>
              <w:widowControl w:val="0"/>
              <w:autoSpaceDE w:val="0"/>
              <w:autoSpaceDN w:val="0"/>
              <w:adjustRightInd w:val="0"/>
              <w:jc w:val="center"/>
            </w:pPr>
            <w:r>
              <w:t>0.854</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0.804 a</w:t>
            </w:r>
          </w:p>
        </w:tc>
      </w:tr>
      <w:tr w:rsidR="00115808" w:rsidTr="00115808">
        <w:tc>
          <w:tcPr>
            <w:tcW w:w="1870" w:type="dxa"/>
          </w:tcPr>
          <w:p w:rsidR="00115808" w:rsidRDefault="00115808" w:rsidP="00103204">
            <w:pPr>
              <w:widowControl w:val="0"/>
              <w:autoSpaceDE w:val="0"/>
              <w:autoSpaceDN w:val="0"/>
              <w:adjustRightInd w:val="0"/>
            </w:pPr>
            <w:r>
              <w:t>8</w:t>
            </w:r>
          </w:p>
        </w:tc>
        <w:tc>
          <w:tcPr>
            <w:tcW w:w="1870" w:type="dxa"/>
            <w:vAlign w:val="bottom"/>
          </w:tcPr>
          <w:p w:rsidR="00115808" w:rsidRDefault="00115808" w:rsidP="00103204">
            <w:pPr>
              <w:widowControl w:val="0"/>
              <w:autoSpaceDE w:val="0"/>
              <w:autoSpaceDN w:val="0"/>
              <w:adjustRightInd w:val="0"/>
              <w:jc w:val="center"/>
            </w:pPr>
            <w:r>
              <w:t>0.750</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0.780 a</w:t>
            </w:r>
          </w:p>
        </w:tc>
      </w:tr>
      <w:tr w:rsidR="00115808" w:rsidTr="00115808">
        <w:tc>
          <w:tcPr>
            <w:tcW w:w="1870" w:type="dxa"/>
          </w:tcPr>
          <w:p w:rsidR="00115808" w:rsidRDefault="00115808" w:rsidP="00103204">
            <w:pPr>
              <w:widowControl w:val="0"/>
              <w:autoSpaceDE w:val="0"/>
              <w:autoSpaceDN w:val="0"/>
              <w:adjustRightInd w:val="0"/>
            </w:pPr>
            <w:r>
              <w:t>9</w:t>
            </w:r>
          </w:p>
        </w:tc>
        <w:tc>
          <w:tcPr>
            <w:tcW w:w="1870" w:type="dxa"/>
            <w:vAlign w:val="bottom"/>
          </w:tcPr>
          <w:p w:rsidR="00115808" w:rsidRDefault="00115808" w:rsidP="00103204">
            <w:pPr>
              <w:widowControl w:val="0"/>
              <w:autoSpaceDE w:val="0"/>
              <w:autoSpaceDN w:val="0"/>
              <w:adjustRightInd w:val="0"/>
              <w:jc w:val="center"/>
            </w:pPr>
            <w:r>
              <w:t>0.772</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0.779 a</w:t>
            </w:r>
          </w:p>
        </w:tc>
      </w:tr>
      <w:tr w:rsidR="00115808" w:rsidTr="00115808">
        <w:tc>
          <w:tcPr>
            <w:tcW w:w="1870" w:type="dxa"/>
          </w:tcPr>
          <w:p w:rsidR="00115808" w:rsidRDefault="00115808" w:rsidP="00103204">
            <w:pPr>
              <w:widowControl w:val="0"/>
              <w:autoSpaceDE w:val="0"/>
              <w:autoSpaceDN w:val="0"/>
              <w:adjustRightInd w:val="0"/>
            </w:pPr>
            <w:r>
              <w:t>10</w:t>
            </w:r>
          </w:p>
        </w:tc>
        <w:tc>
          <w:tcPr>
            <w:tcW w:w="1870" w:type="dxa"/>
            <w:vAlign w:val="bottom"/>
          </w:tcPr>
          <w:p w:rsidR="00115808" w:rsidRDefault="00115808" w:rsidP="00103204">
            <w:pPr>
              <w:widowControl w:val="0"/>
              <w:autoSpaceDE w:val="0"/>
              <w:autoSpaceDN w:val="0"/>
              <w:adjustRightInd w:val="0"/>
              <w:jc w:val="center"/>
            </w:pPr>
            <w:r>
              <w:t>0.690</w:t>
            </w:r>
            <w:r w:rsidR="003A0D6D">
              <w:t xml:space="preserve"> b</w:t>
            </w:r>
          </w:p>
        </w:tc>
        <w:tc>
          <w:tcPr>
            <w:tcW w:w="1870" w:type="dxa"/>
            <w:vAlign w:val="bottom"/>
          </w:tcPr>
          <w:p w:rsidR="00115808" w:rsidRDefault="003A0D6D" w:rsidP="00103204">
            <w:pPr>
              <w:widowControl w:val="0"/>
              <w:autoSpaceDE w:val="0"/>
              <w:autoSpaceDN w:val="0"/>
              <w:adjustRightInd w:val="0"/>
              <w:jc w:val="center"/>
            </w:pPr>
            <w:r>
              <w:t>0.741 a</w:t>
            </w:r>
          </w:p>
        </w:tc>
      </w:tr>
      <w:tr w:rsidR="00115808" w:rsidTr="00115808">
        <w:tc>
          <w:tcPr>
            <w:tcW w:w="1870" w:type="dxa"/>
          </w:tcPr>
          <w:p w:rsidR="00115808" w:rsidRDefault="00115808" w:rsidP="00103204">
            <w:pPr>
              <w:widowControl w:val="0"/>
              <w:autoSpaceDE w:val="0"/>
              <w:autoSpaceDN w:val="0"/>
              <w:adjustRightInd w:val="0"/>
            </w:pPr>
            <w:r>
              <w:t>11</w:t>
            </w:r>
          </w:p>
        </w:tc>
        <w:tc>
          <w:tcPr>
            <w:tcW w:w="1870" w:type="dxa"/>
            <w:vAlign w:val="bottom"/>
          </w:tcPr>
          <w:p w:rsidR="00115808" w:rsidRDefault="00115808" w:rsidP="00103204">
            <w:pPr>
              <w:widowControl w:val="0"/>
              <w:autoSpaceDE w:val="0"/>
              <w:autoSpaceDN w:val="0"/>
              <w:adjustRightInd w:val="0"/>
              <w:jc w:val="center"/>
            </w:pPr>
            <w:r>
              <w:t>0.728</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0.780 a</w:t>
            </w:r>
          </w:p>
        </w:tc>
      </w:tr>
      <w:tr w:rsidR="00115808" w:rsidTr="00115808">
        <w:tc>
          <w:tcPr>
            <w:tcW w:w="1870" w:type="dxa"/>
          </w:tcPr>
          <w:p w:rsidR="00115808" w:rsidRDefault="00115808" w:rsidP="00103204">
            <w:pPr>
              <w:widowControl w:val="0"/>
              <w:autoSpaceDE w:val="0"/>
              <w:autoSpaceDN w:val="0"/>
              <w:adjustRightInd w:val="0"/>
            </w:pPr>
            <w:r>
              <w:t>12</w:t>
            </w:r>
          </w:p>
        </w:tc>
        <w:tc>
          <w:tcPr>
            <w:tcW w:w="1870" w:type="dxa"/>
            <w:vAlign w:val="bottom"/>
          </w:tcPr>
          <w:p w:rsidR="00115808" w:rsidRDefault="00115808" w:rsidP="00103204">
            <w:pPr>
              <w:widowControl w:val="0"/>
              <w:autoSpaceDE w:val="0"/>
              <w:autoSpaceDN w:val="0"/>
              <w:adjustRightInd w:val="0"/>
              <w:jc w:val="center"/>
            </w:pPr>
            <w:r>
              <w:t>0.707</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0.764 a</w:t>
            </w:r>
          </w:p>
        </w:tc>
      </w:tr>
      <w:tr w:rsidR="00115808" w:rsidTr="00115808">
        <w:tc>
          <w:tcPr>
            <w:tcW w:w="1870" w:type="dxa"/>
          </w:tcPr>
          <w:p w:rsidR="00115808" w:rsidRDefault="00115808" w:rsidP="00103204">
            <w:pPr>
              <w:widowControl w:val="0"/>
              <w:autoSpaceDE w:val="0"/>
              <w:autoSpaceDN w:val="0"/>
              <w:adjustRightInd w:val="0"/>
            </w:pPr>
            <w:r>
              <w:t>13</w:t>
            </w:r>
          </w:p>
        </w:tc>
        <w:tc>
          <w:tcPr>
            <w:tcW w:w="1870" w:type="dxa"/>
            <w:vAlign w:val="bottom"/>
          </w:tcPr>
          <w:p w:rsidR="00115808" w:rsidRDefault="00115808" w:rsidP="00103204">
            <w:pPr>
              <w:widowControl w:val="0"/>
              <w:autoSpaceDE w:val="0"/>
              <w:autoSpaceDN w:val="0"/>
              <w:adjustRightInd w:val="0"/>
              <w:jc w:val="center"/>
            </w:pPr>
            <w:r>
              <w:t>0.834</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0.790 a</w:t>
            </w:r>
          </w:p>
        </w:tc>
      </w:tr>
      <w:tr w:rsidR="00115808" w:rsidTr="00115808">
        <w:tc>
          <w:tcPr>
            <w:tcW w:w="1870" w:type="dxa"/>
          </w:tcPr>
          <w:p w:rsidR="00115808" w:rsidRDefault="00115808" w:rsidP="00103204">
            <w:pPr>
              <w:widowControl w:val="0"/>
              <w:autoSpaceDE w:val="0"/>
              <w:autoSpaceDN w:val="0"/>
              <w:adjustRightInd w:val="0"/>
            </w:pPr>
            <w:r>
              <w:t>14</w:t>
            </w:r>
          </w:p>
        </w:tc>
        <w:tc>
          <w:tcPr>
            <w:tcW w:w="1870" w:type="dxa"/>
            <w:vAlign w:val="bottom"/>
          </w:tcPr>
          <w:p w:rsidR="00115808" w:rsidRDefault="00115808" w:rsidP="00103204">
            <w:pPr>
              <w:widowControl w:val="0"/>
              <w:autoSpaceDE w:val="0"/>
              <w:autoSpaceDN w:val="0"/>
              <w:adjustRightInd w:val="0"/>
              <w:jc w:val="center"/>
            </w:pPr>
            <w:r>
              <w:t>0.766</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0.829 a</w:t>
            </w:r>
          </w:p>
        </w:tc>
      </w:tr>
      <w:tr w:rsidR="00115808" w:rsidTr="00115808">
        <w:tc>
          <w:tcPr>
            <w:tcW w:w="1870" w:type="dxa"/>
          </w:tcPr>
          <w:p w:rsidR="00115808" w:rsidRDefault="00115808" w:rsidP="00103204">
            <w:pPr>
              <w:widowControl w:val="0"/>
              <w:autoSpaceDE w:val="0"/>
              <w:autoSpaceDN w:val="0"/>
              <w:adjustRightInd w:val="0"/>
            </w:pPr>
            <w:r>
              <w:t>15</w:t>
            </w:r>
          </w:p>
        </w:tc>
        <w:tc>
          <w:tcPr>
            <w:tcW w:w="1870" w:type="dxa"/>
            <w:vAlign w:val="bottom"/>
          </w:tcPr>
          <w:p w:rsidR="00115808" w:rsidRDefault="00115808" w:rsidP="00103204">
            <w:pPr>
              <w:widowControl w:val="0"/>
              <w:autoSpaceDE w:val="0"/>
              <w:autoSpaceDN w:val="0"/>
              <w:adjustRightInd w:val="0"/>
              <w:jc w:val="center"/>
            </w:pPr>
            <w:r>
              <w:t>0.797</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0.737 a</w:t>
            </w:r>
          </w:p>
        </w:tc>
      </w:tr>
      <w:tr w:rsidR="00115808" w:rsidTr="00115808">
        <w:tc>
          <w:tcPr>
            <w:tcW w:w="1870" w:type="dxa"/>
          </w:tcPr>
          <w:p w:rsidR="00115808" w:rsidRDefault="00115808" w:rsidP="00103204">
            <w:pPr>
              <w:widowControl w:val="0"/>
              <w:autoSpaceDE w:val="0"/>
              <w:autoSpaceDN w:val="0"/>
              <w:adjustRightInd w:val="0"/>
            </w:pPr>
            <w:r>
              <w:t>16</w:t>
            </w:r>
          </w:p>
        </w:tc>
        <w:tc>
          <w:tcPr>
            <w:tcW w:w="1870" w:type="dxa"/>
            <w:vAlign w:val="bottom"/>
          </w:tcPr>
          <w:p w:rsidR="00115808" w:rsidRDefault="00115808" w:rsidP="00103204">
            <w:pPr>
              <w:widowControl w:val="0"/>
              <w:autoSpaceDE w:val="0"/>
              <w:autoSpaceDN w:val="0"/>
              <w:adjustRightInd w:val="0"/>
              <w:jc w:val="center"/>
            </w:pPr>
            <w:r>
              <w:t>0.747</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0.797 a</w:t>
            </w:r>
          </w:p>
        </w:tc>
      </w:tr>
      <w:tr w:rsidR="00115808" w:rsidTr="00115808">
        <w:tc>
          <w:tcPr>
            <w:tcW w:w="1870" w:type="dxa"/>
          </w:tcPr>
          <w:p w:rsidR="00115808" w:rsidRDefault="00115808" w:rsidP="00103204">
            <w:pPr>
              <w:widowControl w:val="0"/>
              <w:autoSpaceDE w:val="0"/>
              <w:autoSpaceDN w:val="0"/>
              <w:adjustRightInd w:val="0"/>
            </w:pPr>
            <w:r>
              <w:t>17</w:t>
            </w:r>
          </w:p>
        </w:tc>
        <w:tc>
          <w:tcPr>
            <w:tcW w:w="1870" w:type="dxa"/>
            <w:vAlign w:val="bottom"/>
          </w:tcPr>
          <w:p w:rsidR="00115808" w:rsidRDefault="00115808" w:rsidP="00103204">
            <w:pPr>
              <w:widowControl w:val="0"/>
              <w:autoSpaceDE w:val="0"/>
              <w:autoSpaceDN w:val="0"/>
              <w:adjustRightInd w:val="0"/>
              <w:jc w:val="center"/>
            </w:pPr>
            <w:r>
              <w:t>0.722</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0.809 a</w:t>
            </w:r>
          </w:p>
        </w:tc>
      </w:tr>
      <w:tr w:rsidR="00115808" w:rsidTr="00115808">
        <w:tc>
          <w:tcPr>
            <w:tcW w:w="1870" w:type="dxa"/>
          </w:tcPr>
          <w:p w:rsidR="00115808" w:rsidRDefault="00115808" w:rsidP="00103204">
            <w:pPr>
              <w:widowControl w:val="0"/>
              <w:autoSpaceDE w:val="0"/>
              <w:autoSpaceDN w:val="0"/>
              <w:adjustRightInd w:val="0"/>
            </w:pPr>
            <w:r>
              <w:t>18</w:t>
            </w:r>
          </w:p>
        </w:tc>
        <w:tc>
          <w:tcPr>
            <w:tcW w:w="1870" w:type="dxa"/>
            <w:vAlign w:val="bottom"/>
          </w:tcPr>
          <w:p w:rsidR="00115808" w:rsidRDefault="00115808" w:rsidP="00103204">
            <w:pPr>
              <w:widowControl w:val="0"/>
              <w:autoSpaceDE w:val="0"/>
              <w:autoSpaceDN w:val="0"/>
              <w:adjustRightInd w:val="0"/>
              <w:jc w:val="center"/>
            </w:pPr>
            <w:r>
              <w:t>0.840</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0.800 a</w:t>
            </w:r>
          </w:p>
        </w:tc>
      </w:tr>
      <w:tr w:rsidR="00115808" w:rsidTr="00115808">
        <w:tc>
          <w:tcPr>
            <w:tcW w:w="1870" w:type="dxa"/>
          </w:tcPr>
          <w:p w:rsidR="00115808" w:rsidRDefault="00115808" w:rsidP="00103204">
            <w:pPr>
              <w:widowControl w:val="0"/>
              <w:autoSpaceDE w:val="0"/>
              <w:autoSpaceDN w:val="0"/>
              <w:adjustRightInd w:val="0"/>
            </w:pPr>
            <w:r>
              <w:t>19</w:t>
            </w:r>
          </w:p>
        </w:tc>
        <w:tc>
          <w:tcPr>
            <w:tcW w:w="1870" w:type="dxa"/>
            <w:vAlign w:val="bottom"/>
          </w:tcPr>
          <w:p w:rsidR="00115808" w:rsidRDefault="00115808" w:rsidP="00103204">
            <w:pPr>
              <w:widowControl w:val="0"/>
              <w:autoSpaceDE w:val="0"/>
              <w:autoSpaceDN w:val="0"/>
              <w:adjustRightInd w:val="0"/>
              <w:jc w:val="center"/>
            </w:pPr>
            <w:r>
              <w:t>0.783</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0.676 a</w:t>
            </w:r>
          </w:p>
        </w:tc>
      </w:tr>
      <w:tr w:rsidR="00115808" w:rsidTr="00115808">
        <w:tc>
          <w:tcPr>
            <w:tcW w:w="1870" w:type="dxa"/>
          </w:tcPr>
          <w:p w:rsidR="00115808" w:rsidRDefault="00115808" w:rsidP="00103204">
            <w:pPr>
              <w:widowControl w:val="0"/>
              <w:autoSpaceDE w:val="0"/>
              <w:autoSpaceDN w:val="0"/>
              <w:adjustRightInd w:val="0"/>
            </w:pPr>
            <w:r>
              <w:t>20</w:t>
            </w:r>
          </w:p>
        </w:tc>
        <w:tc>
          <w:tcPr>
            <w:tcW w:w="1870" w:type="dxa"/>
            <w:vAlign w:val="bottom"/>
          </w:tcPr>
          <w:p w:rsidR="00115808" w:rsidRDefault="00115808" w:rsidP="00103204">
            <w:pPr>
              <w:widowControl w:val="0"/>
              <w:autoSpaceDE w:val="0"/>
              <w:autoSpaceDN w:val="0"/>
              <w:adjustRightInd w:val="0"/>
              <w:jc w:val="center"/>
            </w:pPr>
            <w:r>
              <w:t>0.820</w:t>
            </w:r>
            <w:r w:rsidR="003A0D6D">
              <w:t xml:space="preserve"> ab</w:t>
            </w:r>
          </w:p>
        </w:tc>
        <w:tc>
          <w:tcPr>
            <w:tcW w:w="1870" w:type="dxa"/>
            <w:vAlign w:val="bottom"/>
          </w:tcPr>
          <w:p w:rsidR="00115808" w:rsidRDefault="003A0D6D" w:rsidP="00103204">
            <w:pPr>
              <w:widowControl w:val="0"/>
              <w:autoSpaceDE w:val="0"/>
              <w:autoSpaceDN w:val="0"/>
              <w:adjustRightInd w:val="0"/>
              <w:jc w:val="center"/>
            </w:pPr>
            <w:r>
              <w:t>0.903 a</w:t>
            </w:r>
          </w:p>
        </w:tc>
      </w:tr>
      <w:tr w:rsidR="00115808" w:rsidTr="00115808">
        <w:tc>
          <w:tcPr>
            <w:tcW w:w="1870" w:type="dxa"/>
          </w:tcPr>
          <w:p w:rsidR="00115808" w:rsidRDefault="00115808" w:rsidP="00103204">
            <w:pPr>
              <w:widowControl w:val="0"/>
              <w:autoSpaceDE w:val="0"/>
              <w:autoSpaceDN w:val="0"/>
              <w:adjustRightInd w:val="0"/>
            </w:pPr>
            <w:r>
              <w:t>21</w:t>
            </w:r>
          </w:p>
        </w:tc>
        <w:tc>
          <w:tcPr>
            <w:tcW w:w="1870" w:type="dxa"/>
            <w:vAlign w:val="bottom"/>
          </w:tcPr>
          <w:p w:rsidR="00115808" w:rsidRDefault="003A0D6D" w:rsidP="00103204">
            <w:pPr>
              <w:widowControl w:val="0"/>
              <w:autoSpaceDE w:val="0"/>
              <w:autoSpaceDN w:val="0"/>
              <w:adjustRightInd w:val="0"/>
              <w:jc w:val="center"/>
            </w:pPr>
            <w:r>
              <w:t>1.032 a</w:t>
            </w:r>
          </w:p>
        </w:tc>
        <w:tc>
          <w:tcPr>
            <w:tcW w:w="1870" w:type="dxa"/>
            <w:vAlign w:val="bottom"/>
          </w:tcPr>
          <w:p w:rsidR="00115808" w:rsidRDefault="003A0D6D" w:rsidP="00103204">
            <w:pPr>
              <w:widowControl w:val="0"/>
              <w:autoSpaceDE w:val="0"/>
              <w:autoSpaceDN w:val="0"/>
              <w:adjustRightInd w:val="0"/>
              <w:jc w:val="center"/>
            </w:pPr>
            <w:r>
              <w:t>0.923 a</w:t>
            </w:r>
          </w:p>
        </w:tc>
      </w:tr>
      <w:tr w:rsidR="00115808" w:rsidTr="00115808">
        <w:tc>
          <w:tcPr>
            <w:tcW w:w="1870" w:type="dxa"/>
          </w:tcPr>
          <w:p w:rsidR="00115808" w:rsidRDefault="00115808" w:rsidP="00103204">
            <w:pPr>
              <w:widowControl w:val="0"/>
              <w:autoSpaceDE w:val="0"/>
              <w:autoSpaceDN w:val="0"/>
              <w:adjustRightInd w:val="0"/>
            </w:pPr>
            <w:r>
              <w:t>22</w:t>
            </w:r>
          </w:p>
        </w:tc>
        <w:tc>
          <w:tcPr>
            <w:tcW w:w="1870" w:type="dxa"/>
            <w:vAlign w:val="bottom"/>
          </w:tcPr>
          <w:p w:rsidR="00115808" w:rsidRDefault="003A0D6D" w:rsidP="00103204">
            <w:pPr>
              <w:widowControl w:val="0"/>
              <w:autoSpaceDE w:val="0"/>
              <w:autoSpaceDN w:val="0"/>
              <w:adjustRightInd w:val="0"/>
              <w:jc w:val="center"/>
            </w:pPr>
            <w:r>
              <w:t>1.008 a</w:t>
            </w:r>
          </w:p>
        </w:tc>
        <w:tc>
          <w:tcPr>
            <w:tcW w:w="1870" w:type="dxa"/>
            <w:vAlign w:val="bottom"/>
          </w:tcPr>
          <w:p w:rsidR="00115808" w:rsidRDefault="003A0D6D" w:rsidP="00103204">
            <w:pPr>
              <w:widowControl w:val="0"/>
              <w:autoSpaceDE w:val="0"/>
              <w:autoSpaceDN w:val="0"/>
              <w:adjustRightInd w:val="0"/>
              <w:jc w:val="center"/>
            </w:pPr>
            <w:r>
              <w:t>0.927 a</w:t>
            </w:r>
          </w:p>
        </w:tc>
      </w:tr>
      <w:tr w:rsidR="00115808" w:rsidTr="00115808">
        <w:tc>
          <w:tcPr>
            <w:tcW w:w="1870" w:type="dxa"/>
            <w:tcBorders>
              <w:bottom w:val="single" w:sz="4" w:space="0" w:color="auto"/>
            </w:tcBorders>
          </w:tcPr>
          <w:p w:rsidR="00115808" w:rsidRDefault="00115808" w:rsidP="00103204">
            <w:pPr>
              <w:widowControl w:val="0"/>
              <w:autoSpaceDE w:val="0"/>
              <w:autoSpaceDN w:val="0"/>
              <w:adjustRightInd w:val="0"/>
            </w:pPr>
            <w:r>
              <w:t>23</w:t>
            </w:r>
          </w:p>
        </w:tc>
        <w:tc>
          <w:tcPr>
            <w:tcW w:w="1870" w:type="dxa"/>
            <w:tcBorders>
              <w:bottom w:val="single" w:sz="4" w:space="0" w:color="auto"/>
            </w:tcBorders>
            <w:vAlign w:val="bottom"/>
          </w:tcPr>
          <w:p w:rsidR="00115808" w:rsidRDefault="003A0D6D" w:rsidP="00103204">
            <w:pPr>
              <w:widowControl w:val="0"/>
              <w:autoSpaceDE w:val="0"/>
              <w:autoSpaceDN w:val="0"/>
              <w:adjustRightInd w:val="0"/>
              <w:jc w:val="center"/>
            </w:pPr>
            <w:r>
              <w:t>0.771 ab</w:t>
            </w:r>
          </w:p>
        </w:tc>
        <w:tc>
          <w:tcPr>
            <w:tcW w:w="1870" w:type="dxa"/>
            <w:tcBorders>
              <w:bottom w:val="single" w:sz="4" w:space="0" w:color="auto"/>
            </w:tcBorders>
            <w:vAlign w:val="bottom"/>
          </w:tcPr>
          <w:p w:rsidR="00115808" w:rsidRDefault="003A0D6D" w:rsidP="00103204">
            <w:pPr>
              <w:widowControl w:val="0"/>
              <w:autoSpaceDE w:val="0"/>
              <w:autoSpaceDN w:val="0"/>
              <w:adjustRightInd w:val="0"/>
              <w:jc w:val="center"/>
            </w:pPr>
            <w:r>
              <w:t>0.793 a</w:t>
            </w:r>
          </w:p>
        </w:tc>
      </w:tr>
    </w:tbl>
    <w:p w:rsidR="003A0D6D" w:rsidRDefault="003A0D6D" w:rsidP="00171B4E">
      <w:pPr>
        <w:widowControl w:val="0"/>
        <w:autoSpaceDE w:val="0"/>
        <w:autoSpaceDN w:val="0"/>
        <w:adjustRightInd w:val="0"/>
        <w:spacing w:line="480" w:lineRule="auto"/>
      </w:pPr>
      <w:r>
        <w:rPr>
          <w:vertAlign w:val="superscript"/>
        </w:rPr>
        <w:t>a</w:t>
      </w:r>
      <w:r>
        <w:t xml:space="preserve"> Means within a column followed by the same letter are not different at </w:t>
      </w:r>
      <w:r>
        <w:rPr>
          <w:rFonts w:cstheme="majorHAnsi"/>
        </w:rPr>
        <w:t>α</w:t>
      </w:r>
      <w:r>
        <w:t>=0.05.</w:t>
      </w:r>
      <w:r>
        <w:br w:type="page"/>
      </w:r>
    </w:p>
    <w:p w:rsidR="003A0D6D" w:rsidRPr="00115808" w:rsidRDefault="003A0D6D" w:rsidP="003A0D6D">
      <w:pPr>
        <w:widowControl w:val="0"/>
        <w:autoSpaceDE w:val="0"/>
        <w:autoSpaceDN w:val="0"/>
        <w:adjustRightInd w:val="0"/>
        <w:spacing w:line="480" w:lineRule="auto"/>
      </w:pPr>
      <w:r>
        <w:rPr>
          <w:b/>
        </w:rPr>
        <w:lastRenderedPageBreak/>
        <w:t>Table 3.</w:t>
      </w:r>
      <w:r>
        <w:t xml:space="preserve"> Analysis of variance results for the effect of herbicide trait on the cultivar tolerance to metribuzin and sulfentrazone herbicides.</w:t>
      </w:r>
      <w:r>
        <w:rPr>
          <w:vertAlign w:val="superscript"/>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362"/>
        <w:gridCol w:w="2531"/>
      </w:tblGrid>
      <w:tr w:rsidR="003A0D6D" w:rsidTr="00471EC8">
        <w:trPr>
          <w:trHeight w:val="234"/>
        </w:trPr>
        <w:tc>
          <w:tcPr>
            <w:tcW w:w="2700" w:type="dxa"/>
            <w:tcBorders>
              <w:top w:val="single" w:sz="4" w:space="0" w:color="auto"/>
              <w:bottom w:val="single" w:sz="4" w:space="0" w:color="auto"/>
            </w:tcBorders>
          </w:tcPr>
          <w:p w:rsidR="003A0D6D" w:rsidRPr="00471EC8" w:rsidRDefault="003A0D6D" w:rsidP="00103204">
            <w:pPr>
              <w:widowControl w:val="0"/>
              <w:autoSpaceDE w:val="0"/>
              <w:autoSpaceDN w:val="0"/>
              <w:adjustRightInd w:val="0"/>
            </w:pPr>
            <w:r>
              <w:t>Herbicide trait</w:t>
            </w:r>
            <w:r w:rsidR="00471EC8">
              <w:rPr>
                <w:vertAlign w:val="superscript"/>
              </w:rPr>
              <w:t>b</w:t>
            </w:r>
          </w:p>
        </w:tc>
        <w:tc>
          <w:tcPr>
            <w:tcW w:w="2362" w:type="dxa"/>
            <w:tcBorders>
              <w:top w:val="single" w:sz="4" w:space="0" w:color="auto"/>
              <w:bottom w:val="single" w:sz="4" w:space="0" w:color="auto"/>
            </w:tcBorders>
            <w:vAlign w:val="bottom"/>
          </w:tcPr>
          <w:p w:rsidR="003A0D6D" w:rsidRDefault="003A0D6D" w:rsidP="00103204">
            <w:pPr>
              <w:widowControl w:val="0"/>
              <w:autoSpaceDE w:val="0"/>
              <w:autoSpaceDN w:val="0"/>
              <w:adjustRightInd w:val="0"/>
              <w:jc w:val="center"/>
            </w:pPr>
            <w:r>
              <w:t>Metribuzin</w:t>
            </w:r>
          </w:p>
        </w:tc>
        <w:tc>
          <w:tcPr>
            <w:tcW w:w="2531" w:type="dxa"/>
            <w:tcBorders>
              <w:top w:val="single" w:sz="4" w:space="0" w:color="auto"/>
              <w:bottom w:val="single" w:sz="4" w:space="0" w:color="auto"/>
            </w:tcBorders>
            <w:vAlign w:val="bottom"/>
          </w:tcPr>
          <w:p w:rsidR="003A0D6D" w:rsidRDefault="003A0D6D" w:rsidP="00103204">
            <w:pPr>
              <w:widowControl w:val="0"/>
              <w:autoSpaceDE w:val="0"/>
              <w:autoSpaceDN w:val="0"/>
              <w:adjustRightInd w:val="0"/>
              <w:jc w:val="center"/>
            </w:pPr>
            <w:r>
              <w:t>Sulfentrazone</w:t>
            </w:r>
          </w:p>
        </w:tc>
      </w:tr>
      <w:tr w:rsidR="003A0D6D" w:rsidTr="00471EC8">
        <w:trPr>
          <w:trHeight w:val="234"/>
        </w:trPr>
        <w:tc>
          <w:tcPr>
            <w:tcW w:w="2700" w:type="dxa"/>
            <w:tcBorders>
              <w:top w:val="single" w:sz="4" w:space="0" w:color="auto"/>
            </w:tcBorders>
          </w:tcPr>
          <w:p w:rsidR="003A0D6D" w:rsidRDefault="003A0D6D" w:rsidP="00103204">
            <w:pPr>
              <w:widowControl w:val="0"/>
              <w:autoSpaceDE w:val="0"/>
              <w:autoSpaceDN w:val="0"/>
              <w:adjustRightInd w:val="0"/>
            </w:pPr>
            <w:r>
              <w:t>GT27</w:t>
            </w:r>
            <w:r w:rsidR="00471EC8">
              <w:rPr>
                <w:rFonts w:cstheme="majorHAnsi"/>
              </w:rPr>
              <w:t>™</w:t>
            </w:r>
          </w:p>
        </w:tc>
        <w:tc>
          <w:tcPr>
            <w:tcW w:w="2362" w:type="dxa"/>
            <w:tcBorders>
              <w:top w:val="single" w:sz="4" w:space="0" w:color="auto"/>
            </w:tcBorders>
            <w:vAlign w:val="bottom"/>
          </w:tcPr>
          <w:p w:rsidR="003A0D6D" w:rsidRDefault="003A0D6D" w:rsidP="003A0D6D">
            <w:pPr>
              <w:widowControl w:val="0"/>
              <w:autoSpaceDE w:val="0"/>
              <w:autoSpaceDN w:val="0"/>
              <w:adjustRightInd w:val="0"/>
              <w:jc w:val="center"/>
            </w:pPr>
            <w:r>
              <w:t>0.851 a</w:t>
            </w:r>
          </w:p>
        </w:tc>
        <w:tc>
          <w:tcPr>
            <w:tcW w:w="2531" w:type="dxa"/>
            <w:tcBorders>
              <w:top w:val="single" w:sz="4" w:space="0" w:color="auto"/>
            </w:tcBorders>
            <w:vAlign w:val="bottom"/>
          </w:tcPr>
          <w:p w:rsidR="003A0D6D" w:rsidRDefault="003A0D6D" w:rsidP="00103204">
            <w:pPr>
              <w:widowControl w:val="0"/>
              <w:autoSpaceDE w:val="0"/>
              <w:autoSpaceDN w:val="0"/>
              <w:adjustRightInd w:val="0"/>
              <w:jc w:val="center"/>
            </w:pPr>
            <w:r>
              <w:t>0.821 a</w:t>
            </w:r>
          </w:p>
        </w:tc>
      </w:tr>
      <w:tr w:rsidR="003A0D6D" w:rsidTr="00471EC8">
        <w:trPr>
          <w:trHeight w:val="246"/>
        </w:trPr>
        <w:tc>
          <w:tcPr>
            <w:tcW w:w="2700" w:type="dxa"/>
          </w:tcPr>
          <w:p w:rsidR="003A0D6D" w:rsidRDefault="003A0D6D" w:rsidP="00103204">
            <w:pPr>
              <w:widowControl w:val="0"/>
              <w:autoSpaceDE w:val="0"/>
              <w:autoSpaceDN w:val="0"/>
              <w:adjustRightInd w:val="0"/>
            </w:pPr>
            <w:r>
              <w:t>Conventional</w:t>
            </w:r>
          </w:p>
        </w:tc>
        <w:tc>
          <w:tcPr>
            <w:tcW w:w="2362" w:type="dxa"/>
            <w:vAlign w:val="bottom"/>
          </w:tcPr>
          <w:p w:rsidR="003A0D6D" w:rsidRDefault="003A0D6D" w:rsidP="00103204">
            <w:pPr>
              <w:widowControl w:val="0"/>
              <w:autoSpaceDE w:val="0"/>
              <w:autoSpaceDN w:val="0"/>
              <w:adjustRightInd w:val="0"/>
              <w:jc w:val="center"/>
            </w:pPr>
            <w:r>
              <w:t>0.834 ab</w:t>
            </w:r>
          </w:p>
        </w:tc>
        <w:tc>
          <w:tcPr>
            <w:tcW w:w="2531" w:type="dxa"/>
            <w:vAlign w:val="bottom"/>
          </w:tcPr>
          <w:p w:rsidR="003A0D6D" w:rsidRDefault="003A0D6D" w:rsidP="00103204">
            <w:pPr>
              <w:widowControl w:val="0"/>
              <w:autoSpaceDE w:val="0"/>
              <w:autoSpaceDN w:val="0"/>
              <w:adjustRightInd w:val="0"/>
              <w:jc w:val="center"/>
            </w:pPr>
            <w:r>
              <w:t>0.800 a</w:t>
            </w:r>
          </w:p>
        </w:tc>
      </w:tr>
      <w:tr w:rsidR="003A0D6D" w:rsidTr="00471EC8">
        <w:trPr>
          <w:trHeight w:val="80"/>
        </w:trPr>
        <w:tc>
          <w:tcPr>
            <w:tcW w:w="2700" w:type="dxa"/>
          </w:tcPr>
          <w:p w:rsidR="003A0D6D" w:rsidRDefault="00471EC8" w:rsidP="00103204">
            <w:pPr>
              <w:widowControl w:val="0"/>
              <w:autoSpaceDE w:val="0"/>
              <w:autoSpaceDN w:val="0"/>
              <w:adjustRightInd w:val="0"/>
            </w:pPr>
            <w:r>
              <w:t>Glyphosate-</w:t>
            </w:r>
            <w:r w:rsidR="003A0D6D">
              <w:t>Tolerant</w:t>
            </w:r>
          </w:p>
        </w:tc>
        <w:tc>
          <w:tcPr>
            <w:tcW w:w="2362" w:type="dxa"/>
            <w:vAlign w:val="bottom"/>
          </w:tcPr>
          <w:p w:rsidR="003A0D6D" w:rsidRDefault="003A0D6D" w:rsidP="00103204">
            <w:pPr>
              <w:widowControl w:val="0"/>
              <w:autoSpaceDE w:val="0"/>
              <w:autoSpaceDN w:val="0"/>
              <w:adjustRightInd w:val="0"/>
              <w:jc w:val="center"/>
            </w:pPr>
            <w:r>
              <w:t>0.854 a</w:t>
            </w:r>
          </w:p>
        </w:tc>
        <w:tc>
          <w:tcPr>
            <w:tcW w:w="2531" w:type="dxa"/>
            <w:vAlign w:val="bottom"/>
          </w:tcPr>
          <w:p w:rsidR="003A0D6D" w:rsidRDefault="003A0D6D" w:rsidP="00103204">
            <w:pPr>
              <w:widowControl w:val="0"/>
              <w:autoSpaceDE w:val="0"/>
              <w:autoSpaceDN w:val="0"/>
              <w:adjustRightInd w:val="0"/>
              <w:jc w:val="center"/>
            </w:pPr>
            <w:r>
              <w:t>0.815 a</w:t>
            </w:r>
          </w:p>
        </w:tc>
      </w:tr>
      <w:tr w:rsidR="003A0D6D" w:rsidTr="00471EC8">
        <w:trPr>
          <w:trHeight w:val="246"/>
        </w:trPr>
        <w:tc>
          <w:tcPr>
            <w:tcW w:w="2700" w:type="dxa"/>
          </w:tcPr>
          <w:p w:rsidR="003A0D6D" w:rsidRDefault="003A0D6D" w:rsidP="00103204">
            <w:pPr>
              <w:widowControl w:val="0"/>
              <w:autoSpaceDE w:val="0"/>
              <w:autoSpaceDN w:val="0"/>
              <w:adjustRightInd w:val="0"/>
            </w:pPr>
            <w:r>
              <w:t>LibertyLink</w:t>
            </w:r>
            <w:r w:rsidR="00471EC8">
              <w:rPr>
                <w:rFonts w:cstheme="majorHAnsi"/>
              </w:rPr>
              <w:t>®</w:t>
            </w:r>
          </w:p>
        </w:tc>
        <w:tc>
          <w:tcPr>
            <w:tcW w:w="2362" w:type="dxa"/>
            <w:vAlign w:val="bottom"/>
          </w:tcPr>
          <w:p w:rsidR="003A0D6D" w:rsidRDefault="003A0D6D" w:rsidP="00103204">
            <w:pPr>
              <w:widowControl w:val="0"/>
              <w:autoSpaceDE w:val="0"/>
              <w:autoSpaceDN w:val="0"/>
              <w:adjustRightInd w:val="0"/>
              <w:jc w:val="center"/>
            </w:pPr>
            <w:r>
              <w:t>0.809 ab</w:t>
            </w:r>
          </w:p>
        </w:tc>
        <w:tc>
          <w:tcPr>
            <w:tcW w:w="2531" w:type="dxa"/>
            <w:vAlign w:val="bottom"/>
          </w:tcPr>
          <w:p w:rsidR="003A0D6D" w:rsidRDefault="003A0D6D" w:rsidP="00103204">
            <w:pPr>
              <w:widowControl w:val="0"/>
              <w:autoSpaceDE w:val="0"/>
              <w:autoSpaceDN w:val="0"/>
              <w:adjustRightInd w:val="0"/>
              <w:jc w:val="center"/>
            </w:pPr>
            <w:r>
              <w:t>0.884 a</w:t>
            </w:r>
          </w:p>
        </w:tc>
      </w:tr>
      <w:tr w:rsidR="003A0D6D" w:rsidTr="00471EC8">
        <w:trPr>
          <w:trHeight w:val="234"/>
        </w:trPr>
        <w:tc>
          <w:tcPr>
            <w:tcW w:w="2700" w:type="dxa"/>
          </w:tcPr>
          <w:p w:rsidR="003A0D6D" w:rsidRDefault="003A0D6D" w:rsidP="00103204">
            <w:pPr>
              <w:widowControl w:val="0"/>
              <w:autoSpaceDE w:val="0"/>
              <w:autoSpaceDN w:val="0"/>
              <w:adjustRightInd w:val="0"/>
            </w:pPr>
            <w:r>
              <w:t xml:space="preserve">Roundup Ready </w:t>
            </w:r>
            <w:r w:rsidR="00471EC8">
              <w:t xml:space="preserve">2 </w:t>
            </w:r>
            <w:r>
              <w:t>Xtend</w:t>
            </w:r>
            <w:r w:rsidR="00471EC8">
              <w:rPr>
                <w:rFonts w:cstheme="majorHAnsi"/>
              </w:rPr>
              <w:t>®</w:t>
            </w:r>
          </w:p>
        </w:tc>
        <w:tc>
          <w:tcPr>
            <w:tcW w:w="2362" w:type="dxa"/>
            <w:vAlign w:val="bottom"/>
          </w:tcPr>
          <w:p w:rsidR="003A0D6D" w:rsidRDefault="003A0D6D" w:rsidP="00103204">
            <w:pPr>
              <w:widowControl w:val="0"/>
              <w:autoSpaceDE w:val="0"/>
              <w:autoSpaceDN w:val="0"/>
              <w:adjustRightInd w:val="0"/>
              <w:jc w:val="center"/>
            </w:pPr>
            <w:r>
              <w:t>0.798 ab</w:t>
            </w:r>
          </w:p>
        </w:tc>
        <w:tc>
          <w:tcPr>
            <w:tcW w:w="2531" w:type="dxa"/>
            <w:vAlign w:val="bottom"/>
          </w:tcPr>
          <w:p w:rsidR="003A0D6D" w:rsidRDefault="003A0D6D" w:rsidP="00103204">
            <w:pPr>
              <w:widowControl w:val="0"/>
              <w:autoSpaceDE w:val="0"/>
              <w:autoSpaceDN w:val="0"/>
              <w:adjustRightInd w:val="0"/>
              <w:jc w:val="center"/>
            </w:pPr>
            <w:r>
              <w:t>0.775 a</w:t>
            </w:r>
          </w:p>
        </w:tc>
      </w:tr>
      <w:tr w:rsidR="003A0D6D" w:rsidTr="00471EC8">
        <w:trPr>
          <w:trHeight w:val="234"/>
        </w:trPr>
        <w:tc>
          <w:tcPr>
            <w:tcW w:w="2700" w:type="dxa"/>
            <w:tcBorders>
              <w:bottom w:val="single" w:sz="4" w:space="0" w:color="auto"/>
            </w:tcBorders>
          </w:tcPr>
          <w:p w:rsidR="003A0D6D" w:rsidRDefault="003A0D6D" w:rsidP="00103204">
            <w:pPr>
              <w:widowControl w:val="0"/>
              <w:autoSpaceDE w:val="0"/>
              <w:autoSpaceDN w:val="0"/>
              <w:adjustRightInd w:val="0"/>
            </w:pPr>
            <w:r>
              <w:t>Roundup Ready 2</w:t>
            </w:r>
            <w:r w:rsidR="00471EC8">
              <w:t xml:space="preserve"> </w:t>
            </w:r>
            <w:r>
              <w:t>Y</w:t>
            </w:r>
            <w:r w:rsidR="00471EC8">
              <w:t>ield</w:t>
            </w:r>
            <w:r w:rsidR="00471EC8">
              <w:rPr>
                <w:rFonts w:cstheme="majorHAnsi"/>
              </w:rPr>
              <w:t>®</w:t>
            </w:r>
          </w:p>
        </w:tc>
        <w:tc>
          <w:tcPr>
            <w:tcW w:w="2362" w:type="dxa"/>
            <w:tcBorders>
              <w:bottom w:val="single" w:sz="4" w:space="0" w:color="auto"/>
            </w:tcBorders>
            <w:vAlign w:val="bottom"/>
          </w:tcPr>
          <w:p w:rsidR="003A0D6D" w:rsidRDefault="003A0D6D" w:rsidP="00103204">
            <w:pPr>
              <w:widowControl w:val="0"/>
              <w:autoSpaceDE w:val="0"/>
              <w:autoSpaceDN w:val="0"/>
              <w:adjustRightInd w:val="0"/>
              <w:jc w:val="center"/>
            </w:pPr>
            <w:r>
              <w:t>0.770 b</w:t>
            </w:r>
          </w:p>
        </w:tc>
        <w:tc>
          <w:tcPr>
            <w:tcW w:w="2531" w:type="dxa"/>
            <w:tcBorders>
              <w:bottom w:val="single" w:sz="4" w:space="0" w:color="auto"/>
            </w:tcBorders>
            <w:vAlign w:val="bottom"/>
          </w:tcPr>
          <w:p w:rsidR="003A0D6D" w:rsidRDefault="003A0D6D" w:rsidP="00103204">
            <w:pPr>
              <w:widowControl w:val="0"/>
              <w:autoSpaceDE w:val="0"/>
              <w:autoSpaceDN w:val="0"/>
              <w:adjustRightInd w:val="0"/>
              <w:jc w:val="center"/>
            </w:pPr>
            <w:r>
              <w:t>0.801 a</w:t>
            </w:r>
          </w:p>
        </w:tc>
      </w:tr>
    </w:tbl>
    <w:p w:rsidR="00471EC8" w:rsidRDefault="003A0D6D" w:rsidP="00171B4E">
      <w:pPr>
        <w:widowControl w:val="0"/>
        <w:autoSpaceDE w:val="0"/>
        <w:autoSpaceDN w:val="0"/>
        <w:adjustRightInd w:val="0"/>
        <w:spacing w:line="480" w:lineRule="auto"/>
      </w:pPr>
      <w:r>
        <w:rPr>
          <w:vertAlign w:val="superscript"/>
        </w:rPr>
        <w:t>a</w:t>
      </w:r>
      <w:r>
        <w:t xml:space="preserve"> Means within a column followed by the same letter are not different at </w:t>
      </w:r>
      <w:r>
        <w:rPr>
          <w:rFonts w:cstheme="majorHAnsi"/>
        </w:rPr>
        <w:t>α</w:t>
      </w:r>
      <w:r>
        <w:t>=0.05.</w:t>
      </w:r>
    </w:p>
    <w:p w:rsidR="00F2545D" w:rsidRDefault="00471EC8" w:rsidP="00171B4E">
      <w:pPr>
        <w:widowControl w:val="0"/>
        <w:autoSpaceDE w:val="0"/>
        <w:autoSpaceDN w:val="0"/>
        <w:adjustRightInd w:val="0"/>
        <w:spacing w:line="480" w:lineRule="auto"/>
      </w:pPr>
      <w:r>
        <w:rPr>
          <w:vertAlign w:val="superscript"/>
        </w:rPr>
        <w:t>b</w:t>
      </w:r>
      <w:r>
        <w:t xml:space="preserve"> GT27</w:t>
      </w:r>
      <w:r>
        <w:rPr>
          <w:rFonts w:cstheme="majorHAnsi"/>
        </w:rPr>
        <w:t>™ and</w:t>
      </w:r>
      <w:r w:rsidRPr="00471EC8">
        <w:t xml:space="preserve"> </w:t>
      </w:r>
      <w:r>
        <w:t>LibertyLink</w:t>
      </w:r>
      <w:r>
        <w:rPr>
          <w:rFonts w:cstheme="majorHAnsi"/>
        </w:rPr>
        <w:t>®</w:t>
      </w:r>
      <w:r>
        <w:t>, BASF Corporation, Florham Park, NJ 07932;</w:t>
      </w:r>
      <w:r>
        <w:rPr>
          <w:rFonts w:cstheme="majorHAnsi"/>
        </w:rPr>
        <w:t xml:space="preserve"> </w:t>
      </w:r>
      <w:r>
        <w:t>Roundup Ready 2 Xtend</w:t>
      </w:r>
      <w:r>
        <w:rPr>
          <w:rFonts w:cstheme="majorHAnsi"/>
        </w:rPr>
        <w:t xml:space="preserve">® and </w:t>
      </w:r>
      <w:r>
        <w:t>Roundup Ready 2 Yield</w:t>
      </w:r>
      <w:r>
        <w:rPr>
          <w:rFonts w:cstheme="majorHAnsi"/>
        </w:rPr>
        <w:t xml:space="preserve">®, </w:t>
      </w:r>
      <w:r w:rsidR="004774E9">
        <w:rPr>
          <w:rFonts w:cstheme="majorHAnsi"/>
        </w:rPr>
        <w:t>Bayer Crop</w:t>
      </w:r>
      <w:r>
        <w:rPr>
          <w:rFonts w:cstheme="majorHAnsi"/>
        </w:rPr>
        <w:t xml:space="preserve">Science, </w:t>
      </w:r>
      <w:r w:rsidR="004774E9">
        <w:rPr>
          <w:rFonts w:cstheme="majorHAnsi"/>
        </w:rPr>
        <w:t>Research Triangle Park, NC 27709.</w:t>
      </w:r>
      <w:r w:rsidR="00F2545D">
        <w:br w:type="page"/>
      </w:r>
    </w:p>
    <w:p w:rsidR="0026408A" w:rsidRDefault="0026408A" w:rsidP="0026408A">
      <w:pPr>
        <w:widowControl w:val="0"/>
        <w:autoSpaceDE w:val="0"/>
        <w:autoSpaceDN w:val="0"/>
        <w:adjustRightInd w:val="0"/>
        <w:spacing w:line="480" w:lineRule="auto"/>
        <w:rPr>
          <w:b/>
        </w:rPr>
      </w:pPr>
      <w:r>
        <w:rPr>
          <w:noProof/>
        </w:rPr>
        <w:lastRenderedPageBreak/>
        <w:drawing>
          <wp:anchor distT="0" distB="0" distL="114300" distR="114300" simplePos="0" relativeHeight="251681792" behindDoc="0" locked="0" layoutInCell="1" allowOverlap="1" wp14:anchorId="7AD16D88" wp14:editId="03411B71">
            <wp:simplePos x="0" y="0"/>
            <wp:positionH relativeFrom="margin">
              <wp:align>center</wp:align>
            </wp:positionH>
            <wp:positionV relativeFrom="paragraph">
              <wp:posOffset>295275</wp:posOffset>
            </wp:positionV>
            <wp:extent cx="4886325" cy="3977640"/>
            <wp:effectExtent l="0" t="0" r="952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6325" cy="3977640"/>
                    </a:xfrm>
                    <a:prstGeom prst="rect">
                      <a:avLst/>
                    </a:prstGeom>
                  </pic:spPr>
                </pic:pic>
              </a:graphicData>
            </a:graphic>
            <wp14:sizeRelH relativeFrom="margin">
              <wp14:pctWidth>0</wp14:pctWidth>
            </wp14:sizeRelH>
            <wp14:sizeRelV relativeFrom="margin">
              <wp14:pctHeight>0</wp14:pctHeight>
            </wp14:sizeRelV>
          </wp:anchor>
        </w:drawing>
      </w:r>
      <w:r w:rsidR="00F2545D">
        <w:rPr>
          <w:b/>
        </w:rPr>
        <w:t>Figures</w:t>
      </w:r>
    </w:p>
    <w:p w:rsidR="0026408A" w:rsidRDefault="0026408A" w:rsidP="0026408A">
      <w:pPr>
        <w:widowControl w:val="0"/>
        <w:autoSpaceDE w:val="0"/>
        <w:autoSpaceDN w:val="0"/>
        <w:adjustRightInd w:val="0"/>
        <w:spacing w:line="480" w:lineRule="auto"/>
        <w:rPr>
          <w:b/>
        </w:rPr>
      </w:pPr>
      <w:r>
        <w:rPr>
          <w:b/>
        </w:rPr>
        <w:t xml:space="preserve">Figure 1. </w:t>
      </w:r>
      <w:r>
        <w:t>Linear model and correlation of soybean cultivar tolerance proportions between metribuzin and sulfentrazone herbicide active ingredients</w:t>
      </w:r>
      <w:r w:rsidR="00C25573">
        <w:t xml:space="preserve"> (p=0.0001)</w:t>
      </w:r>
      <w:r>
        <w:t>.</w:t>
      </w:r>
      <w:r>
        <w:rPr>
          <w:b/>
        </w:rPr>
        <w:br w:type="page"/>
      </w:r>
    </w:p>
    <w:p w:rsidR="00B173CD" w:rsidRDefault="0026408A" w:rsidP="00171B4E">
      <w:pPr>
        <w:widowControl w:val="0"/>
        <w:autoSpaceDE w:val="0"/>
        <w:autoSpaceDN w:val="0"/>
        <w:adjustRightInd w:val="0"/>
        <w:spacing w:line="480" w:lineRule="auto"/>
      </w:pPr>
      <w:r>
        <w:rPr>
          <w:noProof/>
        </w:rPr>
        <w:lastRenderedPageBreak/>
        <w:drawing>
          <wp:anchor distT="0" distB="0" distL="114300" distR="114300" simplePos="0" relativeHeight="251641856" behindDoc="0" locked="0" layoutInCell="1" allowOverlap="1" wp14:anchorId="4AEAA35F" wp14:editId="11AD7CF0">
            <wp:simplePos x="0" y="0"/>
            <wp:positionH relativeFrom="margin">
              <wp:align>right</wp:align>
            </wp:positionH>
            <wp:positionV relativeFrom="paragraph">
              <wp:posOffset>0</wp:posOffset>
            </wp:positionV>
            <wp:extent cx="5943600" cy="4138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138930"/>
                    </a:xfrm>
                    <a:prstGeom prst="rect">
                      <a:avLst/>
                    </a:prstGeom>
                  </pic:spPr>
                </pic:pic>
              </a:graphicData>
            </a:graphic>
          </wp:anchor>
        </w:drawing>
      </w:r>
      <w:r w:rsidR="00B173CD">
        <w:rPr>
          <w:b/>
        </w:rPr>
        <w:t xml:space="preserve">Figure </w:t>
      </w:r>
      <w:r>
        <w:rPr>
          <w:b/>
        </w:rPr>
        <w:t>2</w:t>
      </w:r>
      <w:r w:rsidR="00B173CD">
        <w:rPr>
          <w:b/>
        </w:rPr>
        <w:t xml:space="preserve">. </w:t>
      </w:r>
      <w:r w:rsidR="00B173CD">
        <w:t>Importance rankings of explanatory variables for the prediction of soybean cultivar tolerance to metribuzin.</w:t>
      </w:r>
      <w:r w:rsidR="00B173CD">
        <w:br w:type="page"/>
      </w:r>
    </w:p>
    <w:p w:rsidR="00806062" w:rsidRDefault="00B173CD" w:rsidP="00DA4FCC">
      <w:pPr>
        <w:widowControl w:val="0"/>
        <w:autoSpaceDE w:val="0"/>
        <w:autoSpaceDN w:val="0"/>
        <w:adjustRightInd w:val="0"/>
        <w:spacing w:line="480" w:lineRule="auto"/>
      </w:pPr>
      <w:r>
        <w:rPr>
          <w:noProof/>
        </w:rPr>
        <w:lastRenderedPageBreak/>
        <w:drawing>
          <wp:anchor distT="0" distB="0" distL="114300" distR="114300" simplePos="0" relativeHeight="251651072" behindDoc="0" locked="0" layoutInCell="1" allowOverlap="1">
            <wp:simplePos x="0" y="0"/>
            <wp:positionH relativeFrom="column">
              <wp:posOffset>0</wp:posOffset>
            </wp:positionH>
            <wp:positionV relativeFrom="paragraph">
              <wp:posOffset>0</wp:posOffset>
            </wp:positionV>
            <wp:extent cx="5943600" cy="4161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161790"/>
                    </a:xfrm>
                    <a:prstGeom prst="rect">
                      <a:avLst/>
                    </a:prstGeom>
                  </pic:spPr>
                </pic:pic>
              </a:graphicData>
            </a:graphic>
          </wp:anchor>
        </w:drawing>
      </w:r>
      <w:r>
        <w:rPr>
          <w:b/>
        </w:rPr>
        <w:t xml:space="preserve">Figure </w:t>
      </w:r>
      <w:r w:rsidR="0026408A">
        <w:rPr>
          <w:b/>
        </w:rPr>
        <w:t>3</w:t>
      </w:r>
      <w:r>
        <w:rPr>
          <w:b/>
        </w:rPr>
        <w:t>.</w:t>
      </w:r>
      <w:r>
        <w:t xml:space="preserve"> Importance rankings of explanatory variables for the prediction of soybean cultivar tolerance to sulfentrazone.</w:t>
      </w:r>
      <w:r w:rsidR="00AE7D14">
        <w:br w:type="page"/>
      </w:r>
    </w:p>
    <w:p w:rsidR="00DA4FCC" w:rsidRDefault="005674D0" w:rsidP="00020387">
      <w:pPr>
        <w:widowControl w:val="0"/>
        <w:autoSpaceDE w:val="0"/>
        <w:autoSpaceDN w:val="0"/>
        <w:adjustRightInd w:val="0"/>
        <w:spacing w:line="480" w:lineRule="auto"/>
      </w:pPr>
      <w:r>
        <w:rPr>
          <w:noProof/>
        </w:rPr>
        <w:lastRenderedPageBreak/>
        <w:drawing>
          <wp:anchor distT="0" distB="0" distL="114300" distR="114300" simplePos="0" relativeHeight="251672576" behindDoc="0" locked="0" layoutInCell="1" allowOverlap="1" wp14:anchorId="4B99B4FF" wp14:editId="62C16B42">
            <wp:simplePos x="0" y="0"/>
            <wp:positionH relativeFrom="margin">
              <wp:align>right</wp:align>
            </wp:positionH>
            <wp:positionV relativeFrom="paragraph">
              <wp:posOffset>0</wp:posOffset>
            </wp:positionV>
            <wp:extent cx="5943600" cy="313499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anchor>
        </w:drawing>
      </w:r>
      <w:r w:rsidR="00806062">
        <w:rPr>
          <w:b/>
        </w:rPr>
        <w:t xml:space="preserve">Figure </w:t>
      </w:r>
      <w:r w:rsidR="00DA4FCC">
        <w:rPr>
          <w:b/>
        </w:rPr>
        <w:t>4</w:t>
      </w:r>
      <w:r w:rsidR="00806062">
        <w:rPr>
          <w:b/>
        </w:rPr>
        <w:t xml:space="preserve">. </w:t>
      </w:r>
      <w:r w:rsidR="00806062">
        <w:t xml:space="preserve">Linear model and correlation of soybean cultivar tolerance proportions to early-season vigor for both metribuzin [Herbicide tolerance = 1.26 – 0.05*(early-season vigor); </w:t>
      </w:r>
      <w:r w:rsidR="00806062">
        <w:rPr>
          <w:i/>
        </w:rPr>
        <w:t>r</w:t>
      </w:r>
      <w:r w:rsidR="00806062">
        <w:t xml:space="preserve"> = 0.367</w:t>
      </w:r>
      <w:r w:rsidR="00C25573">
        <w:t>; p&lt;0.0001</w:t>
      </w:r>
      <w:r w:rsidR="00806062">
        <w:t xml:space="preserve">] and sulfentrazone [Herbicide tolerance = 1.22 – 0.05*(early-season vigor); </w:t>
      </w:r>
      <w:r w:rsidR="00806062">
        <w:rPr>
          <w:i/>
        </w:rPr>
        <w:t>r</w:t>
      </w:r>
      <w:r w:rsidR="00806062">
        <w:t xml:space="preserve"> = 0.317</w:t>
      </w:r>
      <w:r w:rsidR="00C25573">
        <w:t>; p&lt;0.0001</w:t>
      </w:r>
      <w:r w:rsidR="00806062">
        <w:t>] herbicide active ingredients.</w:t>
      </w:r>
      <w:r w:rsidR="00DA4FCC">
        <w:br w:type="page"/>
      </w:r>
    </w:p>
    <w:p w:rsidR="00C445DB" w:rsidRDefault="00DA4FCC" w:rsidP="00DA4FCC">
      <w:pPr>
        <w:widowControl w:val="0"/>
        <w:autoSpaceDE w:val="0"/>
        <w:autoSpaceDN w:val="0"/>
        <w:adjustRightInd w:val="0"/>
        <w:spacing w:line="480" w:lineRule="auto"/>
        <w:rPr>
          <w:rFonts w:ascii="Times New Roman" w:hAnsi="Times New Roman" w:cs="Times New Roman"/>
          <w:szCs w:val="24"/>
        </w:rPr>
      </w:pPr>
      <w:r>
        <w:rPr>
          <w:noProof/>
        </w:rPr>
        <w:lastRenderedPageBreak/>
        <w:drawing>
          <wp:anchor distT="0" distB="0" distL="114300" distR="114300" simplePos="0" relativeHeight="251683840" behindDoc="0" locked="0" layoutInCell="1" allowOverlap="1" wp14:anchorId="1AF3CB31" wp14:editId="15C6E571">
            <wp:simplePos x="0" y="0"/>
            <wp:positionH relativeFrom="margin">
              <wp:align>right</wp:align>
            </wp:positionH>
            <wp:positionV relativeFrom="paragraph">
              <wp:posOffset>0</wp:posOffset>
            </wp:positionV>
            <wp:extent cx="5943600" cy="31349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anchor>
        </w:drawing>
      </w:r>
      <w:r>
        <w:rPr>
          <w:b/>
        </w:rPr>
        <w:t xml:space="preserve">Figure 5. </w:t>
      </w:r>
      <w:r>
        <w:t xml:space="preserve">Linear model and correlation of soybean cultivar tolerance proportions to maturity group for both metribuzin [Herbicide tolerance = 0.78 + 0.01*(maturity group); </w:t>
      </w:r>
      <w:r>
        <w:rPr>
          <w:i/>
        </w:rPr>
        <w:t>r</w:t>
      </w:r>
      <w:r>
        <w:t xml:space="preserve"> = 0.048</w:t>
      </w:r>
      <w:r w:rsidR="00C25573">
        <w:t>; p=0.4760</w:t>
      </w:r>
      <w:r>
        <w:t xml:space="preserve">] and sulfentrazone [Herbicide tolerance = 0.88 – 0.05*(maturity group); </w:t>
      </w:r>
      <w:r>
        <w:rPr>
          <w:i/>
        </w:rPr>
        <w:t>r</w:t>
      </w:r>
      <w:r>
        <w:t xml:space="preserve"> = 0.273</w:t>
      </w:r>
      <w:r w:rsidR="00C25573">
        <w:t>; p&lt;0.0001</w:t>
      </w:r>
      <w:r>
        <w:t>] herbicide active ingredients.</w:t>
      </w:r>
    </w:p>
    <w:sectPr w:rsidR="00C445DB" w:rsidSect="00171B4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B3F"/>
    <w:rsid w:val="00020387"/>
    <w:rsid w:val="00031E6C"/>
    <w:rsid w:val="00041C8A"/>
    <w:rsid w:val="000568A2"/>
    <w:rsid w:val="0007306F"/>
    <w:rsid w:val="000D7FDB"/>
    <w:rsid w:val="00103204"/>
    <w:rsid w:val="00115808"/>
    <w:rsid w:val="001374B7"/>
    <w:rsid w:val="001400A8"/>
    <w:rsid w:val="00171B4E"/>
    <w:rsid w:val="001A2F44"/>
    <w:rsid w:val="001B3B01"/>
    <w:rsid w:val="001D0113"/>
    <w:rsid w:val="0026408A"/>
    <w:rsid w:val="002A76B4"/>
    <w:rsid w:val="002B20D9"/>
    <w:rsid w:val="003041DB"/>
    <w:rsid w:val="0032209A"/>
    <w:rsid w:val="0032469F"/>
    <w:rsid w:val="00333F76"/>
    <w:rsid w:val="00361707"/>
    <w:rsid w:val="00362713"/>
    <w:rsid w:val="003A0D6D"/>
    <w:rsid w:val="003C026A"/>
    <w:rsid w:val="003D3B8C"/>
    <w:rsid w:val="00434975"/>
    <w:rsid w:val="00456ACF"/>
    <w:rsid w:val="00471EC8"/>
    <w:rsid w:val="004774E9"/>
    <w:rsid w:val="004A6CC1"/>
    <w:rsid w:val="0051472D"/>
    <w:rsid w:val="00515098"/>
    <w:rsid w:val="00533B3A"/>
    <w:rsid w:val="0054028D"/>
    <w:rsid w:val="00544E75"/>
    <w:rsid w:val="005549FF"/>
    <w:rsid w:val="005674D0"/>
    <w:rsid w:val="005824C8"/>
    <w:rsid w:val="005B71DC"/>
    <w:rsid w:val="00621B6C"/>
    <w:rsid w:val="006330D9"/>
    <w:rsid w:val="006B652F"/>
    <w:rsid w:val="006F15C5"/>
    <w:rsid w:val="007416BC"/>
    <w:rsid w:val="0074304D"/>
    <w:rsid w:val="007931C0"/>
    <w:rsid w:val="007C44D5"/>
    <w:rsid w:val="007E0AD9"/>
    <w:rsid w:val="007F3D88"/>
    <w:rsid w:val="00806062"/>
    <w:rsid w:val="00833B3C"/>
    <w:rsid w:val="00864D74"/>
    <w:rsid w:val="00873BCA"/>
    <w:rsid w:val="0089035D"/>
    <w:rsid w:val="008D39FC"/>
    <w:rsid w:val="008E304B"/>
    <w:rsid w:val="008F52CA"/>
    <w:rsid w:val="009225EC"/>
    <w:rsid w:val="009470EE"/>
    <w:rsid w:val="00963E7A"/>
    <w:rsid w:val="0099149F"/>
    <w:rsid w:val="0099578A"/>
    <w:rsid w:val="009E0403"/>
    <w:rsid w:val="009E18F9"/>
    <w:rsid w:val="009F0245"/>
    <w:rsid w:val="00A224EC"/>
    <w:rsid w:val="00A933AA"/>
    <w:rsid w:val="00AB35CA"/>
    <w:rsid w:val="00AB4A53"/>
    <w:rsid w:val="00AE1B3F"/>
    <w:rsid w:val="00AE7D14"/>
    <w:rsid w:val="00AF043E"/>
    <w:rsid w:val="00B172F6"/>
    <w:rsid w:val="00B173CD"/>
    <w:rsid w:val="00B92395"/>
    <w:rsid w:val="00BB40B2"/>
    <w:rsid w:val="00BB62CA"/>
    <w:rsid w:val="00C008AD"/>
    <w:rsid w:val="00C25573"/>
    <w:rsid w:val="00C4286B"/>
    <w:rsid w:val="00C445DB"/>
    <w:rsid w:val="00C464E8"/>
    <w:rsid w:val="00C87CEC"/>
    <w:rsid w:val="00CA226A"/>
    <w:rsid w:val="00CB0665"/>
    <w:rsid w:val="00CD119B"/>
    <w:rsid w:val="00D346B9"/>
    <w:rsid w:val="00D626D6"/>
    <w:rsid w:val="00D872F6"/>
    <w:rsid w:val="00DA2F6E"/>
    <w:rsid w:val="00DA4FCC"/>
    <w:rsid w:val="00DF29AB"/>
    <w:rsid w:val="00DF5D02"/>
    <w:rsid w:val="00E01B76"/>
    <w:rsid w:val="00E02C32"/>
    <w:rsid w:val="00E07C54"/>
    <w:rsid w:val="00E46EFC"/>
    <w:rsid w:val="00E8314C"/>
    <w:rsid w:val="00E91118"/>
    <w:rsid w:val="00EF0D6F"/>
    <w:rsid w:val="00F2545D"/>
    <w:rsid w:val="00F264E7"/>
    <w:rsid w:val="00F548D2"/>
    <w:rsid w:val="00FB75D5"/>
    <w:rsid w:val="00FD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E23A"/>
  <w15:chartTrackingRefBased/>
  <w15:docId w15:val="{8FC2E53B-CFD4-43AD-B7A0-C6200B25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D74"/>
    <w:pPr>
      <w:spacing w:after="0" w:line="240" w:lineRule="auto"/>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118"/>
    <w:pPr>
      <w:spacing w:after="0" w:line="240" w:lineRule="auto"/>
    </w:pPr>
    <w:rPr>
      <w:rFonts w:asciiTheme="majorHAnsi" w:hAnsiTheme="majorHAnsi"/>
      <w:sz w:val="24"/>
    </w:rPr>
  </w:style>
  <w:style w:type="table" w:styleId="TableGrid">
    <w:name w:val="Table Grid"/>
    <w:basedOn w:val="TableNormal"/>
    <w:uiPriority w:val="39"/>
    <w:rsid w:val="00567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71B4E"/>
  </w:style>
  <w:style w:type="paragraph" w:styleId="NormalWeb">
    <w:name w:val="Normal (Web)"/>
    <w:basedOn w:val="Normal"/>
    <w:uiPriority w:val="99"/>
    <w:unhideWhenUsed/>
    <w:rsid w:val="004A6CC1"/>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2211">
      <w:bodyDiv w:val="1"/>
      <w:marLeft w:val="0"/>
      <w:marRight w:val="0"/>
      <w:marTop w:val="0"/>
      <w:marBottom w:val="0"/>
      <w:divBdr>
        <w:top w:val="none" w:sz="0" w:space="0" w:color="auto"/>
        <w:left w:val="none" w:sz="0" w:space="0" w:color="auto"/>
        <w:bottom w:val="none" w:sz="0" w:space="0" w:color="auto"/>
        <w:right w:val="none" w:sz="0" w:space="0" w:color="auto"/>
      </w:divBdr>
      <w:divsChild>
        <w:div w:id="459033369">
          <w:marLeft w:val="0"/>
          <w:marRight w:val="0"/>
          <w:marTop w:val="0"/>
          <w:marBottom w:val="0"/>
          <w:divBdr>
            <w:top w:val="none" w:sz="0" w:space="0" w:color="auto"/>
            <w:left w:val="none" w:sz="0" w:space="0" w:color="auto"/>
            <w:bottom w:val="none" w:sz="0" w:space="0" w:color="auto"/>
            <w:right w:val="none" w:sz="0" w:space="0" w:color="auto"/>
          </w:divBdr>
          <w:divsChild>
            <w:div w:id="268198332">
              <w:marLeft w:val="0"/>
              <w:marRight w:val="0"/>
              <w:marTop w:val="0"/>
              <w:marBottom w:val="0"/>
              <w:divBdr>
                <w:top w:val="none" w:sz="0" w:space="0" w:color="auto"/>
                <w:left w:val="none" w:sz="0" w:space="0" w:color="auto"/>
                <w:bottom w:val="none" w:sz="0" w:space="0" w:color="auto"/>
                <w:right w:val="none" w:sz="0" w:space="0" w:color="auto"/>
              </w:divBdr>
              <w:divsChild>
                <w:div w:id="404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42D2-D3BC-3B41-AF04-7424B844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Butts</dc:creator>
  <cp:keywords/>
  <dc:description/>
  <cp:lastModifiedBy>Maxwel Oliveira</cp:lastModifiedBy>
  <cp:revision>4</cp:revision>
  <dcterms:created xsi:type="dcterms:W3CDTF">2019-05-03T21:42:00Z</dcterms:created>
  <dcterms:modified xsi:type="dcterms:W3CDTF">2019-05-06T22:20:00Z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480cd75b-9c29-3e7e-8d29-cd8bd9300128</vt:lpwstr>
  </property>
  <property fmtid="{D5CDD505-2E9C-101B-9397-08002B2CF9AE}" pid="4" name="Mendeley Citation Style_1">
    <vt:lpwstr>http://www.zotero.org/styles/weed-science-society-of-america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http://www.zotero.org/styles/crop-protection</vt:lpwstr>
  </property>
  <property fmtid="{D5CDD505-2E9C-101B-9397-08002B2CF9AE}" pid="16" name="Mendeley Recent Style Name 5_1">
    <vt:lpwstr>Crop Protection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http://www.zotero.org/styles/weed-science-society-of-america</vt:lpwstr>
  </property>
  <property fmtid="{D5CDD505-2E9C-101B-9397-08002B2CF9AE}" pid="24" name="Mendeley Recent Style Name 9_1">
    <vt:lpwstr>Weed Science Society of America</vt:lpwstr>
  </property>
</Properties>
</file>