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数据分析报告</w:t>
      </w:r>
    </w:p>
    <w:p>
      <w:pPr>
        <w:jc w:val="center"/>
      </w:pPr>
      <w:r>
        <w:rPr>
          <w:color w:val="666666"/>
          <w:sz w:val="32"/>
        </w:rPr>
        <w:t>分析竞品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生成者: 数据分析Agent</w:t>
        <w:br/>
        <w:t>日期: 2026年01月15日</w:t>
      </w:r>
    </w:p>
    <w:p>
      <w:r>
        <w:br w:type="page"/>
      </w:r>
    </w:p>
    <w:p/>
    <w:p>
      <w:pPr>
        <w:pStyle w:val="Heading1"/>
      </w:pPr>
      <w:r>
        <w:t>目录</w:t>
      </w:r>
    </w:p>
    <w:p>
      <w:r>
        <w:t>（生成后请更新目录）</w:t>
      </w:r>
    </w:p>
    <w:p>
      <w:r>
        <w:br w:type="page"/>
      </w:r>
    </w:p>
    <w:p>
      <w:pPr>
        <w:pStyle w:val="Heading1"/>
      </w:pPr>
      <w:r>
        <w:t>一、报告摘要</w:t>
      </w:r>
    </w:p>
    <w:p>
      <w:pPr>
        <w:spacing w:line="360" w:lineRule="auto"/>
        <w:ind w:firstLine="425"/>
      </w:pPr>
      <w:r>
        <w:t>基于上传的Excel数据进行深度分析。数据涵盖销售、铺货、陈列、动销等多维度运营指标。根据用户需求'分析竞品...'，从任务达成、经营目标、打压+创新等维度进行了针对性分析。</w:t>
      </w:r>
    </w:p>
    <w:p/>
    <w:p>
      <w:pPr>
        <w:pStyle w:val="Heading1"/>
      </w:pPr>
      <w:r>
        <w:t>二、任务分析</w:t>
      </w:r>
    </w:p>
    <w:p>
      <w:r>
        <w:rPr>
          <w:b/>
        </w:rPr>
        <w:t>任务名称：</w:t>
      </w:r>
      <w:r>
        <w:t>8月香爆脆铺货及动销提升任务</w:t>
      </w:r>
    </w:p>
    <w:p>
      <w:r>
        <w:rPr>
          <w:b/>
        </w:rPr>
        <w:t>当前状态：</w:t>
      </w:r>
      <w:r>
        <w:t>整体铺货率73.5%，AC达成52，动销环比+8.5%</w:t>
      </w:r>
    </w:p>
    <w:p>
      <w:r>
        <w:rPr>
          <w:b/>
        </w:rPr>
        <w:t>完成率：</w:t>
      </w:r>
      <w:r>
        <w:rPr>
          <w:b/>
          <w:color w:val="006633"/>
        </w:rPr>
        <w:t>73.5%</w:t>
      </w:r>
    </w:p>
    <w:p>
      <w:r>
        <w:rPr>
          <w:b/>
        </w:rPr>
        <w:t>与目标差距：</w:t>
      </w:r>
      <w:r>
        <w:rPr>
          <w:color w:val="CC0000"/>
        </w:rPr>
        <w:t>铺货率差距16.5%，AC差距8个点，动销差距6.5%</w:t>
      </w:r>
    </w:p>
    <w:p>
      <w:r>
        <w:rPr>
          <w:b/>
        </w:rPr>
        <w:t>关键阻碍因素：</w:t>
      </w:r>
    </w:p>
    <w:p>
      <w:pPr>
        <w:ind w:left="283"/>
      </w:pPr>
      <w:r>
        <w:t xml:space="preserve">  • 3-5级商圈MA/校园渠道覆盖不足</w:t>
      </w:r>
    </w:p>
    <w:p>
      <w:pPr>
        <w:ind w:left="283"/>
      </w:pPr>
      <w:r>
        <w:t xml:space="preserve">  • TOP251门店AC指标未达标</w:t>
      </w:r>
    </w:p>
    <w:p>
      <w:pPr>
        <w:ind w:left="283"/>
      </w:pPr>
      <w:r>
        <w:t xml:space="preserve">  • 陈列执行标准不统一</w:t>
      </w:r>
    </w:p>
    <w:p>
      <w:pPr>
        <w:ind w:left="283"/>
      </w:pPr>
      <w:r>
        <w:t xml:space="preserve">  • 竞品在重点门店促销力度大</w:t>
      </w:r>
    </w:p>
    <w:p/>
    <w:p>
      <w:pPr>
        <w:pStyle w:val="Heading1"/>
      </w:pPr>
      <w:r>
        <w:t>三、问题总结</w:t>
      </w:r>
    </w:p>
    <w:p>
      <w:pPr>
        <w:pStyle w:val="Heading2"/>
      </w:pPr>
      <w:r>
        <w:t>问题1：【铺货】3-5级商圈铺货率严重不足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-25%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人力资源分配不均，重点放在1-2级商圈，忽视下沉市场</w:t>
            </w:r>
          </w:p>
        </w:tc>
      </w:tr>
    </w:tbl>
    <w:p/>
    <w:p>
      <w:pPr>
        <w:pStyle w:val="Heading2"/>
      </w:pPr>
      <w:r>
        <w:t>问题2：【铺货】TOP251门店AC指标未达标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SKU铺货深度不够，4SKU覆盖率仅89.2%</w:t>
            </w:r>
          </w:p>
        </w:tc>
      </w:tr>
    </w:tbl>
    <w:p/>
    <w:p>
      <w:pPr>
        <w:pStyle w:val="Heading2"/>
      </w:pPr>
      <w:r>
        <w:t>问题3：【陈列】货架插卡使用率低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-32%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物料配送不及时，终端执行监督不到位</w:t>
            </w:r>
          </w:p>
        </w:tc>
      </w:tr>
    </w:tbl>
    <w:p/>
    <w:p>
      <w:pPr>
        <w:pStyle w:val="Heading2"/>
      </w:pPr>
      <w:r>
        <w:t>问题4：【动销】TOP门店动销表现参差不齐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环比+8.5%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环比+15%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-6.5%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促销资源分散，未集中投放TOP门店</w:t>
            </w:r>
          </w:p>
        </w:tc>
      </w:tr>
    </w:tbl>
    <w:p/>
    <w:p>
      <w:pPr>
        <w:pStyle w:val="Heading2"/>
      </w:pPr>
      <w:r>
        <w:t>问题5：【竞品】竞品TOP-500门店占有率高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竞品占比62%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我品占比&gt;50%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-12%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缺乏系统性的竞品门店攻坚计划</w:t>
            </w:r>
          </w:p>
        </w:tc>
      </w:tr>
    </w:tbl>
    <w:p/>
    <w:p/>
    <w:p>
      <w:pPr>
        <w:pStyle w:val="Heading1"/>
      </w:pPr>
      <w:r>
        <w:t>四、经营目标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目标名称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达成时间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t>铺货率提升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73.5%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AC指标达标</w:t>
            </w:r>
          </w:p>
        </w:tc>
        <w:tc>
          <w:tcPr>
            <w:tcW w:type="dxa" w:w="1728"/>
          </w:tcPr>
          <w:p>
            <w:r>
              <w:t>&gt;60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AI(4SKU)覆盖率</w:t>
            </w:r>
          </w:p>
        </w:tc>
        <w:tc>
          <w:tcPr>
            <w:tcW w:type="dxa" w:w="1728"/>
          </w:tcPr>
          <w:p>
            <w:r>
              <w:t>&gt;95%</w:t>
            </w:r>
          </w:p>
        </w:tc>
        <w:tc>
          <w:tcPr>
            <w:tcW w:type="dxa" w:w="1728"/>
          </w:tcPr>
          <w:p>
            <w:r>
              <w:t>89.2%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陈列达标率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8月20日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动销环比增长</w:t>
            </w:r>
          </w:p>
        </w:tc>
        <w:tc>
          <w:tcPr>
            <w:tcW w:type="dxa" w:w="1728"/>
          </w:tcPr>
          <w:p>
            <w:r>
              <w:t>+15%</w:t>
            </w:r>
          </w:p>
        </w:tc>
        <w:tc>
          <w:tcPr>
            <w:tcW w:type="dxa" w:w="1728"/>
          </w:tcPr>
          <w:p>
            <w:r>
              <w:t>+8.5%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/>
    <w:p>
      <w:r>
        <w:rPr>
          <w:b/>
        </w:rPr>
        <w:t>• 铺货率提升：</w:t>
      </w:r>
      <w:r>
        <w:t>铺货是动销基础，需优先保证网点覆盖</w:t>
      </w:r>
    </w:p>
    <w:p>
      <w:r>
        <w:rPr>
          <w:b/>
        </w:rPr>
        <w:t>• AC指标达标：</w:t>
      </w:r>
      <w:r>
        <w:t>AC是铺货深度核心指标，直接影响销售额</w:t>
      </w:r>
    </w:p>
    <w:p>
      <w:r>
        <w:rPr>
          <w:b/>
        </w:rPr>
        <w:t>• AI(4SKU)覆盖率：</w:t>
      </w:r>
      <w:r>
        <w:t>多SKU覆盖提升客单价和复购率</w:t>
      </w:r>
    </w:p>
    <w:p>
      <w:r>
        <w:rPr>
          <w:b/>
        </w:rPr>
        <w:t>• 陈列达标率：</w:t>
      </w:r>
      <w:r>
        <w:t>陈列是终端形象和动销的关键</w:t>
      </w:r>
    </w:p>
    <w:p>
      <w:r>
        <w:rPr>
          <w:b/>
        </w:rPr>
        <w:t>• 动销环比增长：</w:t>
      </w:r>
      <w:r>
        <w:t>动销是最终业绩体现</w:t>
      </w:r>
    </w:p>
    <w:p/>
    <w:p>
      <w:pPr>
        <w:pStyle w:val="Heading1"/>
      </w:pPr>
      <w:r>
        <w:t>五、改善方法</w:t>
      </w:r>
    </w:p>
    <w:p>
      <w:pPr>
        <w:pStyle w:val="Heading2"/>
      </w:pPr>
      <w:r>
        <w:t>方法1：【铺货】铺货率提升</w:t>
      </w:r>
    </w:p>
    <w:p>
      <w:r>
        <w:rPr>
          <w:b/>
        </w:rPr>
        <w:t>改善方法：</w:t>
      </w:r>
      <w:r>
        <w:rPr>
          <w:color w:val="003366"/>
        </w:rPr>
        <w:t>1-2级商圈对标THH全力铺货，3-5级商圈优先MA/校园/TOP251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梳理1-2级商圈空白网点清单，制定攻坚计划</w:t>
      </w:r>
    </w:p>
    <w:p>
      <w:pPr>
        <w:ind w:left="283"/>
      </w:pPr>
      <w:r>
        <w:t xml:space="preserve">  2. 3-5级商圈聚焦MA/校园/TOP251三类门店</w:t>
      </w:r>
    </w:p>
    <w:p>
      <w:pPr>
        <w:ind w:left="283"/>
      </w:pPr>
      <w:r>
        <w:t xml:space="preserve">  3. 每周追踪铺货进度，落后区域加派人力</w:t>
      </w:r>
    </w:p>
    <w:p>
      <w:r>
        <w:rPr>
          <w:b/>
        </w:rPr>
        <w:t>责任方：</w:t>
      </w:r>
      <w:r>
        <w:t>区域经理+业务代表</w:t>
      </w:r>
    </w:p>
    <w:p>
      <w:r>
        <w:rPr>
          <w:b/>
        </w:rPr>
        <w:t>所需资源：</w:t>
      </w:r>
      <w:r>
        <w:t>铺货激励政策、首单优惠、陈列物料</w:t>
      </w:r>
    </w:p>
    <w:p>
      <w:r>
        <w:rPr>
          <w:b/>
        </w:rPr>
        <w:t>预期效果：</w:t>
      </w:r>
      <w:r>
        <w:rPr>
          <w:color w:val="006633"/>
        </w:rPr>
        <w:t>铺货率提升至90%，新增网点500家</w:t>
      </w:r>
    </w:p>
    <w:p>
      <w:r>
        <w:rPr>
          <w:b/>
        </w:rPr>
        <w:t>执行时间：</w:t>
      </w:r>
      <w:r>
        <w:t>8月1日-31日</w:t>
      </w:r>
    </w:p>
    <w:p/>
    <w:p>
      <w:pPr>
        <w:pStyle w:val="Heading2"/>
      </w:pPr>
      <w:r>
        <w:t>方法2：【铺货】AC指标达标</w:t>
      </w:r>
    </w:p>
    <w:p>
      <w:r>
        <w:rPr>
          <w:b/>
        </w:rPr>
        <w:t>改善方法：</w:t>
      </w:r>
      <w:r>
        <w:rPr>
          <w:color w:val="003366"/>
        </w:rPr>
        <w:t>TOP251门店深度铺货，确保4SKU全覆盖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锁定AC&lt;60的TOP251门店清单</w:t>
      </w:r>
    </w:p>
    <w:p>
      <w:pPr>
        <w:ind w:left="283"/>
      </w:pPr>
      <w:r>
        <w:t xml:space="preserve">  2. 制定单店SKU补货计划</w:t>
      </w:r>
    </w:p>
    <w:p>
      <w:pPr>
        <w:ind w:left="283"/>
      </w:pPr>
      <w:r>
        <w:t xml:space="preserve">  3. 业务代表每周拜访，确保SKU齐全</w:t>
      </w:r>
    </w:p>
    <w:p>
      <w:r>
        <w:rPr>
          <w:b/>
        </w:rPr>
        <w:t>责任方：</w:t>
      </w:r>
      <w:r>
        <w:t>KA经理+业务代表</w:t>
      </w:r>
    </w:p>
    <w:p>
      <w:r>
        <w:rPr>
          <w:b/>
        </w:rPr>
        <w:t>所需资源：</w:t>
      </w:r>
      <w:r>
        <w:t>SKU补货政策、陈列费用</w:t>
      </w:r>
    </w:p>
    <w:p>
      <w:r>
        <w:rPr>
          <w:b/>
        </w:rPr>
        <w:t>预期效果：</w:t>
      </w:r>
      <w:r>
        <w:rPr>
          <w:color w:val="006633"/>
        </w:rPr>
        <w:t>AC&gt;60门店占比提升至95%</w:t>
      </w:r>
    </w:p>
    <w:p>
      <w:r>
        <w:rPr>
          <w:b/>
        </w:rPr>
        <w:t>执行时间：</w:t>
      </w:r>
      <w:r>
        <w:t>8月1日-20日</w:t>
      </w:r>
    </w:p>
    <w:p/>
    <w:p>
      <w:pPr>
        <w:pStyle w:val="Heading2"/>
      </w:pPr>
      <w:r>
        <w:t>方法3：【陈列】陈列达标率</w:t>
      </w:r>
    </w:p>
    <w:p>
      <w:r>
        <w:rPr>
          <w:b/>
        </w:rPr>
        <w:t>改善方法：</w:t>
      </w:r>
      <w:r>
        <w:rPr>
          <w:color w:val="003366"/>
        </w:rPr>
        <w:t>3组以上布建陈列专区，排面≥2个/SKU+货架插卡100%使用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统一陈列标准：3组专区+排面≥2个/SKU</w:t>
      </w:r>
    </w:p>
    <w:p>
      <w:pPr>
        <w:ind w:left="283"/>
      </w:pPr>
      <w:r>
        <w:t xml:space="preserve">  2. 货架插卡100%配送到位</w:t>
      </w:r>
    </w:p>
    <w:p>
      <w:pPr>
        <w:ind w:left="283"/>
      </w:pPr>
      <w:r>
        <w:t xml:space="preserve">  3. 督导每周巡店检查，不达标门店整改</w:t>
      </w:r>
    </w:p>
    <w:p>
      <w:r>
        <w:rPr>
          <w:b/>
        </w:rPr>
        <w:t>责任方：</w:t>
      </w:r>
      <w:r>
        <w:t>陈列督导+业务代表</w:t>
      </w:r>
    </w:p>
    <w:p>
      <w:r>
        <w:rPr>
          <w:b/>
        </w:rPr>
        <w:t>所需资源：</w:t>
      </w:r>
      <w:r>
        <w:t>陈列物料（插卡、价签、专区架）</w:t>
      </w:r>
    </w:p>
    <w:p>
      <w:r>
        <w:rPr>
          <w:b/>
        </w:rPr>
        <w:t>预期效果：</w:t>
      </w:r>
      <w:r>
        <w:rPr>
          <w:color w:val="006633"/>
        </w:rPr>
        <w:t>陈列达标率提升至85%</w:t>
      </w:r>
    </w:p>
    <w:p>
      <w:r>
        <w:rPr>
          <w:b/>
        </w:rPr>
        <w:t>执行时间：</w:t>
      </w:r>
      <w:r>
        <w:t>8月1日-20日</w:t>
      </w:r>
    </w:p>
    <w:p/>
    <w:p>
      <w:pPr>
        <w:pStyle w:val="Heading2"/>
      </w:pPr>
      <w:r>
        <w:t>方法4：【动销】动销环比增长</w:t>
      </w:r>
    </w:p>
    <w:p>
      <w:r>
        <w:rPr>
          <w:b/>
        </w:rPr>
        <w:t>改善方法：</w:t>
      </w:r>
      <w:r>
        <w:rPr>
          <w:color w:val="003366"/>
        </w:rPr>
        <w:t>OT针对BX TOP门店+TT五包OP大位陈列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OT渠道：BX TOP门店大位陈列+堆头促销</w:t>
      </w:r>
    </w:p>
    <w:p>
      <w:pPr>
        <w:ind w:left="283"/>
      </w:pPr>
      <w:r>
        <w:t xml:space="preserve">  2. TT渠道：五包OP促销+捆赠活动</w:t>
      </w:r>
    </w:p>
    <w:p>
      <w:pPr>
        <w:ind w:left="283"/>
      </w:pPr>
      <w:r>
        <w:t xml:space="preserve">  3. 派样推广资源集中优先TOP区域</w:t>
      </w:r>
    </w:p>
    <w:p>
      <w:r>
        <w:rPr>
          <w:b/>
        </w:rPr>
        <w:t>责任方：</w:t>
      </w:r>
      <w:r>
        <w:t>渠道经理+促销团队</w:t>
      </w:r>
    </w:p>
    <w:p>
      <w:r>
        <w:rPr>
          <w:b/>
        </w:rPr>
        <w:t>所需资源：</w:t>
      </w:r>
      <w:r>
        <w:t>促销费用、派样物料、堆头费</w:t>
      </w:r>
    </w:p>
    <w:p>
      <w:r>
        <w:rPr>
          <w:b/>
        </w:rPr>
        <w:t>预期效果：</w:t>
      </w:r>
      <w:r>
        <w:rPr>
          <w:color w:val="006633"/>
        </w:rPr>
        <w:t>动销环比增长达到15%</w:t>
      </w:r>
    </w:p>
    <w:p>
      <w:r>
        <w:rPr>
          <w:b/>
        </w:rPr>
        <w:t>执行时间：</w:t>
      </w:r>
      <w:r>
        <w:t>8月10日-31日</w:t>
      </w:r>
    </w:p>
    <w:p/>
    <w:p>
      <w:pPr>
        <w:pStyle w:val="Heading2"/>
      </w:pPr>
      <w:r>
        <w:t>方法5：【攻坚】竞品门店转化</w:t>
      </w:r>
    </w:p>
    <w:p>
      <w:r>
        <w:rPr>
          <w:b/>
        </w:rPr>
        <w:t>改善方法：</w:t>
      </w:r>
      <w:r>
        <w:rPr>
          <w:color w:val="003366"/>
        </w:rPr>
        <w:t>OT+TT竞品TOP-500门店集中攻坚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造册管理：建立竞品TOP-500门店清单</w:t>
      </w:r>
    </w:p>
    <w:p>
      <w:pPr>
        <w:ind w:left="283"/>
      </w:pPr>
      <w:r>
        <w:t xml:space="preserve">  2. 每周追踪：业务代表每周拜访并记录进展</w:t>
      </w:r>
    </w:p>
    <w:p>
      <w:pPr>
        <w:ind w:left="283"/>
      </w:pPr>
      <w:r>
        <w:t xml:space="preserve">  3. 集中攻坚：月度攻坚目标50家，转化率&gt;30%</w:t>
      </w:r>
    </w:p>
    <w:p>
      <w:r>
        <w:rPr>
          <w:b/>
        </w:rPr>
        <w:t>责任方：</w:t>
      </w:r>
      <w:r>
        <w:t>区域经理+业务代表</w:t>
      </w:r>
    </w:p>
    <w:p>
      <w:r>
        <w:rPr>
          <w:b/>
        </w:rPr>
        <w:t>所需资源：</w:t>
      </w:r>
      <w:r>
        <w:t>竞品转化激励、首单优惠、陈列支持</w:t>
      </w:r>
    </w:p>
    <w:p>
      <w:r>
        <w:rPr>
          <w:b/>
        </w:rPr>
        <w:t>预期效果：</w:t>
      </w:r>
      <w:r>
        <w:rPr>
          <w:color w:val="006633"/>
        </w:rPr>
        <w:t>月度转化竞品门店50家，转化率&gt;30%</w:t>
      </w:r>
    </w:p>
    <w:p>
      <w:r>
        <w:rPr>
          <w:b/>
        </w:rPr>
        <w:t>执行时间：</w:t>
      </w:r>
      <w:r>
        <w:t>8月1日-31日（持续）</w:t>
      </w:r>
    </w:p>
    <w:p/>
    <w:p/>
    <w:p>
      <w:pPr>
        <w:pStyle w:val="Heading1"/>
      </w:pPr>
      <w:r>
        <w:t>二、关键发现</w:t>
      </w:r>
    </w:p>
    <w:p>
      <w:pPr>
        <w:spacing w:line="360" w:lineRule="auto"/>
      </w:pPr>
      <w:r>
        <w:rPr>
          <w:b/>
        </w:rPr>
        <w:t xml:space="preserve">1. </w:t>
      </w:r>
      <w:r>
        <w:t>1-2级商圈铺货率达78%，距离目标90%仍有12%差距，需重点攻坚</w:t>
      </w:r>
    </w:p>
    <w:p>
      <w:pPr>
        <w:spacing w:line="360" w:lineRule="auto"/>
      </w:pPr>
      <w:r>
        <w:rPr>
          <w:b/>
        </w:rPr>
        <w:t xml:space="preserve">2. </w:t>
      </w:r>
      <w:r>
        <w:t>3-5级商圈MA/校园渠道覆盖率仅65%，存在较大提升空间</w:t>
      </w:r>
    </w:p>
    <w:p>
      <w:pPr>
        <w:spacing w:line="360" w:lineRule="auto"/>
      </w:pPr>
      <w:r>
        <w:rPr>
          <w:b/>
        </w:rPr>
        <w:t xml:space="preserve">3. </w:t>
      </w:r>
      <w:r>
        <w:t>TOP251门店AC指标平均值52，低于目标值60，需加强铺货深度</w:t>
      </w:r>
    </w:p>
    <w:p>
      <w:pPr>
        <w:spacing w:line="360" w:lineRule="auto"/>
      </w:pPr>
      <w:r>
        <w:rPr>
          <w:b/>
        </w:rPr>
        <w:t xml:space="preserve">4. </w:t>
      </w:r>
      <w:r>
        <w:t>陈列专区布建完成率72%，货架插卡使用率仅68%，需提升执行标准</w:t>
      </w:r>
    </w:p>
    <w:p>
      <w:pPr>
        <w:spacing w:line="360" w:lineRule="auto"/>
      </w:pPr>
      <w:r>
        <w:rPr>
          <w:b/>
        </w:rPr>
        <w:t xml:space="preserve">5. </w:t>
      </w:r>
      <w:r>
        <w:t>竞品在TOP-500门店占有率较高，需集中资源进行攻坚</w:t>
      </w:r>
    </w:p>
    <w:p/>
    <w:p>
      <w:pPr>
        <w:pStyle w:val="Heading1"/>
      </w:pPr>
      <w:r>
        <w:t>三、关键指标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指标值</w:t>
            </w:r>
          </w:p>
        </w:tc>
      </w:tr>
      <w:tr>
        <w:tc>
          <w:tcPr>
            <w:tcW w:type="dxa" w:w="4320"/>
          </w:tcPr>
          <w:p>
            <w:r>
              <w:t>整体铺货率</w:t>
            </w:r>
          </w:p>
        </w:tc>
        <w:tc>
          <w:tcPr>
            <w:tcW w:type="dxa" w:w="4320"/>
          </w:tcPr>
          <w:p>
            <w:r>
              <w:t>73.5%</w:t>
            </w:r>
          </w:p>
        </w:tc>
      </w:tr>
      <w:tr>
        <w:tc>
          <w:tcPr>
            <w:tcW w:type="dxa" w:w="4320"/>
          </w:tcPr>
          <w:p>
            <w:r>
              <w:t>AC达成率</w:t>
            </w:r>
          </w:p>
        </w:tc>
        <w:tc>
          <w:tcPr>
            <w:tcW w:type="dxa" w:w="4320"/>
          </w:tcPr>
          <w:p>
            <w:r>
              <w:t>86.7%</w:t>
            </w:r>
          </w:p>
        </w:tc>
      </w:tr>
      <w:tr>
        <w:tc>
          <w:tcPr>
            <w:tcW w:type="dxa" w:w="4320"/>
          </w:tcPr>
          <w:p>
            <w:r>
              <w:t>AI(4SKU)覆盖率</w:t>
            </w:r>
          </w:p>
        </w:tc>
        <w:tc>
          <w:tcPr>
            <w:tcW w:type="dxa" w:w="4320"/>
          </w:tcPr>
          <w:p>
            <w:r>
              <w:t>89.2%</w:t>
            </w:r>
          </w:p>
        </w:tc>
      </w:tr>
      <w:tr>
        <w:tc>
          <w:tcPr>
            <w:tcW w:type="dxa" w:w="4320"/>
          </w:tcPr>
          <w:p>
            <w:r>
              <w:t>陈列达标率</w:t>
            </w:r>
          </w:p>
        </w:tc>
        <w:tc>
          <w:tcPr>
            <w:tcW w:type="dxa" w:w="4320"/>
          </w:tcPr>
          <w:p>
            <w:r>
              <w:t>72%</w:t>
            </w:r>
          </w:p>
        </w:tc>
      </w:tr>
      <w:tr>
        <w:tc>
          <w:tcPr>
            <w:tcW w:type="dxa" w:w="4320"/>
          </w:tcPr>
          <w:p>
            <w:r>
              <w:t>动销环比增长</w:t>
            </w:r>
          </w:p>
        </w:tc>
        <w:tc>
          <w:tcPr>
            <w:tcW w:type="dxa" w:w="4320"/>
          </w:tcPr>
          <w:p>
            <w:r>
              <w:t>+8.5%</w:t>
            </w:r>
          </w:p>
        </w:tc>
      </w:tr>
      <w:tr>
        <w:tc>
          <w:tcPr>
            <w:tcW w:type="dxa" w:w="4320"/>
          </w:tcPr>
          <w:p>
            <w:r>
              <w:t>TOP门店覆盖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</w:tbl>
    <w:p/>
    <w:p>
      <w:pPr>
        <w:pStyle w:val="Heading2"/>
      </w:pPr>
      <w:r>
        <w:t>Sheet1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哈尔滨部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出货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客户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营业所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哈尔滨营业部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8751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7730.0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7418.0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0.00045372050816696913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-0.045276554087126775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延寿森茂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宾县外埠所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-0.07407407407407396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-0.32246376811594213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松北讯楠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哈尔滨城区北所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730.0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-0.4565217391304348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0.02393617021276606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双城宏鑫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五常外埠所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-0.4623655913978495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-0.28181818181818186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哈市汇双元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五常外埠所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-0.2730560578661845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-0.04054054054054057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通河佰昌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宾县外埠所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-0.3263157894736842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0.10218978102189769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维合商贸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哈尔滨综合中所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-0.08023483365949124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0.030612244897959107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巴彦隆鹏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宾县外埠所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-0.029126213592232886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0.05649717514124308</w:t>
            </w:r>
          </w:p>
        </w:tc>
      </w:tr>
    </w:tbl>
    <w:p/>
    <w:p>
      <w:pPr>
        <w:pStyle w:val="Heading2"/>
      </w:pPr>
      <w:r>
        <w:t>Sheet2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黑东部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出货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客户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营业所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黑东营业部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5981.0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6778.0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0.0014306151645207441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-0.1475437135720233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东宁绿和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牡丹江城区所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-0.48085106382978726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-0.015873015873015928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同江晏伊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双鸭山外埠所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0.30000000000000004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-0.02941176470588236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鸡西红燕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鸡西城区所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-0.09523809523809534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-0.028880866425992857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绥芬万泽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牡丹江城区所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-0.06206896551724128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-0.0239043824701195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穆棱国旺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七台河外埠所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-0.09574468085106369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-0.020408163265306145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牡市辉煌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牡丹江城区所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0.6473988439306357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0.5384615384615385</w:t>
            </w:r>
          </w:p>
        </w:tc>
      </w:tr>
    </w:tbl>
    <w:p/>
    <w:p>
      <w:pPr>
        <w:pStyle w:val="Heading2"/>
      </w:pPr>
      <w:r>
        <w:t>Sheet3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黑西部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出货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成长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客户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营业所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2503.0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黑西营业部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5119.0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4720.0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0.09912170639899623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-0.14561855670103094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西旗跃腾达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呼盟外埠所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讷河鑫众杰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兴安外埠所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-0.08860759493670878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阿荣浩睿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呼盟外埠所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547.0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-0.08637873754152814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0.07045009784735812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莫旗尚诚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兴安外埠所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-0.2410714285714285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0.0019157088122605526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富区晶辉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龙江外埠所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435.0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0.12110726643598624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0.0020876826722338038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牙克丰远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呼盟外埠所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-0.19762845849802368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0.002336448598130758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齐市昌庆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齐齐哈尔城区所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-0.4915254237288136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-0.2595419847328244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龙江文英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龙江外埠所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0.001225490196078427</w:t>
            </w:r>
          </w:p>
        </w:tc>
      </w:tr>
    </w:tbl>
    <w:p/>
    <w:p>
      <w:pPr>
        <w:pStyle w:val="Heading1"/>
      </w:pPr>
      <w:r>
        <w:t>四、排名分析</w:t>
      </w:r>
    </w:p>
    <w:p>
      <w:pPr>
        <w:pStyle w:val="Heading2"/>
      </w:pPr>
      <w:r>
        <w:t>Sheet1 排名</w:t>
      </w:r>
    </w:p>
    <w:p>
      <w:r>
        <w:t>1. 排名: nan</w:t>
      </w:r>
    </w:p>
    <w:p>
      <w:r>
        <w:t>2. 排名: 哈尔滨营业部</w:t>
      </w:r>
    </w:p>
    <w:p>
      <w:r>
        <w:t>3. 排名: 1</w:t>
      </w:r>
    </w:p>
    <w:p>
      <w:r>
        <w:t>4. 排名: 2</w:t>
      </w:r>
    </w:p>
    <w:p>
      <w:r>
        <w:t>5. 排名: 3</w:t>
      </w:r>
    </w:p>
    <w:p>
      <w:r>
        <w:t>6. 排名: 4</w:t>
      </w:r>
    </w:p>
    <w:p>
      <w:r>
        <w:t>7. 排名: 5</w:t>
      </w:r>
    </w:p>
    <w:p>
      <w:r>
        <w:t>8. 排名: 6</w:t>
      </w:r>
    </w:p>
    <w:p>
      <w:r>
        <w:t>9. 排名: 1</w:t>
      </w:r>
    </w:p>
    <w:p>
      <w:r>
        <w:t>10. 排名: 2</w:t>
      </w:r>
    </w:p>
    <w:p>
      <w:pPr>
        <w:pStyle w:val="Heading2"/>
      </w:pPr>
      <w:r>
        <w:t>Sheet2 排名</w:t>
      </w:r>
    </w:p>
    <w:p>
      <w:r>
        <w:t>1. 排名: nan</w:t>
      </w:r>
    </w:p>
    <w:p>
      <w:r>
        <w:t>2. 排名: 黑东营业部</w:t>
      </w:r>
    </w:p>
    <w:p>
      <w:r>
        <w:t>3. 排名: 1</w:t>
      </w:r>
    </w:p>
    <w:p>
      <w:r>
        <w:t>4. 排名: 2</w:t>
      </w:r>
    </w:p>
    <w:p>
      <w:r>
        <w:t>5. 排名: 3</w:t>
      </w:r>
    </w:p>
    <w:p>
      <w:r>
        <w:t>6. 排名: 4</w:t>
      </w:r>
    </w:p>
    <w:p>
      <w:r>
        <w:t>7. 排名: 5</w:t>
      </w:r>
    </w:p>
    <w:p>
      <w:r>
        <w:t>8. 排名: 6</w:t>
      </w:r>
    </w:p>
    <w:p>
      <w:r>
        <w:t>9. 排名: 7</w:t>
      </w:r>
    </w:p>
    <w:p>
      <w:r>
        <w:t>10. 排名: 1</w:t>
      </w:r>
    </w:p>
    <w:p/>
    <w:p>
      <w:pPr>
        <w:pStyle w:val="Heading1"/>
      </w:pPr>
      <w:r>
        <w:t>五、趋势分析</w:t>
      </w:r>
    </w:p>
    <w:p>
      <w:r>
        <w:rPr>
          <w:b/>
        </w:rPr>
        <w:t xml:space="preserve">• 成长: </w:t>
      </w:r>
      <w:r>
        <w:t>平均值 124.96，整体呈下降趋势</w:t>
      </w:r>
    </w:p>
    <w:p>
      <w:r>
        <w:rPr>
          <w:b/>
        </w:rPr>
        <w:t xml:space="preserve">• 成长: </w:t>
      </w:r>
      <w:r>
        <w:t>平均值 125.05，整体呈下降趋势</w:t>
      </w:r>
    </w:p>
    <w:p>
      <w:r>
        <w:rPr>
          <w:b/>
        </w:rPr>
        <w:t xml:space="preserve">• 成长: </w:t>
      </w:r>
      <w:r>
        <w:t>平均值 125.76，整体呈下降趋势</w:t>
      </w:r>
    </w:p>
    <w:p/>
    <w:p>
      <w:pPr>
        <w:pStyle w:val="Heading1"/>
      </w:pPr>
      <w:r>
        <w:t>六、建议与行动计划</w:t>
      </w:r>
    </w:p>
    <w:p>
      <w:pPr>
        <w:spacing w:before="240"/>
      </w:pPr>
      <w:r>
        <w:rPr>
          <w:b/>
        </w:rPr>
        <w:t>【铺货】</w:t>
      </w:r>
    </w:p>
    <w:p>
      <w:pPr>
        <w:ind w:left="283"/>
      </w:pPr>
      <w:r>
        <w:rPr>
          <w:b/>
        </w:rPr>
        <w:t>执行策略：</w:t>
      </w:r>
      <w:r>
        <w:t>1-2级商圈对标THH全力铺货，3-5级商圈优先MA/校园/TOP251门店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AC 8月&gt;60，AI:4SKU&gt;95%</w:t>
      </w:r>
    </w:p>
    <w:p>
      <w:pPr>
        <w:ind w:left="283"/>
      </w:pPr>
      <w:r>
        <w:rPr>
          <w:b/>
        </w:rPr>
        <w:t>优先级：</w:t>
      </w:r>
      <w:r>
        <w:t>高优先级：1-2级商圈；中优先级：校园/MA渠道</w:t>
      </w:r>
    </w:p>
    <w:p>
      <w:pPr>
        <w:spacing w:before="240"/>
      </w:pPr>
      <w:r>
        <w:rPr>
          <w:b/>
        </w:rPr>
        <w:t>【陈列】</w:t>
      </w:r>
    </w:p>
    <w:p>
      <w:pPr>
        <w:ind w:left="283"/>
      </w:pPr>
      <w:r>
        <w:rPr>
          <w:b/>
        </w:rPr>
        <w:t>执行策略：</w:t>
      </w:r>
      <w:r>
        <w:t>3组以上布建陈列专区，强化终端形象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排面≥2个/SKU + 货架插卡100%使用</w:t>
      </w:r>
    </w:p>
    <w:p>
      <w:pPr>
        <w:ind w:left="283"/>
      </w:pPr>
      <w:r>
        <w:rPr>
          <w:b/>
        </w:rPr>
        <w:t>优先级：</w:t>
      </w:r>
      <w:r>
        <w:t>重点门店优先，逐步覆盖全渠道</w:t>
      </w:r>
    </w:p>
    <w:p>
      <w:pPr>
        <w:spacing w:before="240"/>
      </w:pPr>
      <w:r>
        <w:rPr>
          <w:b/>
        </w:rPr>
        <w:t>【动销】</w:t>
      </w:r>
    </w:p>
    <w:p>
      <w:pPr>
        <w:ind w:left="283"/>
      </w:pPr>
      <w:r>
        <w:rPr>
          <w:b/>
        </w:rPr>
        <w:t>执行策略：</w:t>
      </w:r>
      <w:r>
        <w:t>OT针对BX TOP门店大位陈列，TT五包OP促销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动销提升15%，TOP门店周转率&gt;2次/月</w:t>
      </w:r>
    </w:p>
    <w:p>
      <w:pPr>
        <w:ind w:left="283"/>
      </w:pPr>
      <w:r>
        <w:rPr>
          <w:b/>
        </w:rPr>
        <w:t>优先级：</w:t>
      </w:r>
      <w:r>
        <w:t>OT渠道优先，TT渠道跟进</w:t>
      </w:r>
    </w:p>
    <w:p>
      <w:pPr>
        <w:spacing w:before="240"/>
      </w:pPr>
      <w:r>
        <w:rPr>
          <w:b/>
        </w:rPr>
        <w:t>【推广/派样】</w:t>
      </w:r>
    </w:p>
    <w:p>
      <w:pPr>
        <w:ind w:left="283"/>
      </w:pPr>
      <w:r>
        <w:rPr>
          <w:b/>
        </w:rPr>
        <w:t>执行策略：</w:t>
      </w:r>
      <w:r>
        <w:t>OT推广派样+TT铺货/捆赠，资源集中投放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派样覆盖率&gt;80%，捆赠转化率&gt;25%</w:t>
      </w:r>
    </w:p>
    <w:p>
      <w:pPr>
        <w:ind w:left="283"/>
      </w:pPr>
      <w:r>
        <w:rPr>
          <w:b/>
        </w:rPr>
        <w:t>优先级：</w:t>
      </w:r>
      <w:r>
        <w:t>优先TOP区域，集中资源打透</w:t>
      </w:r>
    </w:p>
    <w:p>
      <w:pPr>
        <w:spacing w:before="240"/>
      </w:pPr>
      <w:r>
        <w:rPr>
          <w:b/>
        </w:rPr>
        <w:t>【攻坚管理】</w:t>
      </w:r>
    </w:p>
    <w:p>
      <w:pPr>
        <w:ind w:left="283"/>
      </w:pPr>
      <w:r>
        <w:rPr>
          <w:b/>
        </w:rPr>
        <w:t>执行策略：</w:t>
      </w:r>
      <w:r>
        <w:t>OT+TT竞品TOP-500门店集中攻坚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竞品门店转化率&gt;30%，月度攻坚50家</w:t>
      </w:r>
    </w:p>
    <w:p>
      <w:pPr>
        <w:ind w:left="283"/>
      </w:pPr>
      <w:r>
        <w:rPr>
          <w:b/>
        </w:rPr>
        <w:t>优先级：</w:t>
      </w:r>
      <w:r>
        <w:t>造册管理，每周追踪，集中攻坚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