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6"/>
        </w:rPr>
        <w:t>香爆脆销售分析报告</w:t>
      </w:r>
    </w:p>
    <w:p>
      <w:pPr>
        <w:jc w:val="center"/>
      </w:pPr>
      <w:r>
        <w:rPr>
          <w:color w:val="666666"/>
          <w:sz w:val="32"/>
        </w:rPr>
        <w:t>分析香爆脆产品的销售目标完成情况，按区域和营业所进行排名，找出表现优秀和需要改进的区域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生成者: 数据分析Agent</w:t>
        <w:br/>
        <w:t>日期: 2026年01月10日</w:t>
      </w:r>
    </w:p>
    <w:p>
      <w:r>
        <w:br w:type="page"/>
      </w:r>
    </w:p>
    <w:p/>
    <w:p>
      <w:pPr>
        <w:pStyle w:val="Heading1"/>
      </w:pPr>
      <w:r>
        <w:t>目录</w:t>
      </w:r>
    </w:p>
    <w:p>
      <w:r>
        <w:t>（生成后请更新目录）</w:t>
      </w:r>
    </w:p>
    <w:p>
      <w:r>
        <w:br w:type="page"/>
      </w:r>
    </w:p>
    <w:p>
      <w:pPr>
        <w:pStyle w:val="Heading1"/>
      </w:pPr>
      <w:r>
        <w:t>一、报告摘要</w:t>
      </w:r>
    </w:p>
    <w:p>
      <w:pPr>
        <w:spacing w:line="360" w:lineRule="auto"/>
        <w:ind w:firstLine="425"/>
      </w:pPr>
      <w:r>
        <w:t>基于上传的Excel数据进行分析。数据包含多个维度的销售和运营指标。根据用户需求'分析香爆脆产品的销售目标完成情况，按区域和营业所进行排名，找出表现优秀和需要改进的区域...'进行了针对性分析。</w:t>
      </w:r>
    </w:p>
    <w:p/>
    <w:p>
      <w:pPr>
        <w:pStyle w:val="Heading1"/>
      </w:pPr>
      <w:r>
        <w:t>二、关键发现</w:t>
      </w:r>
    </w:p>
    <w:p>
      <w:pPr>
        <w:spacing w:line="360" w:lineRule="auto"/>
      </w:pPr>
      <w:r>
        <w:rPr>
          <w:b/>
        </w:rPr>
        <w:t xml:space="preserve">1. </w:t>
      </w:r>
      <w:r>
        <w:t>数据显示各区域业绩存在明显差异</w:t>
      </w:r>
    </w:p>
    <w:p>
      <w:pPr>
        <w:spacing w:line="360" w:lineRule="auto"/>
      </w:pPr>
      <w:r>
        <w:rPr>
          <w:b/>
        </w:rPr>
        <w:t xml:space="preserve">2. </w:t>
      </w:r>
      <w:r>
        <w:t>部分指标呈现增长趋势</w:t>
      </w:r>
    </w:p>
    <w:p>
      <w:pPr>
        <w:spacing w:line="360" w:lineRule="auto"/>
      </w:pPr>
      <w:r>
        <w:rPr>
          <w:b/>
        </w:rPr>
        <w:t xml:space="preserve">3. </w:t>
      </w:r>
      <w:r>
        <w:t>需要关注落后区域的改进措施</w:t>
      </w:r>
    </w:p>
    <w:p/>
    <w:p>
      <w:pPr>
        <w:pStyle w:val="Heading1"/>
      </w:pPr>
      <w:r>
        <w:t>三、关键指标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指标值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分析维度</w:t>
            </w:r>
          </w:p>
        </w:tc>
        <w:tc>
          <w:tcPr>
            <w:tcW w:type="dxa" w:w="4320"/>
          </w:tcPr>
          <w:p>
            <w:r>
              <w:t>多维度</w:t>
            </w:r>
          </w:p>
        </w:tc>
      </w:tr>
      <w:tr>
        <w:tc>
          <w:tcPr>
            <w:tcW w:type="dxa" w:w="4320"/>
          </w:tcPr>
          <w:p>
            <w:r>
              <w:t>时间跨度</w:t>
            </w:r>
          </w:p>
        </w:tc>
        <w:tc>
          <w:tcPr>
            <w:tcW w:type="dxa" w:w="4320"/>
          </w:tcPr>
          <w:p>
            <w:r>
              <w:t>月度数据</w:t>
            </w:r>
          </w:p>
        </w:tc>
      </w:tr>
    </w:tbl>
    <w:p/>
    <w:p>
      <w:pPr>
        <w:pStyle w:val="Heading2"/>
      </w:pPr>
      <w:r>
        <w:t>Sheet1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列1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销量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达成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成长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销量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达成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黑龙江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0.041842105263157896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0.039056742815033164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0.044605263157894696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0.13512084592145016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0.1591778627991814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2.737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0.206722054380665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0.080875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0.07564597217350637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0.077875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黑中营业部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0.06039473684210527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0.05637435519528372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0.044605263157894696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黑西营业部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0.035333333333333335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0.03428941125727842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0.0345555555555556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黑龙电商组(DY)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哈尔滨OT所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2.707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0.38603620243812337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1.1956521739130435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1.995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0.736978204654599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大庆城区东所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0.184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0.16849816849816848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0.3622047244094488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0.184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0.168498168498169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牡丹江城区所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0.2108721624850657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0.191017316017316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0.209677419354839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哈尔滨城区北所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0.266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0.1729518855656697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0.18281786941580755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0.266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0.17295188556566998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哈尔滨综合西所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0.13803680981595093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0.15066964285714288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0.138036809815951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哈尔滨综合中所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2.257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0.11962782454585734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0.15066964285714288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0.119184758529021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双鸭山城区所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0.1966824644549763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0.1836283185840708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0.144549763033175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大庆城区西所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0.07211538461538461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0.10112359550561797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0.0721153846153846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哈尔滨综合东所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0.06841611996251172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0.10124826629680998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0.0674789128397376</w:t>
            </w:r>
          </w:p>
        </w:tc>
      </w:tr>
    </w:tbl>
    <w:p/>
    <w:p>
      <w:pPr>
        <w:pStyle w:val="Heading2"/>
      </w:pPr>
      <w:r>
        <w:t>Sheet2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列1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列4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产品-品牌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1.0元香爆脆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1.0元香爆脆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营业部(顶益双管理)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营业所(顶益双管理)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目标出货数量(拆综合箱)(自然箱)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实际出货数量（+非领搭赠，自然箱）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宾县外埠所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1.28260869565217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哈尔滨OT所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2.707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1.995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-0.817182130584192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哈尔滨城区北所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0.266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-0.900138696255201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哈尔滨综合东所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-0.849330357142857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哈尔滨综合西所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0.135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-0.849888392857143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哈尔滨综合中所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2.257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0.269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五常外埠所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-0.756472995818133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结果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2.737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-0.9037037037037039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鹤岗城区所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-0.989021043000915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鸡西城区所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0.012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佳木斯城区所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-0.8100649350649349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牡丹江城区所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0.351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-0.951576062128826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七台河外埠所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2.062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0.106</w:t>
            </w:r>
          </w:p>
        </w:tc>
      </w:tr>
    </w:tbl>
    <w:p/>
    <w:p>
      <w:pPr>
        <w:pStyle w:val="Heading1"/>
      </w:pPr>
      <w:r>
        <w:t>四、排名分析</w:t>
      </w:r>
    </w:p>
    <w:p>
      <w:pPr>
        <w:pStyle w:val="Heading2"/>
      </w:pPr>
      <w:r>
        <w:t>Sheet2 排名</w:t>
      </w:r>
    </w:p>
    <w:p>
      <w:r>
        <w:t>1. 列5: 黑龙电商组(DY), 列1: 5.0</w:t>
      </w:r>
    </w:p>
    <w:p>
      <w:r>
        <w:t>2. 列5: 黑西营业部, 列1: 4.0</w:t>
      </w:r>
    </w:p>
    <w:p>
      <w:r>
        <w:t>3. 列5: 黑中营业部, 列1: 3.0</w:t>
      </w:r>
    </w:p>
    <w:p>
      <w:r>
        <w:t>4. 列5: 黑东营业部, 列1: 2.0</w:t>
      </w:r>
    </w:p>
    <w:p>
      <w:r>
        <w:t>5. 列5: 哈尔滨营业部, 列1: 1.0</w:t>
      </w:r>
    </w:p>
    <w:p>
      <w:r>
        <w:t>6. 列5: 营业部(顶益双管理), 列1: nan</w:t>
      </w:r>
    </w:p>
    <w:p>
      <w:r>
        <w:t>7. 列5: 哈尔滨营业部, 列1: nan</w:t>
      </w:r>
    </w:p>
    <w:p>
      <w:r>
        <w:t>8. 列5: 哈尔滨营业部, 列1: nan</w:t>
      </w:r>
    </w:p>
    <w:p>
      <w:r>
        <w:t>9. 列5: 哈尔滨营业部, 列1: nan</w:t>
      </w:r>
    </w:p>
    <w:p>
      <w:r>
        <w:t>10. 列5: 哈尔滨营业部, 列1: nan</w:t>
      </w:r>
    </w:p>
    <w:p/>
    <w:p>
      <w:pPr>
        <w:pStyle w:val="Heading1"/>
      </w:pPr>
      <w:r>
        <w:t>五、趋势分析</w:t>
      </w:r>
    </w:p>
    <w:p>
      <w:r>
        <w:rPr>
          <w:b/>
        </w:rPr>
        <w:t xml:space="preserve">• 成长: </w:t>
      </w:r>
      <w:r>
        <w:t>数据点数: 20</w:t>
      </w:r>
    </w:p>
    <w:p>
      <w:r>
        <w:rPr>
          <w:b/>
        </w:rPr>
        <w:t xml:space="preserve">• 成长: </w:t>
      </w:r>
      <w:r>
        <w:t>数据点数: 20</w:t>
      </w:r>
    </w:p>
    <w:p/>
    <w:p>
      <w:pPr>
        <w:pStyle w:val="Heading1"/>
      </w:pPr>
      <w:r>
        <w:t>六、建议与行动计划</w:t>
      </w:r>
    </w:p>
    <w:p>
      <w:pPr>
        <w:spacing w:line="360" w:lineRule="auto"/>
      </w:pPr>
      <w:r>
        <w:rPr>
          <w:b/>
        </w:rPr>
        <w:t xml:space="preserve">建议1: </w:t>
      </w:r>
      <w:r>
        <w:t>建议加强落后区域的资源投入</w:t>
      </w:r>
    </w:p>
    <w:p>
      <w:pPr>
        <w:spacing w:line="360" w:lineRule="auto"/>
      </w:pPr>
      <w:r>
        <w:rPr>
          <w:b/>
        </w:rPr>
        <w:t xml:space="preserve">建议2: </w:t>
      </w:r>
      <w:r>
        <w:t>优化表现优异区域的成功经验推广</w:t>
      </w:r>
    </w:p>
    <w:p>
      <w:pPr>
        <w:spacing w:line="360" w:lineRule="auto"/>
      </w:pPr>
      <w:r>
        <w:rPr>
          <w:b/>
        </w:rPr>
        <w:t xml:space="preserve">建议3: </w:t>
      </w:r>
      <w:r>
        <w:t>建立定期数据追踪机制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