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437FDC">
      <w:pPr>
        <w:spacing w:before="1400"/>
        <w:jc w:val="center"/>
      </w:pPr>
      <w:r>
        <w:rPr>
          <w:rFonts w:ascii="Times New Roman" w:hAnsi="Times New Roman" w:eastAsia="宋体"/>
          <w:b/>
          <w:sz w:val="36"/>
        </w:rPr>
        <w:t>现代通信的无线传播信道</w:t>
      </w:r>
    </w:p>
    <w:p w14:paraId="6957EBE2">
      <w:pPr>
        <w:spacing w:after="240"/>
        <w:jc w:val="center"/>
      </w:pPr>
      <w:r>
        <w:rPr>
          <w:rFonts w:ascii="Times New Roman" w:hAnsi="Times New Roman" w:eastAsia="宋体"/>
          <w:b/>
          <w:sz w:val="28"/>
        </w:rPr>
        <w:t>课程大作业（仿真类）</w:t>
      </w:r>
    </w:p>
    <w:p w14:paraId="0A124D35">
      <w:pPr>
        <w:spacing w:before="720" w:after="240"/>
        <w:jc w:val="center"/>
      </w:pPr>
      <w:r>
        <w:rPr>
          <w:rFonts w:ascii="Times New Roman" w:hAnsi="Times New Roman" w:eastAsia="宋体"/>
          <w:b/>
          <w:sz w:val="40"/>
        </w:rPr>
        <w:t>蜂窝 + 低空融合网络频率复用与 SINR 仿真研究</w:t>
      </w:r>
    </w:p>
    <w:p w14:paraId="02B3C69C">
      <w:pPr>
        <w:spacing w:after="600"/>
        <w:jc w:val="center"/>
      </w:pPr>
      <w:r>
        <w:rPr>
          <w:rFonts w:ascii="Times New Roman" w:hAnsi="Times New Roman" w:eastAsia="宋体"/>
          <w:i/>
          <w:sz w:val="26"/>
        </w:rPr>
        <w:t>不同复用因子、低空高度变化与真实站址数据驱动场景下的同频干扰和系统容量分析</w:t>
      </w:r>
    </w:p>
    <w:p w14:paraId="04CF3B3B">
      <w:pPr>
        <w:spacing w:after="200"/>
        <w:jc w:val="center"/>
      </w:pPr>
      <w:r>
        <w:rPr>
          <w:rFonts w:ascii="Times New Roman" w:hAnsi="Times New Roman" w:eastAsia="宋体"/>
          <w:sz w:val="26"/>
        </w:rPr>
        <w:t>学生姓名：</w:t>
      </w:r>
      <w:r>
        <w:rPr>
          <w:rFonts w:hint="eastAsia"/>
          <w:sz w:val="26"/>
          <w:u w:val="none"/>
          <w:lang w:val="en-US" w:eastAsia="zh-CN"/>
        </w:rPr>
        <w:t>张永鑫</w:t>
      </w:r>
    </w:p>
    <w:p w14:paraId="6600B89F">
      <w:pPr>
        <w:spacing w:after="200"/>
        <w:jc w:val="center"/>
      </w:pPr>
      <w:r>
        <w:rPr>
          <w:rFonts w:ascii="Times New Roman" w:hAnsi="Times New Roman" w:eastAsia="宋体"/>
          <w:sz w:val="26"/>
        </w:rPr>
        <w:t>学号：</w:t>
      </w:r>
      <w:r>
        <w:rPr>
          <w:rFonts w:hint="eastAsia"/>
          <w:sz w:val="26"/>
          <w:u w:val="none"/>
          <w:lang w:val="en-US" w:eastAsia="zh-CN"/>
        </w:rPr>
        <w:t>2026110096</w:t>
      </w:r>
    </w:p>
    <w:p w14:paraId="3AF06789">
      <w:pPr>
        <w:spacing w:after="200"/>
        <w:jc w:val="center"/>
        <w:rPr>
          <w:rFonts w:ascii="Times New Roman" w:hAnsi="Times New Roman" w:eastAsia="宋体"/>
          <w:sz w:val="26"/>
        </w:rPr>
      </w:pPr>
    </w:p>
    <w:p w14:paraId="0E521F3F">
      <w:pPr>
        <w:spacing w:after="200"/>
        <w:jc w:val="center"/>
        <w:rPr>
          <w:rFonts w:ascii="Times New Roman" w:hAnsi="Times New Roman" w:eastAsia="宋体"/>
          <w:sz w:val="26"/>
        </w:rPr>
      </w:pPr>
    </w:p>
    <w:p w14:paraId="71D2E762">
      <w:pPr>
        <w:spacing w:after="200"/>
        <w:jc w:val="center"/>
      </w:pPr>
      <w:r>
        <w:rPr>
          <w:rFonts w:ascii="Times New Roman" w:hAnsi="Times New Roman" w:eastAsia="宋体"/>
          <w:sz w:val="26"/>
        </w:rPr>
        <w:t>提交日期：2026年7月8日</w:t>
      </w:r>
    </w:p>
    <w:p w14:paraId="611048BC">
      <w:r>
        <w:br w:type="page"/>
      </w:r>
    </w:p>
    <w:p w14:paraId="13DE8252">
      <w:pPr>
        <w:pStyle w:val="3"/>
        <w:bidi w:val="0"/>
      </w:pPr>
      <w:bookmarkStart w:id="0" w:name="_Toc17062"/>
      <w:r>
        <w:t>目录</w:t>
      </w:r>
      <w:bookmarkEnd w:id="0"/>
      <w:bookmarkStart w:id="31" w:name="_GoBack"/>
      <w:bookmarkEnd w:id="31"/>
    </w:p>
    <w:sdt>
      <w:sdtPr>
        <w:rPr>
          <w:rFonts w:ascii="宋体" w:hAnsi="宋体" w:eastAsia="宋体" w:cstheme="minorBidi"/>
          <w:sz w:val="21"/>
          <w:szCs w:val="22"/>
          <w:lang w:val="en-US" w:eastAsia="en-US" w:bidi="ar-SA"/>
        </w:rPr>
        <w:id w:val="147462614"/>
        <w15:color w:val="DBDBDB"/>
        <w:docPartObj>
          <w:docPartGallery w:val="Table of Contents"/>
          <w:docPartUnique/>
        </w:docPartObj>
      </w:sdtPr>
      <w:sdtEndPr>
        <w:rPr>
          <w:rFonts w:ascii="Times New Roman" w:hAnsi="Times New Roman" w:eastAsia="宋体" w:cstheme="minorBidi"/>
          <w:sz w:val="24"/>
          <w:szCs w:val="22"/>
          <w:lang w:val="en-US" w:eastAsia="en-US" w:bidi="ar-SA"/>
        </w:rPr>
      </w:sdtEndPr>
      <w:sdtContent>
        <w:p w14:paraId="1E39C6F5">
          <w:pPr>
            <w:spacing w:before="0" w:beforeLines="0" w:after="0" w:afterLines="0" w:line="240" w:lineRule="auto"/>
            <w:ind w:left="0" w:leftChars="0" w:right="0" w:rightChars="0" w:firstLine="0" w:firstLineChars="0"/>
            <w:jc w:val="center"/>
          </w:pPr>
          <w:r>
            <w:fldChar w:fldCharType="begin"/>
          </w:r>
          <w:r>
            <w:instrText xml:space="preserve">TOC \o "1-3" \h \u </w:instrText>
          </w:r>
          <w:r>
            <w:fldChar w:fldCharType="separate"/>
          </w:r>
        </w:p>
        <w:p w14:paraId="3EA67F09">
          <w:pPr>
            <w:pStyle w:val="26"/>
            <w:tabs>
              <w:tab w:val="right" w:leader="dot" w:pos="9026"/>
            </w:tabs>
          </w:pPr>
          <w:r>
            <w:fldChar w:fldCharType="begin"/>
          </w:r>
          <w:r>
            <w:instrText xml:space="preserve"> HYPERLINK \l _Toc17569 </w:instrText>
          </w:r>
          <w:r>
            <w:fldChar w:fldCharType="separate"/>
          </w:r>
          <w:r>
            <w:t>摘要</w:t>
          </w:r>
          <w:r>
            <w:tab/>
          </w:r>
          <w:r>
            <w:fldChar w:fldCharType="begin"/>
          </w:r>
          <w:r>
            <w:instrText xml:space="preserve"> PAGEREF _Toc17569 \h </w:instrText>
          </w:r>
          <w:r>
            <w:fldChar w:fldCharType="separate"/>
          </w:r>
          <w:r>
            <w:t>4</w:t>
          </w:r>
          <w:r>
            <w:fldChar w:fldCharType="end"/>
          </w:r>
          <w:r>
            <w:fldChar w:fldCharType="end"/>
          </w:r>
        </w:p>
        <w:p w14:paraId="35EA7DEF">
          <w:pPr>
            <w:pStyle w:val="26"/>
            <w:tabs>
              <w:tab w:val="right" w:leader="dot" w:pos="9026"/>
            </w:tabs>
          </w:pPr>
          <w:r>
            <w:fldChar w:fldCharType="begin"/>
          </w:r>
          <w:r>
            <w:instrText xml:space="preserve"> HYPERLINK \l _Toc27468 </w:instrText>
          </w:r>
          <w:r>
            <w:fldChar w:fldCharType="separate"/>
          </w:r>
          <w:r>
            <w:t>I. 引言</w:t>
          </w:r>
          <w:r>
            <w:tab/>
          </w:r>
          <w:r>
            <w:fldChar w:fldCharType="begin"/>
          </w:r>
          <w:r>
            <w:instrText xml:space="preserve"> PAGEREF _Toc27468 \h </w:instrText>
          </w:r>
          <w:r>
            <w:fldChar w:fldCharType="separate"/>
          </w:r>
          <w:r>
            <w:t>7</w:t>
          </w:r>
          <w:r>
            <w:fldChar w:fldCharType="end"/>
          </w:r>
          <w:r>
            <w:fldChar w:fldCharType="end"/>
          </w:r>
        </w:p>
        <w:p w14:paraId="1BBB4964">
          <w:pPr>
            <w:pStyle w:val="26"/>
            <w:tabs>
              <w:tab w:val="right" w:leader="dot" w:pos="9026"/>
            </w:tabs>
          </w:pPr>
          <w:r>
            <w:fldChar w:fldCharType="begin"/>
          </w:r>
          <w:r>
            <w:instrText xml:space="preserve"> HYPERLINK \l _Toc23594 </w:instrText>
          </w:r>
          <w:r>
            <w:fldChar w:fldCharType="separate"/>
          </w:r>
          <w:r>
            <w:t>II. 理论主体与总体研究进展情况</w:t>
          </w:r>
          <w:r>
            <w:tab/>
          </w:r>
          <w:r>
            <w:fldChar w:fldCharType="begin"/>
          </w:r>
          <w:r>
            <w:instrText xml:space="preserve"> PAGEREF _Toc23594 \h </w:instrText>
          </w:r>
          <w:r>
            <w:fldChar w:fldCharType="separate"/>
          </w:r>
          <w:r>
            <w:t>10</w:t>
          </w:r>
          <w:r>
            <w:fldChar w:fldCharType="end"/>
          </w:r>
          <w:r>
            <w:fldChar w:fldCharType="end"/>
          </w:r>
        </w:p>
        <w:p w14:paraId="59E547AB">
          <w:pPr>
            <w:pStyle w:val="29"/>
            <w:tabs>
              <w:tab w:val="right" w:leader="dot" w:pos="9026"/>
            </w:tabs>
          </w:pPr>
          <w:r>
            <w:fldChar w:fldCharType="begin"/>
          </w:r>
          <w:r>
            <w:instrText xml:space="preserve"> HYPERLINK \l _Toc23264 </w:instrText>
          </w:r>
          <w:r>
            <w:fldChar w:fldCharType="separate"/>
          </w:r>
          <w:r>
            <w:t>A. 频率复用问题的研究主线</w:t>
          </w:r>
          <w:r>
            <w:tab/>
          </w:r>
          <w:r>
            <w:fldChar w:fldCharType="begin"/>
          </w:r>
          <w:r>
            <w:instrText xml:space="preserve"> PAGEREF _Toc23264 \h </w:instrText>
          </w:r>
          <w:r>
            <w:fldChar w:fldCharType="separate"/>
          </w:r>
          <w:r>
            <w:t>10</w:t>
          </w:r>
          <w:r>
            <w:fldChar w:fldCharType="end"/>
          </w:r>
          <w:r>
            <w:fldChar w:fldCharType="end"/>
          </w:r>
        </w:p>
        <w:p w14:paraId="0D49702B">
          <w:pPr>
            <w:pStyle w:val="29"/>
            <w:tabs>
              <w:tab w:val="right" w:leader="dot" w:pos="9026"/>
            </w:tabs>
          </w:pPr>
          <w:r>
            <w:fldChar w:fldCharType="begin"/>
          </w:r>
          <w:r>
            <w:instrText xml:space="preserve"> HYPERLINK \l _Toc10999 </w:instrText>
          </w:r>
          <w:r>
            <w:fldChar w:fldCharType="separate"/>
          </w:r>
          <w:r>
            <w:t>B. 蜂窝复用几何与解析边缘 SIR</w:t>
          </w:r>
          <w:r>
            <w:tab/>
          </w:r>
          <w:r>
            <w:fldChar w:fldCharType="begin"/>
          </w:r>
          <w:r>
            <w:instrText xml:space="preserve"> PAGEREF _Toc10999 \h </w:instrText>
          </w:r>
          <w:r>
            <w:fldChar w:fldCharType="separate"/>
          </w:r>
          <w:r>
            <w:t>10</w:t>
          </w:r>
          <w:r>
            <w:fldChar w:fldCharType="end"/>
          </w:r>
          <w:r>
            <w:fldChar w:fldCharType="end"/>
          </w:r>
        </w:p>
        <w:p w14:paraId="48E16429">
          <w:pPr>
            <w:pStyle w:val="29"/>
            <w:tabs>
              <w:tab w:val="right" w:leader="dot" w:pos="9026"/>
            </w:tabs>
          </w:pPr>
          <w:r>
            <w:fldChar w:fldCharType="begin"/>
          </w:r>
          <w:r>
            <w:instrText xml:space="preserve"> HYPERLINK \l _Toc21880 </w:instrText>
          </w:r>
          <w:r>
            <w:fldChar w:fldCharType="separate"/>
          </w:r>
          <w:r>
            <w:t>C. 热噪声、SINR 与绝对功率标定</w:t>
          </w:r>
          <w:r>
            <w:tab/>
          </w:r>
          <w:r>
            <w:fldChar w:fldCharType="begin"/>
          </w:r>
          <w:r>
            <w:instrText xml:space="preserve"> PAGEREF _Toc21880 \h </w:instrText>
          </w:r>
          <w:r>
            <w:fldChar w:fldCharType="separate"/>
          </w:r>
          <w:r>
            <w:t>11</w:t>
          </w:r>
          <w:r>
            <w:fldChar w:fldCharType="end"/>
          </w:r>
          <w:r>
            <w:fldChar w:fldCharType="end"/>
          </w:r>
        </w:p>
        <w:p w14:paraId="0D2338CF">
          <w:pPr>
            <w:pStyle w:val="29"/>
            <w:tabs>
              <w:tab w:val="right" w:leader="dot" w:pos="9026"/>
            </w:tabs>
          </w:pPr>
          <w:r>
            <w:fldChar w:fldCharType="begin"/>
          </w:r>
          <w:r>
            <w:instrText xml:space="preserve"> HYPERLINK \l _Toc18264 </w:instrText>
          </w:r>
          <w:r>
            <w:fldChar w:fldCharType="separate"/>
          </w:r>
          <w:r>
            <w:t>D. 阴影衰落、小尺度衰落与低空混合 LOS 模型</w:t>
          </w:r>
          <w:r>
            <w:tab/>
          </w:r>
          <w:r>
            <w:fldChar w:fldCharType="begin"/>
          </w:r>
          <w:r>
            <w:instrText xml:space="preserve"> PAGEREF _Toc18264 \h </w:instrText>
          </w:r>
          <w:r>
            <w:fldChar w:fldCharType="separate"/>
          </w:r>
          <w:r>
            <w:t>11</w:t>
          </w:r>
          <w:r>
            <w:fldChar w:fldCharType="end"/>
          </w:r>
          <w:r>
            <w:fldChar w:fldCharType="end"/>
          </w:r>
        </w:p>
        <w:p w14:paraId="407A9F8B">
          <w:pPr>
            <w:pStyle w:val="29"/>
            <w:tabs>
              <w:tab w:val="right" w:leader="dot" w:pos="9026"/>
            </w:tabs>
          </w:pPr>
          <w:r>
            <w:fldChar w:fldCharType="begin"/>
          </w:r>
          <w:r>
            <w:instrText xml:space="preserve"> HYPERLINK \l _Toc6273 </w:instrText>
          </w:r>
          <w:r>
            <w:fldChar w:fldCharType="separate"/>
          </w:r>
          <w:r>
            <w:t>E. 方向图、俯倾角与低空干扰放大效应</w:t>
          </w:r>
          <w:r>
            <w:tab/>
          </w:r>
          <w:r>
            <w:fldChar w:fldCharType="begin"/>
          </w:r>
          <w:r>
            <w:instrText xml:space="preserve"> PAGEREF _Toc6273 \h </w:instrText>
          </w:r>
          <w:r>
            <w:fldChar w:fldCharType="separate"/>
          </w:r>
          <w:r>
            <w:t>12</w:t>
          </w:r>
          <w:r>
            <w:fldChar w:fldCharType="end"/>
          </w:r>
          <w:r>
            <w:fldChar w:fldCharType="end"/>
          </w:r>
        </w:p>
        <w:p w14:paraId="72681C85">
          <w:pPr>
            <w:pStyle w:val="29"/>
            <w:tabs>
              <w:tab w:val="right" w:leader="dot" w:pos="9026"/>
            </w:tabs>
          </w:pPr>
          <w:r>
            <w:fldChar w:fldCharType="begin"/>
          </w:r>
          <w:r>
            <w:instrText xml:space="preserve"> HYPERLINK \l _Toc32727 </w:instrText>
          </w:r>
          <w:r>
            <w:fldChar w:fldCharType="separate"/>
          </w:r>
          <w:r>
            <w:t>F. 有效面积频谱效率指标</w:t>
          </w:r>
          <w:r>
            <w:tab/>
          </w:r>
          <w:r>
            <w:fldChar w:fldCharType="begin"/>
          </w:r>
          <w:r>
            <w:instrText xml:space="preserve"> PAGEREF _Toc32727 \h </w:instrText>
          </w:r>
          <w:r>
            <w:fldChar w:fldCharType="separate"/>
          </w:r>
          <w:r>
            <w:t>12</w:t>
          </w:r>
          <w:r>
            <w:fldChar w:fldCharType="end"/>
          </w:r>
          <w:r>
            <w:fldChar w:fldCharType="end"/>
          </w:r>
        </w:p>
        <w:p w14:paraId="7B98D326">
          <w:pPr>
            <w:pStyle w:val="26"/>
            <w:tabs>
              <w:tab w:val="right" w:leader="dot" w:pos="9026"/>
            </w:tabs>
          </w:pPr>
          <w:r>
            <w:fldChar w:fldCharType="begin"/>
          </w:r>
          <w:r>
            <w:instrText xml:space="preserve"> HYPERLINK \l _Toc3025 </w:instrText>
          </w:r>
          <w:r>
            <w:fldChar w:fldCharType="separate"/>
          </w:r>
          <w:r>
            <w:t>III. 仿真场景与实验设计</w:t>
          </w:r>
          <w:r>
            <w:tab/>
          </w:r>
          <w:r>
            <w:fldChar w:fldCharType="begin"/>
          </w:r>
          <w:r>
            <w:instrText xml:space="preserve"> PAGEREF _Toc3025 \h </w:instrText>
          </w:r>
          <w:r>
            <w:fldChar w:fldCharType="separate"/>
          </w:r>
          <w:r>
            <w:t>15</w:t>
          </w:r>
          <w:r>
            <w:fldChar w:fldCharType="end"/>
          </w:r>
          <w:r>
            <w:fldChar w:fldCharType="end"/>
          </w:r>
        </w:p>
        <w:p w14:paraId="4830F644">
          <w:pPr>
            <w:pStyle w:val="29"/>
            <w:tabs>
              <w:tab w:val="right" w:leader="dot" w:pos="9026"/>
            </w:tabs>
          </w:pPr>
          <w:r>
            <w:fldChar w:fldCharType="begin"/>
          </w:r>
          <w:r>
            <w:instrText xml:space="preserve"> HYPERLINK \l _Toc27300 </w:instrText>
          </w:r>
          <w:r>
            <w:fldChar w:fldCharType="separate"/>
          </w:r>
          <w:r>
            <w:t>A. 总体场景设置</w:t>
          </w:r>
          <w:r>
            <w:tab/>
          </w:r>
          <w:r>
            <w:fldChar w:fldCharType="begin"/>
          </w:r>
          <w:r>
            <w:instrText xml:space="preserve"> PAGEREF _Toc27300 \h </w:instrText>
          </w:r>
          <w:r>
            <w:fldChar w:fldCharType="separate"/>
          </w:r>
          <w:r>
            <w:t>15</w:t>
          </w:r>
          <w:r>
            <w:fldChar w:fldCharType="end"/>
          </w:r>
          <w:r>
            <w:fldChar w:fldCharType="end"/>
          </w:r>
        </w:p>
        <w:p w14:paraId="15A16FFD">
          <w:pPr>
            <w:pStyle w:val="29"/>
            <w:tabs>
              <w:tab w:val="right" w:leader="dot" w:pos="9026"/>
            </w:tabs>
          </w:pPr>
          <w:r>
            <w:fldChar w:fldCharType="begin"/>
          </w:r>
          <w:r>
            <w:instrText xml:space="preserve"> HYPERLINK \l _Toc11224 </w:instrText>
          </w:r>
          <w:r>
            <w:fldChar w:fldCharType="separate"/>
          </w:r>
          <w:r>
            <w:t>B. 主要参数</w:t>
          </w:r>
          <w:r>
            <w:tab/>
          </w:r>
          <w:r>
            <w:fldChar w:fldCharType="begin"/>
          </w:r>
          <w:r>
            <w:instrText xml:space="preserve"> PAGEREF _Toc11224 \h </w:instrText>
          </w:r>
          <w:r>
            <w:fldChar w:fldCharType="separate"/>
          </w:r>
          <w:r>
            <w:t>15</w:t>
          </w:r>
          <w:r>
            <w:fldChar w:fldCharType="end"/>
          </w:r>
          <w:r>
            <w:fldChar w:fldCharType="end"/>
          </w:r>
        </w:p>
        <w:p w14:paraId="76C4B4FE">
          <w:pPr>
            <w:pStyle w:val="29"/>
            <w:tabs>
              <w:tab w:val="right" w:leader="dot" w:pos="9026"/>
            </w:tabs>
          </w:pPr>
          <w:r>
            <w:fldChar w:fldCharType="begin"/>
          </w:r>
          <w:r>
            <w:instrText xml:space="preserve"> HYPERLINK \l _Toc23906 </w:instrText>
          </w:r>
          <w:r>
            <w:fldChar w:fldCharType="separate"/>
          </w:r>
          <w:r>
            <w:t>C. 真实站址与建筑地理数据</w:t>
          </w:r>
          <w:r>
            <w:tab/>
          </w:r>
          <w:r>
            <w:fldChar w:fldCharType="begin"/>
          </w:r>
          <w:r>
            <w:instrText xml:space="preserve"> PAGEREF _Toc23906 \h </w:instrText>
          </w:r>
          <w:r>
            <w:fldChar w:fldCharType="separate"/>
          </w:r>
          <w:r>
            <w:t>16</w:t>
          </w:r>
          <w:r>
            <w:fldChar w:fldCharType="end"/>
          </w:r>
          <w:r>
            <w:fldChar w:fldCharType="end"/>
          </w:r>
        </w:p>
        <w:p w14:paraId="12B883AE">
          <w:pPr>
            <w:pStyle w:val="29"/>
            <w:tabs>
              <w:tab w:val="right" w:leader="dot" w:pos="9026"/>
            </w:tabs>
          </w:pPr>
          <w:r>
            <w:fldChar w:fldCharType="begin"/>
          </w:r>
          <w:r>
            <w:instrText xml:space="preserve"> HYPERLINK \l _Toc32450 </w:instrText>
          </w:r>
          <w:r>
            <w:fldChar w:fldCharType="separate"/>
          </w:r>
          <w:r>
            <w:t>D. 对照实验设计</w:t>
          </w:r>
          <w:r>
            <w:tab/>
          </w:r>
          <w:r>
            <w:fldChar w:fldCharType="begin"/>
          </w:r>
          <w:r>
            <w:instrText xml:space="preserve"> PAGEREF _Toc32450 \h </w:instrText>
          </w:r>
          <w:r>
            <w:fldChar w:fldCharType="separate"/>
          </w:r>
          <w:r>
            <w:t>16</w:t>
          </w:r>
          <w:r>
            <w:fldChar w:fldCharType="end"/>
          </w:r>
          <w:r>
            <w:fldChar w:fldCharType="end"/>
          </w:r>
        </w:p>
        <w:p w14:paraId="48336949">
          <w:pPr>
            <w:pStyle w:val="26"/>
            <w:tabs>
              <w:tab w:val="right" w:leader="dot" w:pos="9026"/>
            </w:tabs>
          </w:pPr>
          <w:r>
            <w:fldChar w:fldCharType="begin"/>
          </w:r>
          <w:r>
            <w:instrText xml:space="preserve"> HYPERLINK \l _Toc30811 </w:instrText>
          </w:r>
          <w:r>
            <w:fldChar w:fldCharType="separate"/>
          </w:r>
          <w:r>
            <w:t>IV. 仿真实验结果与真实站址数据分析</w:t>
          </w:r>
          <w:r>
            <w:tab/>
          </w:r>
          <w:r>
            <w:fldChar w:fldCharType="begin"/>
          </w:r>
          <w:r>
            <w:instrText xml:space="preserve"> PAGEREF _Toc30811 \h </w:instrText>
          </w:r>
          <w:r>
            <w:fldChar w:fldCharType="separate"/>
          </w:r>
          <w:r>
            <w:t>19</w:t>
          </w:r>
          <w:r>
            <w:fldChar w:fldCharType="end"/>
          </w:r>
          <w:r>
            <w:fldChar w:fldCharType="end"/>
          </w:r>
        </w:p>
        <w:p w14:paraId="10BE1D7E">
          <w:pPr>
            <w:pStyle w:val="29"/>
            <w:tabs>
              <w:tab w:val="right" w:leader="dot" w:pos="9026"/>
            </w:tabs>
          </w:pPr>
          <w:r>
            <w:fldChar w:fldCharType="begin"/>
          </w:r>
          <w:r>
            <w:instrText xml:space="preserve"> HYPERLINK \l _Toc13134 </w:instrText>
          </w:r>
          <w:r>
            <w:fldChar w:fldCharType="separate"/>
          </w:r>
          <w:r>
            <w:t>A. 复用因子对地面用户 SIR 与 SINR 的影响</w:t>
          </w:r>
          <w:r>
            <w:tab/>
          </w:r>
          <w:r>
            <w:fldChar w:fldCharType="begin"/>
          </w:r>
          <w:r>
            <w:instrText xml:space="preserve"> PAGEREF _Toc13134 \h </w:instrText>
          </w:r>
          <w:r>
            <w:fldChar w:fldCharType="separate"/>
          </w:r>
          <w:r>
            <w:t>19</w:t>
          </w:r>
          <w:r>
            <w:fldChar w:fldCharType="end"/>
          </w:r>
          <w:r>
            <w:fldChar w:fldCharType="end"/>
          </w:r>
        </w:p>
        <w:p w14:paraId="47114D57">
          <w:pPr>
            <w:pStyle w:val="29"/>
            <w:tabs>
              <w:tab w:val="right" w:leader="dot" w:pos="9026"/>
            </w:tabs>
          </w:pPr>
          <w:r>
            <w:fldChar w:fldCharType="begin"/>
          </w:r>
          <w:r>
            <w:instrText xml:space="preserve"> HYPERLINK \l _Toc2157 </w:instrText>
          </w:r>
          <w:r>
            <w:fldChar w:fldCharType="separate"/>
          </w:r>
          <w:r>
            <w:t>B. 复用因子对有效面积频谱效率的影响</w:t>
          </w:r>
          <w:r>
            <w:tab/>
          </w:r>
          <w:r>
            <w:fldChar w:fldCharType="begin"/>
          </w:r>
          <w:r>
            <w:instrText xml:space="preserve"> PAGEREF _Toc2157 \h </w:instrText>
          </w:r>
          <w:r>
            <w:fldChar w:fldCharType="separate"/>
          </w:r>
          <w:r>
            <w:t>20</w:t>
          </w:r>
          <w:r>
            <w:fldChar w:fldCharType="end"/>
          </w:r>
          <w:r>
            <w:fldChar w:fldCharType="end"/>
          </w:r>
        </w:p>
        <w:p w14:paraId="06DC9D86">
          <w:pPr>
            <w:pStyle w:val="29"/>
            <w:tabs>
              <w:tab w:val="right" w:leader="dot" w:pos="9026"/>
            </w:tabs>
          </w:pPr>
          <w:r>
            <w:fldChar w:fldCharType="begin"/>
          </w:r>
          <w:r>
            <w:instrText xml:space="preserve"> HYPERLINK \l _Toc16283 </w:instrText>
          </w:r>
          <w:r>
            <w:fldChar w:fldCharType="separate"/>
          </w:r>
          <w:r>
            <w:t>C. 低空用户高度变化下的静态性能</w:t>
          </w:r>
          <w:r>
            <w:tab/>
          </w:r>
          <w:r>
            <w:fldChar w:fldCharType="begin"/>
          </w:r>
          <w:r>
            <w:instrText xml:space="preserve"> PAGEREF _Toc16283 \h </w:instrText>
          </w:r>
          <w:r>
            <w:fldChar w:fldCharType="separate"/>
          </w:r>
          <w:r>
            <w:t>21</w:t>
          </w:r>
          <w:r>
            <w:fldChar w:fldCharType="end"/>
          </w:r>
          <w:r>
            <w:fldChar w:fldCharType="end"/>
          </w:r>
        </w:p>
        <w:p w14:paraId="03E6759D">
          <w:pPr>
            <w:pStyle w:val="29"/>
            <w:tabs>
              <w:tab w:val="right" w:leader="dot" w:pos="9026"/>
            </w:tabs>
          </w:pPr>
          <w:r>
            <w:fldChar w:fldCharType="begin"/>
          </w:r>
          <w:r>
            <w:instrText xml:space="preserve"> HYPERLINK \l _Toc23841 </w:instrText>
          </w:r>
          <w:r>
            <w:fldChar w:fldCharType="separate"/>
          </w:r>
          <w:r>
            <w:t>D. 低空传播机理的统一解释</w:t>
          </w:r>
          <w:r>
            <w:tab/>
          </w:r>
          <w:r>
            <w:fldChar w:fldCharType="begin"/>
          </w:r>
          <w:r>
            <w:instrText xml:space="preserve"> PAGEREF _Toc23841 \h </w:instrText>
          </w:r>
          <w:r>
            <w:fldChar w:fldCharType="separate"/>
          </w:r>
          <w:r>
            <w:t>23</w:t>
          </w:r>
          <w:r>
            <w:fldChar w:fldCharType="end"/>
          </w:r>
          <w:r>
            <w:fldChar w:fldCharType="end"/>
          </w:r>
        </w:p>
        <w:p w14:paraId="161C47B7">
          <w:pPr>
            <w:pStyle w:val="29"/>
            <w:tabs>
              <w:tab w:val="right" w:leader="dot" w:pos="9026"/>
            </w:tabs>
          </w:pPr>
          <w:r>
            <w:fldChar w:fldCharType="begin"/>
          </w:r>
          <w:r>
            <w:instrText xml:space="preserve"> HYPERLINK \l _Toc18249 </w:instrText>
          </w:r>
          <w:r>
            <w:fldChar w:fldCharType="separate"/>
          </w:r>
          <w:r>
            <w:t>E. 真实站址数据驱动的动态链路分析</w:t>
          </w:r>
          <w:r>
            <w:tab/>
          </w:r>
          <w:r>
            <w:fldChar w:fldCharType="begin"/>
          </w:r>
          <w:r>
            <w:instrText xml:space="preserve"> PAGEREF _Toc18249 \h </w:instrText>
          </w:r>
          <w:r>
            <w:fldChar w:fldCharType="separate"/>
          </w:r>
          <w:r>
            <w:t>25</w:t>
          </w:r>
          <w:r>
            <w:fldChar w:fldCharType="end"/>
          </w:r>
          <w:r>
            <w:fldChar w:fldCharType="end"/>
          </w:r>
        </w:p>
        <w:p w14:paraId="4DE37764">
          <w:pPr>
            <w:pStyle w:val="26"/>
            <w:tabs>
              <w:tab w:val="right" w:leader="dot" w:pos="9026"/>
            </w:tabs>
          </w:pPr>
          <w:r>
            <w:fldChar w:fldCharType="begin"/>
          </w:r>
          <w:r>
            <w:instrText xml:space="preserve"> HYPERLINK \l _Toc23766 </w:instrText>
          </w:r>
          <w:r>
            <w:fldChar w:fldCharType="separate"/>
          </w:r>
          <w:r>
            <w:t>V. 分析与讨论</w:t>
          </w:r>
          <w:r>
            <w:tab/>
          </w:r>
          <w:r>
            <w:fldChar w:fldCharType="begin"/>
          </w:r>
          <w:r>
            <w:instrText xml:space="preserve"> PAGEREF _Toc23766 \h </w:instrText>
          </w:r>
          <w:r>
            <w:fldChar w:fldCharType="separate"/>
          </w:r>
          <w:r>
            <w:t>28</w:t>
          </w:r>
          <w:r>
            <w:fldChar w:fldCharType="end"/>
          </w:r>
          <w:r>
            <w:fldChar w:fldCharType="end"/>
          </w:r>
        </w:p>
        <w:p w14:paraId="668A583E">
          <w:pPr>
            <w:pStyle w:val="29"/>
            <w:tabs>
              <w:tab w:val="right" w:leader="dot" w:pos="9026"/>
            </w:tabs>
          </w:pPr>
          <w:r>
            <w:fldChar w:fldCharType="begin"/>
          </w:r>
          <w:r>
            <w:instrText xml:space="preserve"> HYPERLINK \l _Toc2962 </w:instrText>
          </w:r>
          <w:r>
            <w:fldChar w:fldCharType="separate"/>
          </w:r>
          <w:r>
            <w:t>A. 复用因子选择体现了可靠性与容量的基本张力</w:t>
          </w:r>
          <w:r>
            <w:tab/>
          </w:r>
          <w:r>
            <w:fldChar w:fldCharType="begin"/>
          </w:r>
          <w:r>
            <w:instrText xml:space="preserve"> PAGEREF _Toc2962 \h </w:instrText>
          </w:r>
          <w:r>
            <w:fldChar w:fldCharType="separate"/>
          </w:r>
          <w:r>
            <w:t>28</w:t>
          </w:r>
          <w:r>
            <w:fldChar w:fldCharType="end"/>
          </w:r>
          <w:r>
            <w:fldChar w:fldCharType="end"/>
          </w:r>
        </w:p>
        <w:p w14:paraId="309758AE">
          <w:pPr>
            <w:pStyle w:val="29"/>
            <w:tabs>
              <w:tab w:val="right" w:leader="dot" w:pos="9026"/>
            </w:tabs>
          </w:pPr>
          <w:r>
            <w:fldChar w:fldCharType="begin"/>
          </w:r>
          <w:r>
            <w:instrText xml:space="preserve"> HYPERLINK \l _Toc12004 </w:instrText>
          </w:r>
          <w:r>
            <w:fldChar w:fldCharType="separate"/>
          </w:r>
          <w:r>
            <w:t>B. 低空链路存在有限高度受益窗口，而非单调高度增益</w:t>
          </w:r>
          <w:r>
            <w:tab/>
          </w:r>
          <w:r>
            <w:fldChar w:fldCharType="begin"/>
          </w:r>
          <w:r>
            <w:instrText xml:space="preserve"> PAGEREF _Toc12004 \h </w:instrText>
          </w:r>
          <w:r>
            <w:fldChar w:fldCharType="separate"/>
          </w:r>
          <w:r>
            <w:t>28</w:t>
          </w:r>
          <w:r>
            <w:fldChar w:fldCharType="end"/>
          </w:r>
          <w:r>
            <w:fldChar w:fldCharType="end"/>
          </w:r>
        </w:p>
        <w:p w14:paraId="3005EBAF">
          <w:pPr>
            <w:pStyle w:val="29"/>
            <w:tabs>
              <w:tab w:val="right" w:leader="dot" w:pos="9026"/>
            </w:tabs>
          </w:pPr>
          <w:r>
            <w:fldChar w:fldCharType="begin"/>
          </w:r>
          <w:r>
            <w:instrText xml:space="preserve"> HYPERLINK \l _Toc32080 </w:instrText>
          </w:r>
          <w:r>
            <w:fldChar w:fldCharType="separate"/>
          </w:r>
          <w:r>
            <w:t>C. 真实站址数据揭示了动态低空网络的真正瓶颈</w:t>
          </w:r>
          <w:r>
            <w:tab/>
          </w:r>
          <w:r>
            <w:fldChar w:fldCharType="begin"/>
          </w:r>
          <w:r>
            <w:instrText xml:space="preserve"> PAGEREF _Toc32080 \h </w:instrText>
          </w:r>
          <w:r>
            <w:fldChar w:fldCharType="separate"/>
          </w:r>
          <w:r>
            <w:t>28</w:t>
          </w:r>
          <w:r>
            <w:fldChar w:fldCharType="end"/>
          </w:r>
          <w:r>
            <w:fldChar w:fldCharType="end"/>
          </w:r>
        </w:p>
        <w:p w14:paraId="27409E0B">
          <w:pPr>
            <w:pStyle w:val="29"/>
            <w:tabs>
              <w:tab w:val="right" w:leader="dot" w:pos="9026"/>
            </w:tabs>
          </w:pPr>
          <w:r>
            <w:fldChar w:fldCharType="begin"/>
          </w:r>
          <w:r>
            <w:instrText xml:space="preserve"> HYPERLINK \l _Toc21528 </w:instrText>
          </w:r>
          <w:r>
            <w:fldChar w:fldCharType="separate"/>
          </w:r>
          <w:r>
            <w:t>D. 模型适用边界与后续深化方向</w:t>
          </w:r>
          <w:r>
            <w:tab/>
          </w:r>
          <w:r>
            <w:fldChar w:fldCharType="begin"/>
          </w:r>
          <w:r>
            <w:instrText xml:space="preserve"> PAGEREF _Toc21528 \h </w:instrText>
          </w:r>
          <w:r>
            <w:fldChar w:fldCharType="separate"/>
          </w:r>
          <w:r>
            <w:t>29</w:t>
          </w:r>
          <w:r>
            <w:fldChar w:fldCharType="end"/>
          </w:r>
          <w:r>
            <w:fldChar w:fldCharType="end"/>
          </w:r>
        </w:p>
        <w:p w14:paraId="04A9C095">
          <w:pPr>
            <w:pStyle w:val="26"/>
            <w:tabs>
              <w:tab w:val="right" w:leader="dot" w:pos="9026"/>
            </w:tabs>
          </w:pPr>
          <w:r>
            <w:fldChar w:fldCharType="begin"/>
          </w:r>
          <w:r>
            <w:instrText xml:space="preserve"> HYPERLINK \l _Toc2056 </w:instrText>
          </w:r>
          <w:r>
            <w:fldChar w:fldCharType="separate"/>
          </w:r>
          <w:r>
            <w:t>VI. 结论与展望</w:t>
          </w:r>
          <w:r>
            <w:tab/>
          </w:r>
          <w:r>
            <w:fldChar w:fldCharType="begin"/>
          </w:r>
          <w:r>
            <w:instrText xml:space="preserve"> PAGEREF _Toc2056 \h </w:instrText>
          </w:r>
          <w:r>
            <w:fldChar w:fldCharType="separate"/>
          </w:r>
          <w:r>
            <w:t>31</w:t>
          </w:r>
          <w:r>
            <w:fldChar w:fldCharType="end"/>
          </w:r>
          <w:r>
            <w:fldChar w:fldCharType="end"/>
          </w:r>
        </w:p>
        <w:p w14:paraId="177E722D">
          <w:pPr>
            <w:pStyle w:val="26"/>
            <w:tabs>
              <w:tab w:val="right" w:leader="dot" w:pos="9026"/>
            </w:tabs>
          </w:pPr>
          <w:r>
            <w:fldChar w:fldCharType="begin"/>
          </w:r>
          <w:r>
            <w:instrText xml:space="preserve"> HYPERLINK \l _Toc2062 </w:instrText>
          </w:r>
          <w:r>
            <w:fldChar w:fldCharType="separate"/>
          </w:r>
          <w:r>
            <w:t>VII. 参考文献</w:t>
          </w:r>
          <w:r>
            <w:tab/>
          </w:r>
          <w:r>
            <w:fldChar w:fldCharType="begin"/>
          </w:r>
          <w:r>
            <w:instrText xml:space="preserve"> PAGEREF _Toc2062 \h </w:instrText>
          </w:r>
          <w:r>
            <w:fldChar w:fldCharType="separate"/>
          </w:r>
          <w:r>
            <w:t>33</w:t>
          </w:r>
          <w:r>
            <w:fldChar w:fldCharType="end"/>
          </w:r>
          <w:r>
            <w:fldChar w:fldCharType="end"/>
          </w:r>
        </w:p>
        <w:p w14:paraId="777E13A8">
          <w:pPr>
            <w:pStyle w:val="26"/>
            <w:tabs>
              <w:tab w:val="right" w:leader="dot" w:pos="9026"/>
            </w:tabs>
          </w:pPr>
          <w:r>
            <w:fldChar w:fldCharType="begin"/>
          </w:r>
          <w:r>
            <w:instrText xml:space="preserve"> HYPERLINK \l _Toc9839 </w:instrText>
          </w:r>
          <w:r>
            <w:fldChar w:fldCharType="separate"/>
          </w:r>
          <w:r>
            <w:t>VIII. 附录</w:t>
          </w:r>
          <w:r>
            <w:tab/>
          </w:r>
          <w:r>
            <w:fldChar w:fldCharType="begin"/>
          </w:r>
          <w:r>
            <w:instrText xml:space="preserve"> PAGEREF _Toc9839 \h </w:instrText>
          </w:r>
          <w:r>
            <w:fldChar w:fldCharType="separate"/>
          </w:r>
          <w:r>
            <w:t>36</w:t>
          </w:r>
          <w:r>
            <w:fldChar w:fldCharType="end"/>
          </w:r>
          <w:r>
            <w:fldChar w:fldCharType="end"/>
          </w:r>
        </w:p>
        <w:p w14:paraId="10A1946E">
          <w:pPr>
            <w:pStyle w:val="29"/>
            <w:tabs>
              <w:tab w:val="right" w:leader="dot" w:pos="9026"/>
            </w:tabs>
          </w:pPr>
          <w:r>
            <w:fldChar w:fldCharType="begin"/>
          </w:r>
          <w:r>
            <w:instrText xml:space="preserve"> HYPERLINK \l _Toc23070 </w:instrText>
          </w:r>
          <w:r>
            <w:fldChar w:fldCharType="separate"/>
          </w:r>
          <w:r>
            <w:t>A. 复现实验流程说明</w:t>
          </w:r>
          <w:r>
            <w:tab/>
          </w:r>
          <w:r>
            <w:fldChar w:fldCharType="begin"/>
          </w:r>
          <w:r>
            <w:instrText xml:space="preserve"> PAGEREF _Toc23070 \h </w:instrText>
          </w:r>
          <w:r>
            <w:fldChar w:fldCharType="separate"/>
          </w:r>
          <w:r>
            <w:t>36</w:t>
          </w:r>
          <w:r>
            <w:fldChar w:fldCharType="end"/>
          </w:r>
          <w:r>
            <w:fldChar w:fldCharType="end"/>
          </w:r>
        </w:p>
        <w:p w14:paraId="154A545A">
          <w:pPr>
            <w:pStyle w:val="29"/>
            <w:tabs>
              <w:tab w:val="right" w:leader="dot" w:pos="9026"/>
            </w:tabs>
          </w:pPr>
          <w:r>
            <w:fldChar w:fldCharType="begin"/>
          </w:r>
          <w:r>
            <w:instrText xml:space="preserve"> HYPERLINK \l _Toc5133 </w:instrText>
          </w:r>
          <w:r>
            <w:fldChar w:fldCharType="separate"/>
          </w:r>
          <w:r>
            <w:t>B. 真实站址数据来源说明</w:t>
          </w:r>
          <w:r>
            <w:tab/>
          </w:r>
          <w:r>
            <w:fldChar w:fldCharType="begin"/>
          </w:r>
          <w:r>
            <w:instrText xml:space="preserve"> PAGEREF _Toc5133 \h </w:instrText>
          </w:r>
          <w:r>
            <w:fldChar w:fldCharType="separate"/>
          </w:r>
          <w:r>
            <w:t>36</w:t>
          </w:r>
          <w:r>
            <w:fldChar w:fldCharType="end"/>
          </w:r>
          <w:r>
            <w:fldChar w:fldCharType="end"/>
          </w:r>
        </w:p>
        <w:p w14:paraId="60BEAD39">
          <w:pPr>
            <w:spacing w:after="120" w:line="264" w:lineRule="auto"/>
            <w:jc w:val="left"/>
            <w:rPr>
              <w:rFonts w:ascii="Times New Roman" w:hAnsi="Times New Roman" w:eastAsia="宋体" w:cstheme="minorBidi"/>
              <w:sz w:val="24"/>
              <w:szCs w:val="22"/>
              <w:lang w:val="en-US" w:eastAsia="en-US" w:bidi="ar-SA"/>
            </w:rPr>
          </w:pPr>
          <w:r>
            <w:fldChar w:fldCharType="end"/>
          </w:r>
        </w:p>
      </w:sdtContent>
    </w:sdt>
    <w:p w14:paraId="0B67024F">
      <w:r>
        <w:br w:type="page"/>
      </w:r>
    </w:p>
    <w:p w14:paraId="17926AAD">
      <w:pPr>
        <w:pStyle w:val="3"/>
        <w:bidi w:val="0"/>
      </w:pPr>
      <w:bookmarkStart w:id="1" w:name="_Toc17569"/>
      <w:r>
        <w:t>摘要</w:t>
      </w:r>
      <w:bookmarkEnd w:id="1"/>
    </w:p>
    <w:p w14:paraId="50304C93">
      <w:pPr>
        <w:bidi w:val="0"/>
      </w:pPr>
      <w:r>
        <w:t>频率复用是蜂窝移动通信系统在有限频谱条件下提升空间复用能力的基本手段，但复用因子变化会同时影响同频干扰水平、边缘链路可靠性和单位面积容量。在传统地面蜂窝网络中，复用因子较小通常意味着更高的频谱利用率，而在低空融合网络中，空中用户的视距（line-of-sight, LOS）链路概率显著增大，同频干扰的空间暴露范围也明显扩大，因此地面蜂窝中的经验结论不能直接套用于低空接入场景。</w:t>
      </w:r>
    </w:p>
    <w:p w14:paraId="02ED9D45">
      <w:pPr>
        <w:bidi w:val="0"/>
      </w:pPr>
      <w:r>
        <w:t>围绕这一问题，本文建立了一个由解析几何模型、静态统计仿真和真实站址数据驱动动态场景组成的研究框架，系统考察不同复用因子下地面用户与低空用户的信干噪比（signal-to-interference-plus-noise ratio, SINR）、有效面积频谱效率（area spectral efficiency, ASE）以及动态链路稳定性。本文首先以六边形蜂窝复用几何为理论起点，构建经典边缘用户信干比（signal-to-interference ratio, SIR）基线；随后在统计仿真中引入热噪声、扇区方向图、俯倾角、阴影衰落、小尺度衰落和低空混合视距/非视距（line-of-sight/non-line-of-sight, LOS/NLOS）概率模型，并采用有效面积频谱效率指标统一比较“链路质量提升”与“空间复用密度下降”之间的折中关系；最后，借助公开真实站址簇和建筑地理数据构造动态低空场景，分析轨迹运动、时变负载、切换事件与建筑遮挡对链路性能的共同影响。</w:t>
      </w:r>
    </w:p>
    <w:p w14:paraId="0876F601">
      <w:pPr>
        <w:bidi w:val="0"/>
      </w:pPr>
      <w:r>
        <w:t xml:space="preserve">结果表明：当地面路径损耗指数取 </w:t>
      </w:r>
      <m:oMath>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=3.8</m:t>
        </m:r>
      </m:oMath>
      <w:r>
        <w:t xml:space="preserve"> 时，解析边缘 SIR 由复用因子 </w:t>
      </w:r>
      <m:oMath>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=1</m:t>
        </m:r>
      </m:oMath>
      <w:r>
        <w:t xml:space="preserve"> 的 1.28 dB 提高到 </w:t>
      </w:r>
      <m:oMath>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=12</m:t>
        </m:r>
      </m:oMath>
      <w:r>
        <w:t xml:space="preserve"> 的 21.79 dB，随机用户中位 SINR 由 12.82 dB 提高到 20.18 dB，说明增大复用因子能够明显抑制地面同频干扰，但当干扰降低到一定程度后，热噪声成为限制进一步增益的主要因素。在有效面积频谱效率指标下，系统单位面积频谱效率随 </w:t>
      </w:r>
      <m:oMath>
        <m:r>
          <m:rPr>
            <m:nor/>
          </m:rPr>
          <w:rPr>
            <w:rFonts w:hint="default" w:ascii="Times New Roman" w:hAnsi="Times New Roman" w:cs="Times New Roman"/>
            <w:i/>
            <w:sz w:val="24"/>
          </w:rPr>
          <m:t>N</m:t>
        </m:r>
      </m:oMath>
      <w:r>
        <w:t xml:space="preserve"> 增大持续下降，由 </w:t>
      </w:r>
      <m:oMath>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=1</m:t>
        </m:r>
      </m:oMath>
      <w:r>
        <w:t xml:space="preserve"> 时的 3.34 bit/s/Hz/km² 下降到 </w:t>
      </w:r>
      <m:oMath>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=12</m:t>
        </m:r>
      </m:oMath>
      <w:r>
        <w:t xml:space="preserve"> 时的 0.44 bit/s/Hz/km²，说明更强的复用隔离是以更低的空间复用密度为代价换取的。低空场景中，在 </w:t>
      </w:r>
      <m:oMath>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=7</m:t>
        </m:r>
      </m:oMath>
      <w:r>
        <w:t xml:space="preserve"> 条件下，无人机用户（unmanned aerial vehicle, UAV）中位 SINR 从 0 m 时的 19.20 dB 上升到 25 m 时的 25.98 dB，随后下降到 300 m 时的 -5.59 dB，呈现近低空受益</w:t>
      </w:r>
      <w:r>
        <w:rPr>
          <w:rFonts w:hint="eastAsia"/>
          <w:lang w:val="en-US" w:eastAsia="zh-CN"/>
        </w:rPr>
        <w:t>而</w:t>
      </w:r>
      <w:r>
        <w:t>高空退化的两阶段变化规律。真实站址数据驱动的动态实验进一步表明，在给定 60 s 航迹内，平均 SINR 为 5.63 dB，5% 分位 SINR 为 -6.35 dB，10 dB 门限失效概率为 0.700，说明站址几何、时变负载和切换过程会显著放大低空链路的时间波动。</w:t>
      </w:r>
    </w:p>
    <w:p w14:paraId="384F42A6">
      <w:pPr>
        <w:bidi w:val="0"/>
      </w:pPr>
      <w:r>
        <w:t>本文认为，低空融合网络中的频率规划不能仅以地面静态覆盖结论为依据，而应联合考虑复用因子、方向图配置、建筑遮挡、站址布局和动态业务过程。若设计目标偏重边缘可靠性与低空覆盖，则应优先采用更保守的复用策略并配合干扰协调；若目标偏重单位面积吞吐量，则较小复用因子仍有优势，但必须接受更高的干扰风险，并通过功率分配与调度机制进行补偿。</w:t>
      </w:r>
    </w:p>
    <w:p w14:paraId="0C6CCEF4">
      <w:pPr>
        <w:bidi w:val="0"/>
      </w:pPr>
    </w:p>
    <w:p w14:paraId="4E7B2DD5">
      <w:pPr>
        <w:bidi w:val="0"/>
        <w:rPr>
          <w:rFonts w:ascii="Times New Roman" w:hAnsi="Times New Roman" w:eastAsia="宋体"/>
        </w:rPr>
        <w:sectPr>
          <w:footerReference r:id="rId5" w:type="default"/>
          <w:pgSz w:w="11906" w:h="16838"/>
          <w:pgMar w:top="1440" w:right="1440" w:bottom="1440" w:left="1440" w:header="720" w:footer="720" w:gutter="0"/>
          <w:cols w:space="720" w:num="1"/>
          <w:titlePg/>
          <w:docGrid w:linePitch="360" w:charSpace="0"/>
        </w:sectPr>
      </w:pPr>
      <w:r>
        <w:rPr>
          <w:rFonts w:hint="eastAsia" w:ascii="黑体" w:hAnsi="黑体" w:eastAsia="黑体" w:cs="黑体"/>
          <w:b/>
          <w:bCs/>
        </w:rPr>
        <w:t>关键词</w:t>
      </w:r>
      <w:r>
        <w:rPr>
          <w:rFonts w:hint="eastAsia"/>
          <w:lang w:val="en-US" w:eastAsia="zh-CN"/>
        </w:rPr>
        <w:t xml:space="preserve"> </w:t>
      </w:r>
      <w:r>
        <w:t>频率复用</w:t>
      </w:r>
      <w:r>
        <w:rPr>
          <w:rFonts w:hint="eastAsia"/>
          <w:lang w:val="en-US" w:eastAsia="zh-CN"/>
        </w:rPr>
        <w:t xml:space="preserve"> </w:t>
      </w:r>
      <w:r>
        <w:t>低空融合网络</w:t>
      </w:r>
      <w:r>
        <w:rPr>
          <w:rFonts w:hint="eastAsia"/>
          <w:lang w:val="en-US" w:eastAsia="zh-CN"/>
        </w:rPr>
        <w:t xml:space="preserve"> </w:t>
      </w:r>
      <w:r>
        <w:t>无人机通信</w:t>
      </w:r>
      <w:r>
        <w:rPr>
          <w:rFonts w:hint="eastAsia"/>
          <w:lang w:val="en-US" w:eastAsia="zh-CN"/>
        </w:rPr>
        <w:t xml:space="preserve"> </w:t>
      </w:r>
      <w:r>
        <w:t>SINR</w:t>
      </w:r>
      <w:r>
        <w:rPr>
          <w:rFonts w:hint="eastAsia"/>
          <w:lang w:val="en-US" w:eastAsia="zh-CN"/>
        </w:rPr>
        <w:t xml:space="preserve"> </w:t>
      </w:r>
      <w:r>
        <w:t>动态切换</w:t>
      </w:r>
      <w:r>
        <w:rPr>
          <w:rFonts w:hint="eastAsia"/>
          <w:lang w:val="en-US" w:eastAsia="zh-CN"/>
        </w:rPr>
        <w:t xml:space="preserve"> </w:t>
      </w:r>
      <w:r>
        <w:t>有效面积频谱效率</w:t>
      </w:r>
    </w:p>
    <w:p w14:paraId="35DA129F">
      <w:pPr>
        <w:spacing w:after="120" w:line="276" w:lineRule="auto"/>
        <w:jc w:val="both"/>
        <w:rPr>
          <w:rFonts w:ascii="Times New Roman" w:hAnsi="Times New Roman" w:eastAsia="宋体"/>
          <w:sz w:val="21"/>
        </w:rPr>
        <w:sectPr>
          <w:pgSz w:w="11906" w:h="16838"/>
          <w:pgMar w:top="1440" w:right="1440" w:bottom="1440" w:left="1440" w:header="720" w:footer="720" w:gutter="0"/>
          <w:cols w:space="720" w:num="1"/>
          <w:titlePg/>
          <w:docGrid w:linePitch="360" w:charSpace="0"/>
        </w:sectPr>
      </w:pPr>
    </w:p>
    <w:p w14:paraId="78A2AC62">
      <w:pPr>
        <w:pStyle w:val="3"/>
        <w:bidi w:val="0"/>
      </w:pPr>
      <w:bookmarkStart w:id="2" w:name="_Toc27468"/>
      <w:r>
        <w:t>I. 引言</w:t>
      </w:r>
      <w:bookmarkEnd w:id="2"/>
    </w:p>
    <w:p w14:paraId="517A9FD5">
      <w:pPr>
        <w:bidi w:val="0"/>
      </w:pPr>
      <w:r>
        <w:t>无线传播信道决定了通信系统中的覆盖能力、干扰分布和容量边界。对于蜂窝网络而言，频率复用的核心思想是在空间上重复使用有限频谱资源，从而在容量和抗干扰能力之间取得平衡。若复用因子较小，则相同带宽可以被更密集地复用，单位面积吞吐量较高，但同频干扰更强；若复用因子较大，则同频基站间距增大，边缘链路更稳定，但每个小区可独享的频谱比例随之下降。传统课程设计中，这一问题通常以规则六边形蜂窝、地面终端和纯 SIR 指标进行讨论，因此结论清晰、模型简洁，但对低空接入场景的解释能力仍然有限。</w:t>
      </w:r>
    </w:p>
    <w:p w14:paraId="54B4ECDC">
      <w:pPr>
        <w:bidi w:val="0"/>
      </w:pPr>
      <w:r>
        <w:t xml:space="preserve">近年来，低空经济、无人机巡检、应急通信和空地协同感知等业务快速发展，使蜂窝网络逐步承担低空平台接入任务。与地面终端相比，低空用户的传播环境具有两个突出特征。第一，用户升空后更容易与服务基站形成视距链路，参考信号功率可能增强。第二，空中用户通常可以“看见”更多邻区，同频干扰链路也更容易转化为视距传播，从而导致下行干扰迅速累积。3GPP 关于 aerial UE 的研究已经指出，空中用户在小区重选、切换和下行干扰方面存在区别于地面用户的典型问题 </w:t>
      </w:r>
      <w:r>
        <w:rPr>
          <w:vertAlign w:val="superscript"/>
        </w:rPr>
        <w:t>[1]</w:t>
      </w:r>
      <w:r>
        <w:t>。因此，如果仍沿用只针对地面网络建立的复用设计经验，容易高估低空覆盖能力，低估切换和干扰风险。</w:t>
      </w:r>
    </w:p>
    <w:p w14:paraId="195C7831">
      <w:pPr>
        <w:bidi w:val="0"/>
      </w:pPr>
      <w:r>
        <w:t xml:space="preserve">已有研究已经从不同角度讨论了蜂窝支持低空接入的可行性与难点。Zeng 等从无人机通信总体视角总结了三维机动性、概率视距链路和空地传播差异对系统设计的影响 </w:t>
      </w:r>
      <w:r>
        <w:rPr>
          <w:vertAlign w:val="superscript"/>
        </w:rPr>
        <w:t>[2]</w:t>
      </w:r>
      <w:r>
        <w:t xml:space="preserve">。Lin 等进一步结合长期演进（long term evolution, LTE）场景指出，空中终端虽然更容易获得较强的服务信号，但同样更容易遭遇来自多个邻区的下行干扰和频繁移动性事件 </w:t>
      </w:r>
      <w:r>
        <w:rPr>
          <w:vertAlign w:val="superscript"/>
        </w:rPr>
        <w:t>[3]</w:t>
      </w:r>
      <w:r>
        <w:t xml:space="preserve">。Muruganathan 等对 3GPP Release-15 增强 LTE 支持互联无人机的研究进行了归纳，说明测量、切换和干扰抑制是蜂窝支持低空接入的关键技术环节 </w:t>
      </w:r>
      <w:r>
        <w:rPr>
          <w:vertAlign w:val="superscript"/>
        </w:rPr>
        <w:t>[4]</w:t>
      </w:r>
      <w:r>
        <w:t xml:space="preserve">。在传播与天线建模方面，ETSI TR 138 901 提供了面向 0.5 至 100 GHz 的三维信道模型框架 </w:t>
      </w:r>
      <w:r>
        <w:rPr>
          <w:vertAlign w:val="superscript"/>
        </w:rPr>
        <w:t>[5]</w:t>
      </w:r>
      <w:r>
        <w:t xml:space="preserve">，ITU-R P.1410 则给出了城市地物遮挡与宽带接入传播预测方法 </w:t>
      </w:r>
      <w:r>
        <w:rPr>
          <w:vertAlign w:val="superscript"/>
        </w:rPr>
        <w:t>[6]</w:t>
      </w:r>
      <w:r>
        <w:t xml:space="preserve">。Xu 和 Zeng 的三维天线建模分析表明，低空用户性能不仅受高度影响，还高度依赖基站方向图和俯倾设置 </w:t>
      </w:r>
      <w:r>
        <w:rPr>
          <w:vertAlign w:val="superscript"/>
        </w:rPr>
        <w:t>[7]</w:t>
      </w:r>
      <w:r>
        <w:t xml:space="preserve">；Euler 等则从移动性角度说明，空中终端在蜂窝网络中更容易出现切换和无线链路失稳问题 </w:t>
      </w:r>
      <w:r>
        <w:rPr>
          <w:vertAlign w:val="superscript"/>
        </w:rPr>
        <w:t>[8]</w:t>
      </w:r>
      <w:r>
        <w:t>。这些文献共同说明：低空蜂窝接入的本质不是简单的高度增加导致路径损耗变化，而是站址几何、天线方向性、遮挡概率与业务动态共同耦合的系统级问题。</w:t>
      </w:r>
    </w:p>
    <w:p w14:paraId="48602CA9">
      <w:pPr>
        <w:bidi w:val="0"/>
        <w:sectPr>
          <w:pgSz w:w="11906" w:h="16838"/>
          <w:pgMar w:top="1440" w:right="1440" w:bottom="1440" w:left="1440" w:header="720" w:footer="720" w:gutter="0"/>
          <w:cols w:space="720" w:num="1"/>
          <w:titlePg/>
          <w:docGrid w:linePitch="360" w:charSpace="0"/>
        </w:sectPr>
      </w:pPr>
      <w:r>
        <w:t>基于上述认识，本文将课程设计目标从不同复用因子下的地面 SIR 对比扩展为地面与低空场景中频率复用、干扰和容量的统一分析。全文围绕以下问题展开：当复用因子 N 增大时，地面用户的 SIR 与 SINR 如何变化；在引入热噪声与系统开销后，频率复用与有效面积频谱效率之间呈现怎样的折中；低空用户的链路质量为何会随高度先升后降；当研究场景从理想规则蜂窝过渡到公开真实站址簇时，动态链路性能会呈现怎样的时间波动；从这些规律中又可以提炼出哪些频率规划和干扰优化启示。</w:t>
      </w:r>
    </w:p>
    <w:p w14:paraId="39AE2E80">
      <w:pPr>
        <w:bidi w:val="0"/>
        <w:sectPr>
          <w:pgSz w:w="11906" w:h="16838"/>
          <w:pgMar w:top="1440" w:right="1440" w:bottom="1440" w:left="1440" w:header="720" w:footer="720" w:gutter="0"/>
          <w:cols w:space="720" w:num="1"/>
          <w:titlePg/>
          <w:docGrid w:linePitch="360" w:charSpace="0"/>
        </w:sectPr>
      </w:pPr>
    </w:p>
    <w:p w14:paraId="63623B24">
      <w:pPr>
        <w:pStyle w:val="3"/>
        <w:bidi w:val="0"/>
      </w:pPr>
      <w:bookmarkStart w:id="3" w:name="_Toc23594"/>
      <w:r>
        <w:t>II. 理论主体与总体研究进展情况</w:t>
      </w:r>
      <w:bookmarkEnd w:id="3"/>
    </w:p>
    <w:p w14:paraId="5442E931">
      <w:pPr>
        <w:pStyle w:val="4"/>
        <w:bidi w:val="0"/>
      </w:pPr>
      <w:bookmarkStart w:id="4" w:name="_Toc23264"/>
      <w:r>
        <w:t>A. 频率复用问题的研究主线</w:t>
      </w:r>
      <w:bookmarkEnd w:id="4"/>
    </w:p>
    <w:p w14:paraId="1C4A79DC">
      <w:pPr>
        <w:bidi w:val="0"/>
      </w:pPr>
      <w:r>
        <w:t>蜂窝频率复用研究最早关注的核心问题，是在给定小区半径与路径损耗指数的条件下，如何通过调整复用距离抑制同频干扰并保证系统容量。传统理论模型往往在规则六边形蜂窝、全向天线和干扰受限条件下讨论边缘用户 SIR，因此能够给出简洁的闭式表达式。随着三扇区宏站、波束赋形和异构部署逐渐成为现实网络常态，单纯依赖二维规则几何的理论表达已经难以完全覆盖工程现象。对于低空场景，这种不足更加明显，因为用户高度直接改变了服务链路和干扰链路的视距概率分布，也改变了用户相对于下倾主瓣的几何位置。</w:t>
      </w:r>
    </w:p>
    <w:p w14:paraId="10646B24">
      <w:pPr>
        <w:bidi w:val="0"/>
      </w:pPr>
      <w:r>
        <w:t xml:space="preserve">从总体研究进展看，现有低空蜂窝研究大体沿着三条路径演进。第一条路径是传播机理建模，即通过概率视距模型、三维路径损耗模型和建筑遮挡模型刻画空地链路的统计特性 </w:t>
      </w:r>
      <w:r>
        <w:rPr>
          <w:vertAlign w:val="superscript"/>
        </w:rPr>
        <w:t>[2][5][6]</w:t>
      </w:r>
      <w:r>
        <w:t xml:space="preserve">。第二条路径是系统性能分析，即在蜂窝部署、方向图和功率配置条件下评估空中用户的覆盖、速率和干扰水平 </w:t>
      </w:r>
      <w:r>
        <w:rPr>
          <w:vertAlign w:val="superscript"/>
        </w:rPr>
        <w:t>[3][7]</w:t>
      </w:r>
      <w:r>
        <w:t xml:space="preserve">。第三条路径是网络支撑机制，即围绕空中用户的移动性增强、干扰协调和标准演进分析蜂窝网络的可用性边界 </w:t>
      </w:r>
      <w:r>
        <w:rPr>
          <w:vertAlign w:val="superscript"/>
        </w:rPr>
        <w:t>[1][4][8]</w:t>
      </w:r>
      <w:r>
        <w:t>。本文的研究定位是在课程理论框架内，将这三条路径中最关键、最能体现物理意义的部分有机结合起来，从而形成一个既可复现、又具备工程解释力的分析模型。</w:t>
      </w:r>
    </w:p>
    <w:p w14:paraId="5F3D8015">
      <w:pPr>
        <w:pStyle w:val="4"/>
        <w:bidi w:val="0"/>
      </w:pPr>
      <w:bookmarkStart w:id="5" w:name="_Toc10999"/>
      <w:r>
        <w:t>B. 蜂窝复用几何与解析边缘 SIR</w:t>
      </w:r>
      <w:bookmarkEnd w:id="5"/>
    </w:p>
    <w:p w14:paraId="09CD4D98">
      <w:pPr>
        <w:bidi w:val="0"/>
      </w:pPr>
      <w:r>
        <w:t>规则六边形蜂窝网络中，复用因子满足</w:t>
      </w:r>
    </w:p>
    <w:p w14:paraId="5BF4D8D8">
      <w:pPr>
        <w:bidi w:val="0"/>
        <w:rPr>
          <w:rFonts w:hint="default"/>
          <w:vertAlign w:val="baseline"/>
        </w:rPr>
      </w:pPr>
      <m:oMathPara>
        <m:oMath>
          <m:eqArr>
            <m:eqArrPr>
              <m:maxDist m:val="1"/>
              <m:ctrlPr>
                <m:rPr/>
                <w:rPr>
                  <w:rFonts w:hint="default" w:ascii="Times New Roman" w:hAnsi="Times New Roman" w:cs="Times New Roman"/>
                  <w:i w:val="0"/>
                  <w:sz w:val="24"/>
                </w:rPr>
              </m:ctrlPr>
            </m:eqArrPr>
            <m:e>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m:t>
              </m:r>
              <m:sSup>
                <m:sSupPr>
                  <m:ctrlPr>
                    <w:rPr>
                      <w:rFonts w:hint="default" w:ascii="Cambria Math" w:hAnsi="Cambria Math" w:cs="Times New Roman"/>
                      <w:sz w:val="24"/>
                    </w:rPr>
                  </m:ctrlPr>
                </m:sSupPr>
                <m:e>
                  <m:r>
                    <m:rPr>
                      <m:nor/>
                    </m:rPr>
                    <w:rPr>
                      <w:rFonts w:hint="default" w:ascii="Times New Roman" w:hAnsi="Times New Roman" w:cs="Times New Roman"/>
                      <w:i/>
                      <w:sz w:val="24"/>
                    </w:rPr>
                    <m:t>i</m:t>
                  </m:r>
                  <m:ctrlPr>
                    <w:rPr>
                      <w:rFonts w:hint="default" w:ascii="Cambria Math" w:hAnsi="Cambria Math" w:cs="Times New Roman"/>
                      <w:sz w:val="24"/>
                    </w:rPr>
                  </m:ctrlPr>
                </m:e>
                <m:sup>
                  <m:r>
                    <m:rPr>
                      <m:nor/>
                      <m:sty m:val="p"/>
                    </m:rPr>
                    <w:rPr>
                      <w:rFonts w:hint="default" w:ascii="Times New Roman" w:hAnsi="Times New Roman" w:cs="Times New Roman"/>
                      <w:i w:val="0"/>
                      <w:sz w:val="24"/>
                    </w:rPr>
                    <m:t>2</m:t>
                  </m:r>
                  <m:ctrlPr>
                    <w:rPr>
                      <w:rFonts w:hint="default" w:ascii="Cambria Math" w:hAnsi="Cambria Math" w:cs="Times New Roman"/>
                      <w:sz w:val="24"/>
                    </w:rPr>
                  </m:ctrlPr>
                </m:sup>
              </m:sSup>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ij</m:t>
              </m:r>
              <m:r>
                <m:rPr>
                  <m:nor/>
                  <m:sty m:val="p"/>
                </m:rPr>
                <w:rPr>
                  <w:rFonts w:hint="default" w:ascii="Times New Roman" w:hAnsi="Times New Roman" w:cs="Times New Roman"/>
                  <w:i w:val="0"/>
                  <w:sz w:val="24"/>
                </w:rPr>
                <m:t>+</m:t>
              </m:r>
              <m:sSup>
                <m:sSupPr>
                  <m:ctrlPr>
                    <w:rPr>
                      <w:rFonts w:hint="default" w:ascii="Cambria Math" w:hAnsi="Cambria Math" w:cs="Times New Roman"/>
                      <w:sz w:val="24"/>
                    </w:rPr>
                  </m:ctrlPr>
                </m:sSupPr>
                <m:e>
                  <m:r>
                    <m:rPr>
                      <m:nor/>
                    </m:rPr>
                    <w:rPr>
                      <w:rFonts w:hint="default" w:ascii="Times New Roman" w:hAnsi="Times New Roman" w:cs="Times New Roman"/>
                      <w:i/>
                      <w:sz w:val="24"/>
                    </w:rPr>
                    <m:t>j</m:t>
                  </m:r>
                  <m:ctrlPr>
                    <w:rPr>
                      <w:rFonts w:hint="default" w:ascii="Cambria Math" w:hAnsi="Cambria Math" w:cs="Times New Roman"/>
                      <w:sz w:val="24"/>
                    </w:rPr>
                  </m:ctrlPr>
                </m:e>
                <m:sup>
                  <m:r>
                    <m:rPr>
                      <m:nor/>
                      <m:sty m:val="p"/>
                    </m:rPr>
                    <w:rPr>
                      <w:rFonts w:hint="default" w:ascii="Times New Roman" w:hAnsi="Times New Roman" w:cs="Times New Roman"/>
                      <w:i w:val="0"/>
                      <w:sz w:val="24"/>
                    </w:rPr>
                    <m:t>2</m:t>
                  </m:r>
                  <m:ctrlPr>
                    <w:rPr>
                      <w:rFonts w:hint="default" w:ascii="Cambria Math" w:hAnsi="Cambria Math" w:cs="Times New Roman"/>
                      <w:sz w:val="24"/>
                    </w:rPr>
                  </m:ctrlPr>
                </m:sup>
              </m:sSup>
              <m:r>
                <m:rPr>
                  <m:nor/>
                  <m:sty m:val="p"/>
                </m:rPr>
                <w:rPr>
                  <w:rFonts w:hint="default" w:ascii="Times New Roman" w:hAnsi="Times New Roman" w:cs="Times New Roman"/>
                  <w:i w:val="0"/>
                  <w:sz w:val="24"/>
                </w:rPr>
                <m:t>, </m:t>
              </m:r>
              <m:r>
                <m:rPr>
                  <m:nor/>
                </m:rPr>
                <w:rPr>
                  <w:rFonts w:hint="default" w:ascii="Times New Roman" w:hAnsi="Times New Roman" w:cs="Times New Roman"/>
                  <w:i/>
                  <w:sz w:val="24"/>
                </w:rPr>
                <m:t>i</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j</m:t>
              </m:r>
              <m:r>
                <m:rPr>
                  <m:nor/>
                  <m:sty m:val="p"/>
                </m:rPr>
                <w:rPr>
                  <w:rFonts w:hint="default" w:ascii="Times New Roman" w:hAnsi="Times New Roman" w:cs="Times New Roman"/>
                  <w:i w:val="0"/>
                  <w:sz w:val="24"/>
                </w:rPr>
                <m:t>∈</m:t>
              </m:r>
              <m:sSub>
                <m:sSubPr>
                  <m:ctrlPr>
                    <w:rPr>
                      <w:rFonts w:hint="default" w:ascii="Cambria Math" w:hAnsi="Cambria Math" w:cs="Times New Roman"/>
                      <w:sz w:val="24"/>
                    </w:rPr>
                  </m:ctrlPr>
                </m:sSubPr>
                <m:e>
                  <m:r>
                    <m:rPr>
                      <m:nor/>
                      <m:sty m:val="p"/>
                      <m:scr m:val="double-struck"/>
                    </m:rPr>
                    <w:rPr>
                      <w:rFonts w:hint="default" w:ascii="Times New Roman" w:hAnsi="Times New Roman" w:eastAsia="MS Mincho" w:cs="MS Mincho"/>
                      <w:i w:val="0"/>
                      <w:sz w:val="24"/>
                    </w:rPr>
                    <m:t>ℤ</m:t>
                  </m:r>
                  <m:ctrlPr>
                    <w:rPr>
                      <w:rFonts w:hint="default" w:ascii="Cambria Math" w:hAnsi="Cambria Math" w:cs="Times New Roman"/>
                      <w:sz w:val="24"/>
                    </w:rPr>
                  </m:ctrlPr>
                </m:e>
                <m:sub>
                  <m:r>
                    <m:rPr>
                      <m:nor/>
                      <m:sty m:val="p"/>
                    </m:rPr>
                    <w:rPr>
                      <w:rFonts w:hint="default" w:ascii="Times New Roman" w:hAnsi="Times New Roman" w:cs="Times New Roman"/>
                      <w:i w:val="0"/>
                      <w:sz w:val="24"/>
                    </w:rPr>
                    <m:t>≥0</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r>
                <m:rPr>
                  <m:sty m:val="p"/>
                </m:rPr>
                <w:rPr>
                  <w:rFonts w:hint="default" w:ascii="Cambria Math" w:hAnsi="Cambria Math" w:cs="Cambria Math"/>
                  <w:sz w:val="24"/>
                </w:rPr>
                <m:t>#</m:t>
              </m:r>
              <m:r>
                <m:rPr>
                  <m:sty m:val="p"/>
                </m:rPr>
                <w:rPr>
                  <w:rFonts w:hint="default" w:ascii="Cambria Math" w:hAnsi="Cambria Math" w:cs="Cambria Math"/>
                  <w:sz w:val="24"/>
                  <w:lang w:val="en-US" w:eastAsia="zh-CN"/>
                </w:rPr>
                <m:t>(2−1)</m:t>
              </m:r>
              <m:ctrlPr>
                <m:rPr/>
                <w:rPr>
                  <w:rFonts w:hint="default" w:ascii="Times New Roman" w:hAnsi="Times New Roman" w:cs="Times New Roman"/>
                  <w:i w:val="0"/>
                  <w:sz w:val="24"/>
                </w:rPr>
              </m:ctrlPr>
            </m:e>
          </m:eqArr>
        </m:oMath>
      </m:oMathPara>
    </w:p>
    <w:p w14:paraId="786E817C">
      <w:pPr>
        <w:bidi w:val="0"/>
      </w:pPr>
      <w:r>
        <w:t xml:space="preserve">若小区半径为 </w:t>
      </w:r>
      <m:oMath>
        <m:r>
          <m:rPr>
            <m:nor/>
          </m:rPr>
          <w:rPr>
            <w:rFonts w:hint="default" w:ascii="Times New Roman" w:hAnsi="Times New Roman" w:cs="Times New Roman"/>
            <w:i/>
            <w:sz w:val="24"/>
          </w:rPr>
          <m:t>R</m:t>
        </m:r>
      </m:oMath>
      <w:r>
        <w:t xml:space="preserve">，同频小区中心距为 </w:t>
      </w:r>
      <m:oMath>
        <m:r>
          <m:rPr>
            <m:nor/>
          </m:rPr>
          <w:rPr>
            <w:rFonts w:hint="default" w:ascii="Times New Roman" w:hAnsi="Times New Roman" w:cs="Times New Roman"/>
            <w:i/>
            <w:sz w:val="24"/>
          </w:rPr>
          <m:t>D</m:t>
        </m:r>
      </m:oMath>
      <w:r>
        <w:t>，则经典复用几何关系可写为</w:t>
      </w:r>
    </w:p>
    <w:p w14:paraId="30573BA0">
      <w:pPr>
        <w:bidi w:val="0"/>
        <w:rPr>
          <w:rFonts w:hint="default"/>
        </w:rPr>
      </w:pPr>
      <m:oMathPara>
        <m:oMath>
          <m:eqArr>
            <m:eqArrPr>
              <m:maxDist m:val="1"/>
              <m:ctrlPr>
                <m:rPr/>
                <w:rPr>
                  <w:rFonts w:hint="default" w:ascii="Times New Roman" w:hAnsi="Times New Roman" w:cs="Times New Roman"/>
                  <w:i w:val="0"/>
                  <w:sz w:val="24"/>
                </w:rPr>
              </m:ctrlPr>
            </m:eqArrPr>
            <m:e>
              <m:f>
                <m:fPr>
                  <m:ctrlPr>
                    <w:rPr>
                      <w:rFonts w:hint="default" w:ascii="Cambria Math" w:hAnsi="Cambria Math" w:cs="Times New Roman"/>
                      <w:sz w:val="24"/>
                    </w:rPr>
                  </m:ctrlPr>
                </m:fPr>
                <m:num>
                  <m:r>
                    <m:rPr>
                      <m:nor/>
                    </m:rPr>
                    <w:rPr>
                      <w:rFonts w:hint="default" w:ascii="Times New Roman" w:hAnsi="Times New Roman" w:cs="Times New Roman"/>
                      <w:i/>
                      <w:sz w:val="24"/>
                    </w:rPr>
                    <m:t>D</m:t>
                  </m:r>
                  <m:ctrlPr>
                    <w:rPr>
                      <w:rFonts w:hint="default" w:ascii="Cambria Math" w:hAnsi="Cambria Math" w:cs="Times New Roman"/>
                      <w:sz w:val="24"/>
                    </w:rPr>
                  </m:ctrlPr>
                </m:num>
                <m:den>
                  <m:r>
                    <m:rPr>
                      <m:nor/>
                    </m:rPr>
                    <w:rPr>
                      <w:rFonts w:hint="default" w:ascii="Times New Roman" w:hAnsi="Times New Roman" w:cs="Times New Roman"/>
                      <w:i/>
                      <w:sz w:val="24"/>
                    </w:rPr>
                    <m:t>R</m:t>
                  </m:r>
                  <m:ctrlPr>
                    <w:rPr>
                      <w:rFonts w:hint="default" w:ascii="Cambria Math" w:hAnsi="Cambria Math" w:cs="Times New Roman"/>
                      <w:sz w:val="24"/>
                    </w:rPr>
                  </m:ctrlPr>
                </m:den>
              </m:f>
              <m:r>
                <m:rPr>
                  <m:nor/>
                  <m:sty m:val="p"/>
                </m:rPr>
                <w:rPr>
                  <w:rFonts w:hint="default" w:ascii="Times New Roman" w:hAnsi="Times New Roman" w:cs="Times New Roman"/>
                  <w:i w:val="0"/>
                  <w:sz w:val="24"/>
                </w:rPr>
                <m:t>=</m:t>
              </m:r>
              <m:rad>
                <m:radPr>
                  <m:degHide m:val="1"/>
                  <m:ctrlPr>
                    <w:rPr>
                      <w:rFonts w:hint="default" w:ascii="Cambria Math" w:hAnsi="Cambria Math" w:cs="Times New Roman"/>
                      <w:sz w:val="24"/>
                    </w:rPr>
                  </m:ctrlPr>
                </m:radPr>
                <m:deg>
                  <m:ctrlPr>
                    <w:rPr>
                      <w:rFonts w:hint="default" w:ascii="Cambria Math" w:hAnsi="Cambria Math" w:cs="Times New Roman"/>
                      <w:sz w:val="24"/>
                    </w:rPr>
                  </m:ctrlPr>
                </m:deg>
                <m:e>
                  <m:r>
                    <m:rPr>
                      <m:nor/>
                      <m:sty m:val="p"/>
                    </m:rPr>
                    <w:rPr>
                      <w:rFonts w:hint="default" w:ascii="Times New Roman" w:hAnsi="Times New Roman" w:cs="Times New Roman"/>
                      <w:i w:val="0"/>
                      <w:sz w:val="24"/>
                    </w:rPr>
                    <m:t>3</m:t>
                  </m:r>
                  <m:r>
                    <m:rPr>
                      <m:nor/>
                    </m:rPr>
                    <w:rPr>
                      <w:rFonts w:hint="default" w:ascii="Times New Roman" w:hAnsi="Times New Roman" w:cs="Times New Roman"/>
                      <w:i/>
                      <w:sz w:val="24"/>
                    </w:rPr>
                    <m:t>N</m:t>
                  </m:r>
                  <m:ctrlPr>
                    <w:rPr>
                      <w:rFonts w:hint="default" w:ascii="Cambria Math" w:hAnsi="Cambria Math" w:cs="Times New Roman"/>
                      <w:sz w:val="24"/>
                    </w:rPr>
                  </m:ctrlPr>
                </m:e>
              </m:rad>
              <m:r>
                <m:rPr>
                  <m:nor/>
                  <m:sty m:val="p"/>
                </m:rPr>
                <w:rPr>
                  <w:rFonts w:hint="default" w:ascii="Times New Roman" w:hAnsi="Times New Roman" w:cs="Times New Roman"/>
                  <w:i w:val="0"/>
                  <w:sz w:val="24"/>
                </w:rPr>
                <m:t>.</m:t>
              </m:r>
              <m:r>
                <m:rPr>
                  <m:sty m:val="p"/>
                </m:rPr>
                <w:rPr>
                  <w:rFonts w:hint="default" w:ascii="Cambria Math" w:hAnsi="Cambria Math" w:cs="Cambria Math"/>
                  <w:sz w:val="24"/>
                </w:rPr>
                <m:t>#</m:t>
              </m:r>
              <m:r>
                <m:rPr>
                  <m:sty m:val="p"/>
                </m:rPr>
                <w:rPr>
                  <w:rFonts w:hint="default" w:ascii="Cambria Math" w:hAnsi="Cambria Math" w:cs="Cambria Math"/>
                  <w:sz w:val="24"/>
                  <w:lang w:val="en-US" w:eastAsia="zh-CN"/>
                </w:rPr>
                <m:t>(2−2)</m:t>
              </m:r>
              <m:ctrlPr>
                <m:rPr/>
                <w:rPr>
                  <w:rFonts w:hint="default" w:ascii="Times New Roman" w:hAnsi="Times New Roman" w:cs="Times New Roman"/>
                  <w:i w:val="0"/>
                  <w:sz w:val="24"/>
                </w:rPr>
              </m:ctrlPr>
            </m:e>
          </m:eqArr>
        </m:oMath>
      </m:oMathPara>
    </w:p>
    <w:p w14:paraId="6E38BCB2">
      <w:pPr>
        <w:bidi w:val="0"/>
      </w:pPr>
      <w:r>
        <w:t>式（2</w:t>
      </w:r>
      <w:r>
        <w:rPr>
          <w:rFonts w:hint="eastAsia"/>
          <w:lang w:val="en-US" w:eastAsia="zh-CN"/>
        </w:rPr>
        <w:t>-2</w:t>
      </w:r>
      <w:r>
        <w:t>）说明，增大复用因子会直接增大同频基站之间的空间间隔，因此理论上能够降低边缘用户所承受的同频干扰。若暂时忽略天线方向性、阴影衰落、小尺度衰落与热噪声，仅考虑距离相关的大尺度路径损耗，则接收功率近似满足</w:t>
      </w:r>
    </w:p>
    <w:p w14:paraId="25E19331">
      <w:pPr>
        <w:bidi w:val="0"/>
        <w:rPr>
          <w:rFonts w:hint="default"/>
        </w:rPr>
      </w:pPr>
      <m:oMathPara>
        <m:oMath>
          <m:eqArr>
            <m:eqArrPr>
              <m:maxDist m:val="1"/>
              <m:ctrlPr>
                <m:rPr/>
                <w:rPr>
                  <w:rFonts w:hint="default" w:ascii="Times New Roman" w:hAnsi="Times New Roman" w:cs="Times New Roman"/>
                  <w:i w:val="0"/>
                  <w:sz w:val="24"/>
                </w:rPr>
              </m:ctrlPr>
            </m:eqArrPr>
            <m:e>
              <m:sSub>
                <m:sSubPr>
                  <m:ctrlPr>
                    <w:rPr>
                      <w:rFonts w:hint="default" w:ascii="Cambria Math" w:hAnsi="Cambria Math" w:cs="Times New Roman"/>
                      <w:sz w:val="24"/>
                    </w:rPr>
                  </m:ctrlPr>
                </m:sSubPr>
                <m:e>
                  <m:r>
                    <m:rPr>
                      <m:nor/>
                    </m:rPr>
                    <w:rPr>
                      <w:rFonts w:hint="default" w:ascii="Times New Roman" w:hAnsi="Times New Roman" w:cs="Times New Roman"/>
                      <w:i/>
                      <w:sz w:val="24"/>
                    </w:rPr>
                    <m:t>P</m:t>
                  </m:r>
                  <m:ctrlPr>
                    <w:rPr>
                      <w:rFonts w:hint="default" w:ascii="Cambria Math" w:hAnsi="Cambria Math" w:cs="Times New Roman"/>
                      <w:sz w:val="24"/>
                    </w:rPr>
                  </m:ctrlPr>
                </m:e>
                <m:sub>
                  <m:r>
                    <m:rPr>
                      <m:nor/>
                    </m:rPr>
                    <w:rPr>
                      <w:rFonts w:hint="default" w:ascii="Times New Roman" w:hAnsi="Times New Roman" w:cs="Times New Roman"/>
                      <w:i/>
                      <w:sz w:val="24"/>
                    </w:rPr>
                    <m:t>r</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d</m:t>
              </m:r>
              <m:r>
                <m:rPr>
                  <m:nor/>
                  <m:sty m:val="p"/>
                </m:rPr>
                <w:rPr>
                  <w:rFonts w:hint="default" w:ascii="Times New Roman" w:hAnsi="Times New Roman" w:cs="Times New Roman"/>
                  <w:i w:val="0"/>
                  <w:sz w:val="24"/>
                </w:rPr>
                <m:t>)∝</m:t>
              </m:r>
              <m:sSup>
                <m:sSupPr>
                  <m:ctrlPr>
                    <w:rPr>
                      <w:rFonts w:hint="default" w:ascii="Cambria Math" w:hAnsi="Cambria Math" w:cs="Times New Roman"/>
                      <w:sz w:val="24"/>
                    </w:rPr>
                  </m:ctrlPr>
                </m:sSupPr>
                <m:e>
                  <m:r>
                    <m:rPr>
                      <m:nor/>
                    </m:rPr>
                    <w:rPr>
                      <w:rFonts w:hint="default" w:ascii="Times New Roman" w:hAnsi="Times New Roman" w:cs="Times New Roman"/>
                      <w:i/>
                      <w:sz w:val="24"/>
                    </w:rPr>
                    <m:t>d</m:t>
                  </m:r>
                  <m:ctrlPr>
                    <w:rPr>
                      <w:rFonts w:hint="default" w:ascii="Cambria Math" w:hAnsi="Cambria Math" w:cs="Times New Roman"/>
                      <w:sz w:val="24"/>
                    </w:rPr>
                  </m:ctrlPr>
                </m:e>
                <m:sup>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n</m:t>
                  </m:r>
                  <m:ctrlPr>
                    <w:rPr>
                      <w:rFonts w:hint="default" w:ascii="Cambria Math" w:hAnsi="Cambria Math" w:cs="Times New Roman"/>
                      <w:sz w:val="24"/>
                    </w:rPr>
                  </m:ctrlPr>
                </m:sup>
              </m:sSup>
              <m:r>
                <m:rPr>
                  <m:nor/>
                  <m:sty m:val="p"/>
                </m:rPr>
                <w:rPr>
                  <w:rFonts w:hint="default" w:ascii="Times New Roman" w:hAnsi="Times New Roman" w:cs="Times New Roman"/>
                  <w:i w:val="0"/>
                  <w:sz w:val="24"/>
                </w:rPr>
                <m:t>,</m:t>
              </m:r>
              <m:r>
                <m:rPr>
                  <m:sty m:val="p"/>
                </m:rPr>
                <w:rPr>
                  <w:rFonts w:hint="default" w:ascii="Cambria Math" w:hAnsi="Cambria Math" w:cs="Cambria Math"/>
                  <w:sz w:val="24"/>
                </w:rPr>
                <m:t>#</m:t>
              </m:r>
              <m:r>
                <m:rPr>
                  <m:sty m:val="p"/>
                </m:rPr>
                <w:rPr>
                  <w:rFonts w:hint="default" w:ascii="Cambria Math" w:hAnsi="Cambria Math" w:cs="Cambria Math"/>
                  <w:sz w:val="24"/>
                  <w:lang w:val="en-US" w:eastAsia="zh-CN"/>
                </w:rPr>
                <m:t>(2−3)</m:t>
              </m:r>
              <m:ctrlPr>
                <m:rPr/>
                <w:rPr>
                  <w:rFonts w:hint="default" w:ascii="Times New Roman" w:hAnsi="Times New Roman" w:cs="Times New Roman"/>
                  <w:i w:val="0"/>
                  <w:sz w:val="24"/>
                </w:rPr>
              </m:ctrlPr>
            </m:e>
          </m:eqArr>
        </m:oMath>
      </m:oMathPara>
    </w:p>
    <w:p w14:paraId="48ADB69A">
      <w:pPr>
        <w:bidi w:val="0"/>
      </w:pPr>
      <w:r>
        <w:t xml:space="preserve">其中 </w:t>
      </w:r>
      <m:oMath>
        <m:r>
          <m:rPr>
            <m:nor/>
          </m:rPr>
          <w:rPr>
            <w:rFonts w:hint="default" w:ascii="Times New Roman" w:hAnsi="Times New Roman" w:cs="Times New Roman"/>
            <w:i/>
            <w:sz w:val="24"/>
          </w:rPr>
          <m:t>d</m:t>
        </m:r>
      </m:oMath>
      <w:r>
        <w:t xml:space="preserve"> 为传播距离，</w:t>
      </w:r>
      <m:oMath>
        <m:r>
          <m:rPr>
            <m:nor/>
          </m:rPr>
          <w:rPr>
            <w:rFonts w:hint="default" w:ascii="Times New Roman" w:hAnsi="Times New Roman" w:cs="Times New Roman"/>
            <w:i/>
            <w:sz w:val="24"/>
          </w:rPr>
          <m:t>n</m:t>
        </m:r>
      </m:oMath>
      <w:r>
        <w:t xml:space="preserve"> 为路径损耗指数。对经典边缘用户场景，只考虑第一圈 6 个主要同频干扰小区时，可得到解析边缘 SIR</w:t>
      </w:r>
    </w:p>
    <w:p w14:paraId="40C31CB5">
      <w:pPr>
        <w:bidi w:val="0"/>
        <w:rPr>
          <w:rFonts w:hint="default"/>
        </w:rPr>
      </w:pPr>
      <m:oMathPara>
        <m:oMath>
          <m:eqArr>
            <m:eqArrPr>
              <m:maxDist m:val="1"/>
              <m:ctrlPr>
                <m:rPr/>
                <w:rPr>
                  <w:rFonts w:hint="default" w:ascii="Times New Roman" w:hAnsi="Times New Roman" w:cs="Times New Roman"/>
                  <w:i w:val="0"/>
                  <w:sz w:val="24"/>
                </w:rPr>
              </m:ctrlPr>
            </m:eqArrPr>
            <m:e>
              <m:sSub>
                <m:sSubPr>
                  <m:ctrlPr>
                    <w:rPr>
                      <w:rFonts w:hint="default" w:ascii="Cambria Math" w:hAnsi="Cambria Math" w:cs="Times New Roman"/>
                      <w:sz w:val="24"/>
                    </w:rPr>
                  </m:ctrlPr>
                </m:sSubPr>
                <m:e>
                  <m:r>
                    <m:rPr>
                      <m:nor/>
                      <m:sty m:val="p"/>
                    </m:rPr>
                    <w:rPr>
                      <w:rFonts w:hint="default" w:ascii="Times New Roman" w:hAnsi="Times New Roman" w:cs="Times New Roman"/>
                      <w:sz w:val="24"/>
                    </w:rPr>
                    <m:t>SIR</m:t>
                  </m:r>
                  <m:ctrlPr>
                    <w:rPr>
                      <w:rFonts w:hint="default" w:ascii="Cambria Math" w:hAnsi="Cambria Math" w:cs="Times New Roman"/>
                      <w:sz w:val="24"/>
                    </w:rPr>
                  </m:ctrlPr>
                </m:e>
                <m:sub>
                  <m:r>
                    <m:rPr>
                      <m:nor/>
                      <m:sty m:val="p"/>
                    </m:rPr>
                    <w:rPr>
                      <w:rFonts w:hint="default" w:ascii="Times New Roman" w:hAnsi="Times New Roman" w:cs="Times New Roman"/>
                      <w:sz w:val="24"/>
                    </w:rPr>
                    <m:t>edge</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f>
                <m:fPr>
                  <m:ctrlPr>
                    <w:rPr>
                      <w:rFonts w:hint="default" w:ascii="Cambria Math" w:hAnsi="Cambria Math" w:cs="Times New Roman"/>
                      <w:sz w:val="24"/>
                    </w:rPr>
                  </m:ctrlPr>
                </m:fPr>
                <m:num>
                  <m:r>
                    <m:rPr>
                      <m:nor/>
                      <m:sty m:val="p"/>
                    </m:rPr>
                    <w:rPr>
                      <w:rFonts w:hint="default" w:ascii="Times New Roman" w:hAnsi="Times New Roman" w:cs="Times New Roman"/>
                      <w:i w:val="0"/>
                      <w:sz w:val="24"/>
                    </w:rPr>
                    <m:t>1</m:t>
                  </m:r>
                  <m:ctrlPr>
                    <w:rPr>
                      <w:rFonts w:hint="default" w:ascii="Cambria Math" w:hAnsi="Cambria Math" w:cs="Times New Roman"/>
                      <w:sz w:val="24"/>
                    </w:rPr>
                  </m:ctrlPr>
                </m:num>
                <m:den>
                  <m:r>
                    <m:rPr>
                      <m:nor/>
                      <m:sty m:val="p"/>
                    </m:rPr>
                    <w:rPr>
                      <w:rFonts w:hint="default" w:ascii="Times New Roman" w:hAnsi="Times New Roman" w:cs="Times New Roman"/>
                      <w:i w:val="0"/>
                      <w:sz w:val="24"/>
                    </w:rPr>
                    <m:t>6</m:t>
                  </m:r>
                  <m:ctrlPr>
                    <w:rPr>
                      <w:rFonts w:hint="default" w:ascii="Cambria Math" w:hAnsi="Cambria Math" w:cs="Times New Roman"/>
                      <w:sz w:val="24"/>
                    </w:rPr>
                  </m:ctrlPr>
                </m:den>
              </m:f>
              <m:sSup>
                <m:sSupPr>
                  <m:ctrlPr>
                    <w:rPr>
                      <w:rFonts w:hint="default" w:ascii="Cambria Math" w:hAnsi="Cambria Math" w:cs="Times New Roman"/>
                      <w:sz w:val="24"/>
                    </w:rPr>
                  </m:ctrlPr>
                </m:sSupPr>
                <m:e>
                  <m:d>
                    <m:dPr>
                      <m:ctrlPr>
                        <w:rPr>
                          <w:rFonts w:hint="default" w:ascii="Cambria Math" w:hAnsi="Cambria Math" w:cs="Times New Roman"/>
                          <w:sz w:val="24"/>
                        </w:rPr>
                      </m:ctrlPr>
                    </m:dPr>
                    <m:e>
                      <m:f>
                        <m:fPr>
                          <m:ctrlPr>
                            <w:rPr>
                              <w:rFonts w:hint="default" w:ascii="Cambria Math" w:hAnsi="Cambria Math" w:cs="Times New Roman"/>
                              <w:sz w:val="24"/>
                            </w:rPr>
                          </m:ctrlPr>
                        </m:fPr>
                        <m:num>
                          <m:r>
                            <m:rPr>
                              <m:nor/>
                            </m:rPr>
                            <w:rPr>
                              <w:rFonts w:hint="default" w:ascii="Times New Roman" w:hAnsi="Times New Roman" w:cs="Times New Roman"/>
                              <w:i/>
                              <w:sz w:val="24"/>
                            </w:rPr>
                            <m:t>D</m:t>
                          </m:r>
                          <m:ctrlPr>
                            <w:rPr>
                              <w:rFonts w:hint="default" w:ascii="Cambria Math" w:hAnsi="Cambria Math" w:cs="Times New Roman"/>
                              <w:sz w:val="24"/>
                            </w:rPr>
                          </m:ctrlPr>
                        </m:num>
                        <m:den>
                          <m:r>
                            <m:rPr>
                              <m:nor/>
                            </m:rPr>
                            <w:rPr>
                              <w:rFonts w:hint="default" w:ascii="Times New Roman" w:hAnsi="Times New Roman" w:cs="Times New Roman"/>
                              <w:i/>
                              <w:sz w:val="24"/>
                            </w:rPr>
                            <m:t>R</m:t>
                          </m:r>
                          <m:ctrlPr>
                            <w:rPr>
                              <w:rFonts w:hint="default" w:ascii="Cambria Math" w:hAnsi="Cambria Math" w:cs="Times New Roman"/>
                              <w:sz w:val="24"/>
                            </w:rPr>
                          </m:ctrlPr>
                        </m:den>
                      </m:f>
                      <m:ctrlPr>
                        <w:rPr>
                          <w:rFonts w:hint="default" w:ascii="Cambria Math" w:hAnsi="Cambria Math" w:cs="Times New Roman"/>
                          <w:sz w:val="24"/>
                        </w:rPr>
                      </m:ctrlPr>
                    </m:e>
                  </m:d>
                  <m:ctrlPr>
                    <w:rPr>
                      <w:rFonts w:hint="default" w:ascii="Cambria Math" w:hAnsi="Cambria Math" w:cs="Times New Roman"/>
                      <w:sz w:val="24"/>
                    </w:rPr>
                  </m:ctrlPr>
                </m:e>
                <m:sup>
                  <m:r>
                    <m:rPr>
                      <m:nor/>
                    </m:rPr>
                    <w:rPr>
                      <w:rFonts w:hint="default" w:ascii="Times New Roman" w:hAnsi="Times New Roman" w:cs="Times New Roman"/>
                      <w:i/>
                      <w:sz w:val="24"/>
                    </w:rPr>
                    <m:t>n</m:t>
                  </m:r>
                  <m:ctrlPr>
                    <w:rPr>
                      <w:rFonts w:hint="default" w:ascii="Cambria Math" w:hAnsi="Cambria Math" w:cs="Times New Roman"/>
                      <w:sz w:val="24"/>
                    </w:rPr>
                  </m:ctrlPr>
                </m:sup>
              </m:sSup>
              <m:r>
                <m:rPr>
                  <m:nor/>
                  <m:sty m:val="p"/>
                </m:rPr>
                <w:rPr>
                  <w:rFonts w:hint="default" w:ascii="Times New Roman" w:hAnsi="Times New Roman" w:cs="Times New Roman"/>
                  <w:i w:val="0"/>
                  <w:sz w:val="24"/>
                </w:rPr>
                <m:t>=</m:t>
              </m:r>
              <m:f>
                <m:fPr>
                  <m:ctrlPr>
                    <w:rPr>
                      <w:rFonts w:hint="default" w:ascii="Cambria Math" w:hAnsi="Cambria Math" w:cs="Times New Roman"/>
                      <w:sz w:val="24"/>
                    </w:rPr>
                  </m:ctrlPr>
                </m:fPr>
                <m:num>
                  <m:r>
                    <m:rPr>
                      <m:nor/>
                      <m:sty m:val="p"/>
                    </m:rPr>
                    <w:rPr>
                      <w:rFonts w:hint="default" w:ascii="Times New Roman" w:hAnsi="Times New Roman" w:cs="Times New Roman"/>
                      <w:i w:val="0"/>
                      <w:sz w:val="24"/>
                    </w:rPr>
                    <m:t>(3</m:t>
                  </m:r>
                  <m:r>
                    <m:rPr>
                      <m:nor/>
                    </m:rPr>
                    <w:rPr>
                      <w:rFonts w:hint="default" w:ascii="Times New Roman" w:hAnsi="Times New Roman" w:cs="Times New Roman"/>
                      <w:i/>
                      <w:sz w:val="24"/>
                    </w:rPr>
                    <m:t>N</m:t>
                  </m:r>
                  <m:sSup>
                    <m:sSupPr>
                      <m:ctrlPr>
                        <w:rPr>
                          <w:rFonts w:hint="default" w:ascii="Cambria Math" w:hAnsi="Cambria Math" w:cs="Times New Roman"/>
                          <w:sz w:val="24"/>
                        </w:rPr>
                      </m:ctrlPr>
                    </m:sSupPr>
                    <m:e>
                      <m:r>
                        <m:rPr>
                          <m:nor/>
                          <m:sty m:val="p"/>
                        </m:rPr>
                        <w:rPr>
                          <w:rFonts w:hint="default" w:ascii="Times New Roman" w:hAnsi="Times New Roman" w:cs="Times New Roman"/>
                          <w:i w:val="0"/>
                          <w:sz w:val="24"/>
                        </w:rPr>
                        <m:t>)</m:t>
                      </m:r>
                      <m:ctrlPr>
                        <w:rPr>
                          <w:rFonts w:hint="default" w:ascii="Cambria Math" w:hAnsi="Cambria Math" w:cs="Times New Roman"/>
                          <w:sz w:val="24"/>
                        </w:rPr>
                      </m:ctrlPr>
                    </m:e>
                    <m:sup>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/2</m:t>
                      </m:r>
                      <m:ctrlPr>
                        <w:rPr>
                          <w:rFonts w:hint="default" w:ascii="Cambria Math" w:hAnsi="Cambria Math" w:cs="Times New Roman"/>
                          <w:sz w:val="24"/>
                        </w:rPr>
                      </m:ctrlPr>
                    </m:sup>
                  </m:sSup>
                  <m:ctrlPr>
                    <w:rPr>
                      <w:rFonts w:hint="default" w:ascii="Cambria Math" w:hAnsi="Cambria Math" w:cs="Times New Roman"/>
                      <w:sz w:val="24"/>
                    </w:rPr>
                  </m:ctrlPr>
                </m:num>
                <m:den>
                  <m:r>
                    <m:rPr>
                      <m:nor/>
                      <m:sty m:val="p"/>
                    </m:rPr>
                    <w:rPr>
                      <w:rFonts w:hint="default" w:ascii="Times New Roman" w:hAnsi="Times New Roman" w:cs="Times New Roman"/>
                      <w:i w:val="0"/>
                      <w:sz w:val="24"/>
                    </w:rPr>
                    <m:t>6</m:t>
                  </m:r>
                  <m:ctrlPr>
                    <w:rPr>
                      <w:rFonts w:hint="default" w:ascii="Cambria Math" w:hAnsi="Cambria Math" w:cs="Times New Roman"/>
                      <w:sz w:val="24"/>
                    </w:rPr>
                  </m:ctrlPr>
                </m:den>
              </m:f>
              <m:r>
                <m:rPr>
                  <m:nor/>
                  <m:sty m:val="p"/>
                </m:rPr>
                <w:rPr>
                  <w:rFonts w:hint="default" w:ascii="Times New Roman" w:hAnsi="Times New Roman" w:cs="Times New Roman"/>
                  <w:i w:val="0"/>
                  <w:sz w:val="24"/>
                </w:rPr>
                <m:t>.</m:t>
              </m:r>
              <m:r>
                <m:rPr>
                  <m:sty m:val="p"/>
                </m:rPr>
                <w:rPr>
                  <w:rFonts w:hint="default" w:ascii="Cambria Math" w:hAnsi="Cambria Math" w:cs="Cambria Math"/>
                  <w:sz w:val="24"/>
                </w:rPr>
                <m:t>#</m:t>
              </m:r>
              <m:r>
                <m:rPr>
                  <m:sty m:val="p"/>
                </m:rPr>
                <w:rPr>
                  <w:rFonts w:hint="default" w:ascii="Cambria Math" w:hAnsi="Cambria Math" w:cs="Cambria Math"/>
                  <w:sz w:val="24"/>
                  <w:lang w:val="en-US" w:eastAsia="zh-CN"/>
                </w:rPr>
                <m:t>(2−4)</m:t>
              </m:r>
              <m:ctrlPr>
                <m:rPr/>
                <w:rPr>
                  <w:rFonts w:hint="default" w:ascii="Times New Roman" w:hAnsi="Times New Roman" w:cs="Times New Roman"/>
                  <w:i w:val="0"/>
                  <w:sz w:val="24"/>
                </w:rPr>
              </m:ctrlPr>
            </m:e>
          </m:eqArr>
        </m:oMath>
      </m:oMathPara>
    </w:p>
    <w:p w14:paraId="04876BE8">
      <w:pPr>
        <w:bidi w:val="0"/>
      </w:pPr>
      <w:r>
        <w:t>式（</w:t>
      </w:r>
      <w:r>
        <w:rPr>
          <w:rFonts w:hint="eastAsia"/>
          <w:lang w:val="en-US" w:eastAsia="zh-CN"/>
        </w:rPr>
        <w:t>2-</w:t>
      </w:r>
      <w:r>
        <w:t>4）提供了一个明确的课程理论基线：在其他条件不变时，</w:t>
      </w:r>
      <m:oMath>
        <m:r>
          <m:rPr>
            <m:nor/>
          </m:rPr>
          <w:rPr>
            <w:rFonts w:hint="default" w:ascii="Times New Roman" w:hAnsi="Times New Roman" w:cs="Times New Roman"/>
            <w:i/>
            <w:sz w:val="24"/>
          </w:rPr>
          <m:t>N</m:t>
        </m:r>
      </m:oMath>
      <w:r>
        <w:t xml:space="preserve"> 越大，边缘用户理论 SIR 越高。本文后续所有更复杂的静态仿真和动态实验，均以这一理论趋势作为对照，用于判断更真实模型中出现的性能变化是否仍具有清晰的物理解释。</w:t>
      </w:r>
    </w:p>
    <w:p w14:paraId="2E0738F2">
      <w:pPr>
        <w:pStyle w:val="4"/>
        <w:bidi w:val="0"/>
      </w:pPr>
      <w:bookmarkStart w:id="6" w:name="_Toc21880"/>
      <w:r>
        <w:t>C. 热噪声、SINR 与绝对功率标定</w:t>
      </w:r>
      <w:bookmarkEnd w:id="6"/>
    </w:p>
    <w:p w14:paraId="24A6315F">
      <w:pPr>
        <w:bidi w:val="0"/>
      </w:pPr>
      <w:r>
        <w:t xml:space="preserve">仅使用 SIR 衡量链路质量，隐含假设系统长期处于典型干扰受限区间。然而当复用因子增大、定向增益提高或部分干扰被抑制时，热噪声会从可忽略项转变为主要约束项。因此，本文在复用因子比较中引入绝对功率标定，并以 SINR 作为系统主指标。设系统带宽为 </w:t>
      </w:r>
      <m:oMath>
        <m:r>
          <m:rPr>
            <m:nor/>
          </m:rPr>
          <w:rPr>
            <w:rFonts w:hint="default" w:ascii="Times New Roman" w:hAnsi="Times New Roman" w:cs="Times New Roman"/>
            <w:i/>
            <w:sz w:val="24"/>
          </w:rPr>
          <m:t>B</m:t>
        </m:r>
      </m:oMath>
      <w:r>
        <w:t xml:space="preserve">，热噪声谱密度为 </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N</m:t>
            </m:r>
            <m:ctrlPr>
              <w:rPr>
                <w:rFonts w:hint="default" w:ascii="Cambria Math" w:hAnsi="Cambria Math" w:cs="Times New Roman"/>
                <w:sz w:val="24"/>
              </w:rPr>
            </m:ctrlPr>
          </m:e>
          <m:sub>
            <m:r>
              <m:rPr>
                <m:nor/>
                <m:sty m:val="p"/>
              </m:rPr>
              <w:rPr>
                <w:rFonts w:hint="default" w:ascii="Times New Roman" w:hAnsi="Times New Roman" w:cs="Times New Roman"/>
                <w:i w:val="0"/>
                <w:sz w:val="24"/>
              </w:rPr>
              <m:t>0</m:t>
            </m:r>
            <m:ctrlPr>
              <w:rPr>
                <w:rFonts w:hint="default" w:ascii="Cambria Math" w:hAnsi="Cambria Math" w:cs="Times New Roman"/>
                <w:sz w:val="24"/>
              </w:rPr>
            </m:ctrlPr>
          </m:sub>
        </m:sSub>
      </m:oMath>
      <w:r>
        <w:t xml:space="preserve">，接收机噪声系数为 </w:t>
      </w:r>
      <m:oMath>
        <m:r>
          <m:rPr>
            <m:nor/>
          </m:rPr>
          <w:rPr>
            <w:rFonts w:hint="default" w:ascii="Times New Roman" w:hAnsi="Times New Roman" w:cs="Times New Roman"/>
            <w:i/>
            <w:sz w:val="24"/>
          </w:rPr>
          <m:t>F</m:t>
        </m:r>
      </m:oMath>
      <w:r>
        <w:t>，则总噪声功率为</w:t>
      </w:r>
    </w:p>
    <w:p w14:paraId="0D0AE294">
      <w:pPr>
        <w:bidi w:val="0"/>
        <w:rPr>
          <w:rFonts w:hint="default"/>
        </w:rPr>
      </w:pPr>
      <m:oMathPara>
        <m:oMath>
          <m:eqArr>
            <m:eqArrPr>
              <m:maxDist m:val="1"/>
              <m:ctrlPr>
                <m:rPr/>
                <w:rPr>
                  <w:rFonts w:hint="default" w:ascii="Times New Roman" w:hAnsi="Times New Roman" w:cs="Times New Roman"/>
                  <w:i w:val="0"/>
                  <w:sz w:val="24"/>
                </w:rPr>
              </m:ctrlPr>
            </m:eqArrPr>
            <m:e>
              <m:sSub>
                <m:sSubPr>
                  <m:ctrlPr>
                    <w:rPr>
                      <w:rFonts w:hint="default" w:ascii="Cambria Math" w:hAnsi="Cambria Math" w:cs="Times New Roman"/>
                      <w:sz w:val="24"/>
                    </w:rPr>
                  </m:ctrlPr>
                </m:sSubPr>
                <m:e>
                  <m:r>
                    <m:rPr>
                      <m:nor/>
                    </m:rPr>
                    <w:rPr>
                      <w:rFonts w:hint="default" w:ascii="Times New Roman" w:hAnsi="Times New Roman" w:cs="Times New Roman"/>
                      <w:i/>
                      <w:sz w:val="24"/>
                    </w:rPr>
                    <m:t>P</m:t>
                  </m:r>
                  <m:ctrlPr>
                    <w:rPr>
                      <w:rFonts w:hint="default" w:ascii="Cambria Math" w:hAnsi="Cambria Math" w:cs="Times New Roman"/>
                      <w:sz w:val="24"/>
                    </w:rPr>
                  </m:ctrlPr>
                </m:e>
                <m:sub>
                  <m:r>
                    <m:rPr>
                      <m:nor/>
                    </m:rPr>
                    <w:rPr>
                      <w:rFonts w:hint="default" w:ascii="Times New Roman" w:hAnsi="Times New Roman" w:cs="Times New Roman"/>
                      <w:i/>
                      <w:sz w:val="24"/>
                    </w:rPr>
                    <m:t>N</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N</m:t>
                  </m:r>
                  <m:ctrlPr>
                    <w:rPr>
                      <w:rFonts w:hint="default" w:ascii="Cambria Math" w:hAnsi="Cambria Math" w:cs="Times New Roman"/>
                      <w:sz w:val="24"/>
                    </w:rPr>
                  </m:ctrlPr>
                </m:e>
                <m:sub>
                  <m:r>
                    <m:rPr>
                      <m:nor/>
                      <m:sty m:val="p"/>
                    </m:rPr>
                    <w:rPr>
                      <w:rFonts w:hint="default" w:ascii="Times New Roman" w:hAnsi="Times New Roman" w:cs="Times New Roman"/>
                      <w:i w:val="0"/>
                      <w:sz w:val="24"/>
                    </w:rPr>
                    <m:t>0</m:t>
                  </m:r>
                  <m:ctrlPr>
                    <w:rPr>
                      <w:rFonts w:hint="default" w:ascii="Cambria Math" w:hAnsi="Cambria Math" w:cs="Times New Roman"/>
                      <w:sz w:val="24"/>
                    </w:rPr>
                  </m:ctrlPr>
                </m:sub>
              </m:sSub>
              <m:r>
                <m:rPr>
                  <m:nor/>
                </m:rPr>
                <w:rPr>
                  <w:rFonts w:hint="default" w:ascii="Times New Roman" w:hAnsi="Times New Roman" w:cs="Times New Roman"/>
                  <w:i/>
                  <w:sz w:val="24"/>
                </w:rPr>
                <m:t>BF</m:t>
              </m:r>
              <m:r>
                <m:rPr>
                  <m:nor/>
                  <m:sty m:val="p"/>
                </m:rPr>
                <w:rPr>
                  <w:rFonts w:hint="default" w:ascii="Times New Roman" w:hAnsi="Times New Roman" w:cs="Times New Roman"/>
                  <w:i w:val="0"/>
                  <w:sz w:val="24"/>
                </w:rPr>
                <m:t>.</m:t>
              </m:r>
              <m:r>
                <m:rPr>
                  <m:sty m:val="p"/>
                </m:rPr>
                <w:rPr>
                  <w:rFonts w:hint="default" w:ascii="Cambria Math" w:hAnsi="Cambria Math" w:cs="Cambria Math"/>
                  <w:sz w:val="24"/>
                </w:rPr>
                <m:t>#</m:t>
              </m:r>
              <m:r>
                <m:rPr>
                  <m:sty m:val="p"/>
                </m:rPr>
                <w:rPr>
                  <w:rFonts w:hint="default" w:ascii="Cambria Math" w:hAnsi="Cambria Math" w:cs="Cambria Math"/>
                  <w:sz w:val="24"/>
                  <w:lang w:val="en-US" w:eastAsia="zh-CN"/>
                </w:rPr>
                <m:t>(2−5)</m:t>
              </m:r>
              <m:ctrlPr>
                <m:rPr/>
                <w:rPr>
                  <w:rFonts w:hint="default" w:ascii="Times New Roman" w:hAnsi="Times New Roman" w:cs="Times New Roman"/>
                  <w:i w:val="0"/>
                  <w:sz w:val="24"/>
                </w:rPr>
              </m:ctrlPr>
            </m:e>
          </m:eqArr>
        </m:oMath>
      </m:oMathPara>
    </w:p>
    <w:p w14:paraId="1CC158BE">
      <w:pPr>
        <w:bidi w:val="0"/>
      </w:pPr>
      <w:r>
        <w:t>本文采用常见的无线接入配置，即热噪声谱密度 -174 dBm/Hz、工作带宽 20 MHz、接收机噪声系数 7 dB，对应总噪声功率约为 -93.99 dBm。于是链路质量定义为</w:t>
      </w:r>
    </w:p>
    <w:p w14:paraId="178F8AAA">
      <w:pPr>
        <w:bidi w:val="0"/>
        <w:rPr>
          <w:rFonts w:hint="default"/>
        </w:rPr>
      </w:pPr>
      <m:oMathPara>
        <m:oMath>
          <m:eqArr>
            <m:eqArrPr>
              <m:maxDist m:val="1"/>
              <m:ctrlPr>
                <m:rPr/>
                <w:rPr>
                  <w:rFonts w:hint="default" w:ascii="Times New Roman" w:hAnsi="Times New Roman" w:cs="Times New Roman"/>
                  <w:i w:val="0"/>
                  <w:sz w:val="24"/>
                </w:rPr>
              </m:ctrlPr>
            </m:eqArrPr>
            <m:e>
              <m:r>
                <m:rPr>
                  <m:nor/>
                  <m:sty m:val="p"/>
                </m:rPr>
                <w:rPr>
                  <w:rFonts w:hint="default" w:ascii="Times New Roman" w:hAnsi="Times New Roman" w:cs="Times New Roman"/>
                  <w:sz w:val="24"/>
                </w:rPr>
                <m:t>SINR</m:t>
              </m:r>
              <m:r>
                <m:rPr>
                  <m:nor/>
                  <m:sty m:val="p"/>
                </m:rPr>
                <w:rPr>
                  <w:rFonts w:hint="default" w:ascii="Times New Roman" w:hAnsi="Times New Roman" w:cs="Times New Roman"/>
                  <w:i w:val="0"/>
                  <w:sz w:val="24"/>
                </w:rPr>
                <m:t>=</m:t>
              </m:r>
              <m:f>
                <m:fPr>
                  <m:ctrlPr>
                    <w:rPr>
                      <w:rFonts w:hint="default" w:ascii="Cambria Math" w:hAnsi="Cambria Math" w:cs="Times New Roman"/>
                      <w:sz w:val="24"/>
                    </w:rPr>
                  </m:ctrlPr>
                </m:fPr>
                <m:num>
                  <m:sSub>
                    <m:sSubPr>
                      <m:ctrlPr>
                        <w:rPr>
                          <w:rFonts w:hint="default" w:ascii="Cambria Math" w:hAnsi="Cambria Math" w:cs="Times New Roman"/>
                          <w:sz w:val="24"/>
                        </w:rPr>
                      </m:ctrlPr>
                    </m:sSubPr>
                    <m:e>
                      <m:r>
                        <m:rPr>
                          <m:nor/>
                        </m:rPr>
                        <w:rPr>
                          <w:rFonts w:hint="default" w:ascii="Times New Roman" w:hAnsi="Times New Roman" w:cs="Times New Roman"/>
                          <w:i/>
                          <w:sz w:val="24"/>
                        </w:rPr>
                        <m:t>P</m:t>
                      </m:r>
                      <m:ctrlPr>
                        <w:rPr>
                          <w:rFonts w:hint="default" w:ascii="Cambria Math" w:hAnsi="Cambria Math" w:cs="Times New Roman"/>
                          <w:sz w:val="24"/>
                        </w:rPr>
                      </m:ctrlPr>
                    </m:e>
                    <m:sub>
                      <m:r>
                        <m:rPr>
                          <m:nor/>
                        </m:rPr>
                        <w:rPr>
                          <w:rFonts w:hint="default" w:ascii="Times New Roman" w:hAnsi="Times New Roman" w:cs="Times New Roman"/>
                          <w:i/>
                          <w:sz w:val="24"/>
                        </w:rPr>
                        <m:t>S</m:t>
                      </m:r>
                      <m:ctrlPr>
                        <w:rPr>
                          <w:rFonts w:hint="default" w:ascii="Cambria Math" w:hAnsi="Cambria Math" w:cs="Times New Roman"/>
                          <w:sz w:val="24"/>
                        </w:rPr>
                      </m:ctrlPr>
                    </m:sub>
                  </m:sSub>
                  <m:ctrlPr>
                    <w:rPr>
                      <w:rFonts w:hint="default" w:ascii="Cambria Math" w:hAnsi="Cambria Math" w:cs="Times New Roman"/>
                      <w:sz w:val="24"/>
                    </w:rPr>
                  </m:ctrlPr>
                </m:num>
                <m:den>
                  <m:sSub>
                    <m:sSubPr>
                      <m:ctrlPr>
                        <w:rPr>
                          <w:rFonts w:hint="default" w:ascii="Cambria Math" w:hAnsi="Cambria Math" w:cs="Times New Roman"/>
                          <w:sz w:val="24"/>
                        </w:rPr>
                      </m:ctrlPr>
                    </m:sSubPr>
                    <m:e>
                      <m:r>
                        <m:rPr>
                          <m:nor/>
                        </m:rPr>
                        <w:rPr>
                          <w:rFonts w:hint="default" w:ascii="Times New Roman" w:hAnsi="Times New Roman" w:cs="Times New Roman"/>
                          <w:i/>
                          <w:sz w:val="24"/>
                        </w:rPr>
                        <m:t>P</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P</m:t>
                      </m:r>
                      <m:ctrlPr>
                        <w:rPr>
                          <w:rFonts w:hint="default" w:ascii="Cambria Math" w:hAnsi="Cambria Math" w:cs="Times New Roman"/>
                          <w:sz w:val="24"/>
                        </w:rPr>
                      </m:ctrlPr>
                    </m:e>
                    <m:sub>
                      <m:r>
                        <m:rPr>
                          <m:nor/>
                        </m:rPr>
                        <w:rPr>
                          <w:rFonts w:hint="default" w:ascii="Times New Roman" w:hAnsi="Times New Roman" w:cs="Times New Roman"/>
                          <w:i/>
                          <w:sz w:val="24"/>
                        </w:rPr>
                        <m:t>N</m:t>
                      </m:r>
                      <m:ctrlPr>
                        <w:rPr>
                          <w:rFonts w:hint="default" w:ascii="Cambria Math" w:hAnsi="Cambria Math" w:cs="Times New Roman"/>
                          <w:sz w:val="24"/>
                        </w:rPr>
                      </m:ctrlPr>
                    </m:sub>
                  </m:sSub>
                  <m:ctrlPr>
                    <w:rPr>
                      <w:rFonts w:hint="default" w:ascii="Cambria Math" w:hAnsi="Cambria Math" w:cs="Times New Roman"/>
                      <w:sz w:val="24"/>
                    </w:rPr>
                  </m:ctrlPr>
                </m:den>
              </m:f>
              <m:r>
                <m:rPr>
                  <m:nor/>
                  <m:sty m:val="p"/>
                </m:rPr>
                <w:rPr>
                  <w:rFonts w:hint="default" w:ascii="Times New Roman" w:hAnsi="Times New Roman" w:cs="Times New Roman"/>
                  <w:i w:val="0"/>
                  <w:sz w:val="24"/>
                </w:rPr>
                <m:t>,</m:t>
              </m:r>
              <m:r>
                <m:rPr>
                  <m:sty m:val="p"/>
                </m:rPr>
                <w:rPr>
                  <w:rFonts w:hint="default" w:ascii="Cambria Math" w:hAnsi="Cambria Math" w:cs="Cambria Math"/>
                  <w:sz w:val="24"/>
                </w:rPr>
                <m:t>#</m:t>
              </m:r>
              <m:r>
                <m:rPr>
                  <m:sty m:val="p"/>
                </m:rPr>
                <w:rPr>
                  <w:rFonts w:hint="default" w:ascii="Cambria Math" w:hAnsi="Cambria Math" w:cs="Cambria Math"/>
                  <w:sz w:val="24"/>
                  <w:lang w:val="en-US" w:eastAsia="zh-CN"/>
                </w:rPr>
                <m:t>(2−6)</m:t>
              </m:r>
              <m:ctrlPr>
                <m:rPr/>
                <w:rPr>
                  <w:rFonts w:hint="default" w:ascii="Times New Roman" w:hAnsi="Times New Roman" w:cs="Times New Roman"/>
                  <w:i w:val="0"/>
                  <w:sz w:val="24"/>
                </w:rPr>
              </m:ctrlPr>
            </m:e>
          </m:eqArr>
        </m:oMath>
      </m:oMathPara>
    </w:p>
    <w:p w14:paraId="5AE93DDD">
      <w:pPr>
        <w:bidi w:val="0"/>
      </w:pPr>
      <w:r>
        <w:t xml:space="preserve">其中 </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P</m:t>
            </m:r>
            <m:ctrlPr>
              <w:rPr>
                <w:rFonts w:hint="default" w:ascii="Cambria Math" w:hAnsi="Cambria Math" w:cs="Times New Roman"/>
                <w:sz w:val="24"/>
              </w:rPr>
            </m:ctrlPr>
          </m:e>
          <m:sub>
            <m:r>
              <m:rPr>
                <m:nor/>
              </m:rPr>
              <w:rPr>
                <w:rFonts w:hint="default" w:ascii="Times New Roman" w:hAnsi="Times New Roman" w:cs="Times New Roman"/>
                <w:i/>
                <w:sz w:val="24"/>
              </w:rPr>
              <m:t>S</m:t>
            </m:r>
            <m:ctrlPr>
              <w:rPr>
                <w:rFonts w:hint="default" w:ascii="Cambria Math" w:hAnsi="Cambria Math" w:cs="Times New Roman"/>
                <w:sz w:val="24"/>
              </w:rPr>
            </m:ctrlPr>
          </m:sub>
        </m:sSub>
      </m:oMath>
      <w:r>
        <w:t xml:space="preserve"> 为服务信号功率，</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P</m:t>
            </m:r>
            <m:ctrlPr>
              <w:rPr>
                <w:rFonts w:hint="default" w:ascii="Cambria Math" w:hAnsi="Cambria Math" w:cs="Times New Roman"/>
                <w:sz w:val="24"/>
              </w:rPr>
            </m:ctrlPr>
          </m:e>
          <m:sub>
            <m:r>
              <m:rPr>
                <m:nor/>
              </m:rPr>
              <w:rPr>
                <w:rFonts w:hint="default" w:ascii="Times New Roman" w:hAnsi="Times New Roman" w:cs="Times New Roman"/>
                <w:i/>
                <w:sz w:val="24"/>
              </w:rPr>
              <m:t>I</m:t>
            </m:r>
            <m:ctrlPr>
              <w:rPr>
                <w:rFonts w:hint="default" w:ascii="Cambria Math" w:hAnsi="Cambria Math" w:cs="Times New Roman"/>
                <w:sz w:val="24"/>
              </w:rPr>
            </m:ctrlPr>
          </m:sub>
        </m:sSub>
      </m:oMath>
      <w:r>
        <w:t xml:space="preserve"> 为总干扰功率，</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P</m:t>
            </m:r>
            <m:ctrlPr>
              <w:rPr>
                <w:rFonts w:hint="default" w:ascii="Cambria Math" w:hAnsi="Cambria Math" w:cs="Times New Roman"/>
                <w:sz w:val="24"/>
              </w:rPr>
            </m:ctrlPr>
          </m:e>
          <m:sub>
            <m:r>
              <m:rPr>
                <m:nor/>
              </m:rPr>
              <w:rPr>
                <w:rFonts w:hint="default" w:ascii="Times New Roman" w:hAnsi="Times New Roman" w:cs="Times New Roman"/>
                <w:i/>
                <w:sz w:val="24"/>
              </w:rPr>
              <m:t>N</m:t>
            </m:r>
            <m:ctrlPr>
              <w:rPr>
                <w:rFonts w:hint="default" w:ascii="Cambria Math" w:hAnsi="Cambria Math" w:cs="Times New Roman"/>
                <w:sz w:val="24"/>
              </w:rPr>
            </m:ctrlPr>
          </m:sub>
        </m:sSub>
      </m:oMath>
      <w:r>
        <w:t xml:space="preserve"> 为噪声功率。该定义使得本文既能保留 SIR 对同频干扰强弱的直观描述，也能通过 SINR 准确反映频率复用增益在现实噪声底下的饱和现象。频谱效率评价则继续遵循 Shannon 形式的容量近似 </w:t>
      </w:r>
      <w:r>
        <w:rPr>
          <w:vertAlign w:val="superscript"/>
        </w:rPr>
        <w:t>[9]</w:t>
      </w:r>
      <w:r>
        <w:t>，但计算时以 SINR 代替理想 SIR。</w:t>
      </w:r>
    </w:p>
    <w:p w14:paraId="094904CC">
      <w:pPr>
        <w:pStyle w:val="4"/>
        <w:bidi w:val="0"/>
      </w:pPr>
      <w:bookmarkStart w:id="7" w:name="_Toc18264"/>
      <w:r>
        <w:t>D. 阴影衰落、小尺度衰落与低空混合 LOS 模型</w:t>
      </w:r>
      <w:bookmarkEnd w:id="7"/>
    </w:p>
    <w:p w14:paraId="70D6D7FD">
      <w:pPr>
        <w:bidi w:val="0"/>
      </w:pPr>
      <w:r>
        <w:t>为避免规则站址</w:t>
      </w:r>
      <w:r>
        <w:rPr>
          <w:rFonts w:hint="eastAsia"/>
          <w:lang w:val="en-US" w:eastAsia="zh-CN"/>
        </w:rPr>
        <w:t>与</w:t>
      </w:r>
      <w:r>
        <w:t xml:space="preserve">单一路径损耗带来的过度理想化结果，本文在仿真中引入三类统计因素。第一类是站址扰动，用于反映实际蜂窝部署与理想六边形结构之间的偏差；第二类是阴影衰落，地面链路采用 6 dB 对数正态阴影标准差，低空 LOS/NLOS 链路分别采用 4 dB 和 7 dB；第三类是小尺度衰落，地面链路和 NLOS 链路采用 </w:t>
      </w:r>
      <m:oMath>
        <m:r>
          <m:rPr>
            <m:nor/>
          </m:rPr>
          <w:rPr>
            <w:rFonts w:hint="default" w:ascii="Times New Roman" w:hAnsi="Times New Roman" w:cs="Times New Roman"/>
            <w:i/>
            <w:sz w:val="24"/>
          </w:rPr>
          <m:t>m</m:t>
        </m:r>
        <m:r>
          <m:rPr>
            <m:nor/>
            <m:sty m:val="p"/>
          </m:rPr>
          <w:rPr>
            <w:rFonts w:hint="default" w:ascii="Times New Roman" w:hAnsi="Times New Roman" w:cs="Times New Roman"/>
            <w:i w:val="0"/>
            <w:sz w:val="24"/>
          </w:rPr>
          <m:t>=1</m:t>
        </m:r>
      </m:oMath>
      <w:r>
        <w:t xml:space="preserve"> 的 Nakagami 衰落，LOS 链路采用 </w:t>
      </w:r>
      <m:oMath>
        <m:r>
          <m:rPr>
            <m:nor/>
          </m:rPr>
          <w:rPr>
            <w:rFonts w:hint="default" w:ascii="Times New Roman" w:hAnsi="Times New Roman" w:cs="Times New Roman"/>
            <w:i/>
            <w:sz w:val="24"/>
          </w:rPr>
          <m:t>m</m:t>
        </m:r>
        <m:r>
          <m:rPr>
            <m:nor/>
            <m:sty m:val="p"/>
          </m:rPr>
          <w:rPr>
            <w:rFonts w:hint="default" w:ascii="Times New Roman" w:hAnsi="Times New Roman" w:cs="Times New Roman"/>
            <w:i w:val="0"/>
            <w:sz w:val="24"/>
          </w:rPr>
          <m:t>=3</m:t>
        </m:r>
      </m:oMath>
      <w:r>
        <w:t>。因此，单条链路的接收功率可表示为</w:t>
      </w:r>
    </w:p>
    <w:p w14:paraId="4795331B">
      <w:pPr>
        <w:bidi w:val="0"/>
        <w:rPr>
          <w:rFonts w:hint="default"/>
        </w:rPr>
      </w:pPr>
      <m:oMathPara>
        <m:oMath>
          <m:eqArr>
            <m:eqArrPr>
              <m:maxDist m:val="1"/>
              <m:rSpRule m:val="1"/>
              <m:ctrlPr>
                <m:rPr/>
                <w:rPr>
                  <w:rFonts w:hint="default" w:ascii="Times New Roman" w:hAnsi="Times New Roman" w:cs="Times New Roman"/>
                  <w:i w:val="0"/>
                  <w:sz w:val="24"/>
                </w:rPr>
              </m:ctrlPr>
            </m:eqArrPr>
            <m:e>
              <m:sSub>
                <m:sSubPr>
                  <m:ctrlPr>
                    <w:rPr>
                      <w:rFonts w:hint="default" w:ascii="Cambria Math" w:hAnsi="Cambria Math" w:cs="Times New Roman"/>
                      <w:sz w:val="24"/>
                    </w:rPr>
                  </m:ctrlPr>
                </m:sSubPr>
                <m:e>
                  <m:r>
                    <m:rPr>
                      <m:nor/>
                    </m:rPr>
                    <w:rPr>
                      <w:rFonts w:hint="default" w:ascii="Times New Roman" w:hAnsi="Times New Roman" w:cs="Times New Roman"/>
                      <w:i/>
                      <w:sz w:val="24"/>
                    </w:rPr>
                    <m:t>P</m:t>
                  </m:r>
                  <m:ctrlPr>
                    <w:rPr>
                      <w:rFonts w:hint="default" w:ascii="Cambria Math" w:hAnsi="Cambria Math" w:cs="Times New Roman"/>
                      <w:sz w:val="24"/>
                    </w:rPr>
                  </m:ctrlPr>
                </m:e>
                <m:sub>
                  <m:r>
                    <m:rPr>
                      <m:nor/>
                    </m:rPr>
                    <w:rPr>
                      <w:rFonts w:hint="default" w:ascii="Times New Roman" w:hAnsi="Times New Roman" w:cs="Times New Roman"/>
                      <w:i/>
                      <w:sz w:val="24"/>
                    </w:rPr>
                    <m:t>r</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P</m:t>
                  </m:r>
                  <m:ctrlPr>
                    <w:rPr>
                      <w:rFonts w:hint="default" w:ascii="Cambria Math" w:hAnsi="Cambria Math" w:cs="Times New Roman"/>
                      <w:sz w:val="24"/>
                    </w:rPr>
                  </m:ctrlPr>
                </m:e>
                <m:sub>
                  <m:r>
                    <m:rPr>
                      <m:nor/>
                      <m:sty m:val="p"/>
                    </m:rPr>
                    <w:rPr>
                      <w:rFonts w:hint="default" w:ascii="Times New Roman" w:hAnsi="Times New Roman" w:cs="Times New Roman"/>
                      <w:sz w:val="24"/>
                    </w:rPr>
                    <m:t>tx</m:t>
                  </m:r>
                  <m:ctrlPr>
                    <w:rPr>
                      <w:rFonts w:hint="default" w:ascii="Cambria Math" w:hAnsi="Cambria Math" w:cs="Times New Roman"/>
                      <w:sz w:val="24"/>
                    </w:rPr>
                  </m:ctrlPr>
                </m:sub>
              </m:sSub>
              <m:sSub>
                <m:sSubPr>
                  <m:ctrlPr>
                    <w:rPr>
                      <w:rFonts w:hint="default" w:ascii="Cambria Math" w:hAnsi="Cambria Math" w:cs="Times New Roman"/>
                      <w:sz w:val="24"/>
                    </w:rPr>
                  </m:ctrlPr>
                </m:sSubPr>
                <m:e>
                  <m:r>
                    <m:rPr>
                      <m:nor/>
                    </m:rPr>
                    <w:rPr>
                      <w:rFonts w:hint="default" w:ascii="Times New Roman" w:hAnsi="Times New Roman" w:cs="Times New Roman"/>
                      <w:i/>
                      <w:sz w:val="24"/>
                    </w:rPr>
                    <m:t>G</m:t>
                  </m:r>
                  <m:ctrlPr>
                    <w:rPr>
                      <w:rFonts w:hint="default" w:ascii="Cambria Math" w:hAnsi="Cambria Math" w:cs="Times New Roman"/>
                      <w:sz w:val="24"/>
                    </w:rPr>
                  </m:ctrlPr>
                </m:e>
                <m:sub>
                  <m:r>
                    <m:rPr>
                      <m:nor/>
                      <m:sty m:val="p"/>
                    </m:rPr>
                    <w:rPr>
                      <w:rFonts w:hint="default" w:ascii="Times New Roman" w:hAnsi="Times New Roman" w:cs="Times New Roman"/>
                      <w:sz w:val="24"/>
                    </w:rPr>
                    <m:t>ant</m:t>
                  </m:r>
                  <m:ctrlPr>
                    <w:rPr>
                      <w:rFonts w:hint="default" w:ascii="Cambria Math" w:hAnsi="Cambria Math" w:cs="Times New Roman"/>
                      <w:sz w:val="24"/>
                    </w:rPr>
                  </m:ctrlPr>
                </m:sub>
              </m:sSub>
              <m:r>
                <m:rPr>
                  <m:nor/>
                </m:rPr>
                <w:rPr>
                  <w:rFonts w:hint="default" w:ascii="Times New Roman" w:hAnsi="Times New Roman" w:cs="Times New Roman"/>
                  <w:i/>
                  <w:sz w:val="24"/>
                </w:rPr>
                <m:t>L</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d</m:t>
              </m:r>
              <m:r>
                <m:rPr>
                  <m:nor/>
                  <m:sty m:val="p"/>
                </m:rPr>
                <w:rPr>
                  <w:rFonts w:hint="default" w:ascii="Times New Roman" w:hAnsi="Times New Roman" w:cs="Times New Roman"/>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nor/>
                      <m:sty m:val="p"/>
                    </m:rPr>
                    <w:rPr>
                      <w:rFonts w:hint="default" w:ascii="Times New Roman" w:hAnsi="Times New Roman" w:cs="Times New Roman"/>
                      <w:sz w:val="24"/>
                    </w:rPr>
                    <m:t>sh</m:t>
                  </m:r>
                  <m:ctrlPr>
                    <w:rPr>
                      <w:rFonts w:hint="default" w:ascii="Cambria Math" w:hAnsi="Cambria Math" w:cs="Times New Roman"/>
                      <w:sz w:val="24"/>
                    </w:rPr>
                  </m:ctrlPr>
                </m:sub>
              </m:sSub>
              <m:sSub>
                <m:sSubPr>
                  <m:ctrlPr>
                    <w:rPr>
                      <w:rFonts w:hint="default" w:ascii="Cambria Math" w:hAnsi="Cambria Math" w:cs="Times New Roman"/>
                      <w:sz w:val="24"/>
                    </w:rPr>
                  </m:ctrlPr>
                </m:sSubPr>
                <m:e>
                  <m:r>
                    <m:rPr>
                      <m:nor/>
                    </m:rPr>
                    <w:rPr>
                      <w:rFonts w:hint="default" w:ascii="Times New Roman" w:hAnsi="Times New Roman" w:cs="Times New Roman"/>
                      <w:i/>
                      <w:sz w:val="24"/>
                    </w:rPr>
                    <m:t>F</m:t>
                  </m:r>
                  <m:ctrlPr>
                    <w:rPr>
                      <w:rFonts w:hint="default" w:ascii="Cambria Math" w:hAnsi="Cambria Math" w:cs="Times New Roman"/>
                      <w:sz w:val="24"/>
                    </w:rPr>
                  </m:ctrlPr>
                </m:e>
                <m:sub>
                  <m:r>
                    <m:rPr>
                      <m:nor/>
                      <m:sty m:val="p"/>
                    </m:rPr>
                    <w:rPr>
                      <w:rFonts w:hint="default" w:ascii="Times New Roman" w:hAnsi="Times New Roman" w:cs="Times New Roman"/>
                      <w:sz w:val="24"/>
                    </w:rPr>
                    <m:t>ss</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r>
                <m:rPr>
                  <m:sty m:val="p"/>
                </m:rPr>
                <w:rPr>
                  <w:rFonts w:hint="default" w:ascii="Cambria Math" w:hAnsi="Cambria Math" w:cs="Cambria Math"/>
                  <w:sz w:val="24"/>
                </w:rPr>
                <m:t>#</m:t>
              </m:r>
              <m:r>
                <m:rPr>
                  <m:sty m:val="p"/>
                </m:rPr>
                <w:rPr>
                  <w:rFonts w:hint="default" w:ascii="Cambria Math" w:hAnsi="Cambria Math" w:cs="Cambria Math"/>
                  <w:sz w:val="24"/>
                  <w:lang w:val="en-US" w:eastAsia="zh-CN"/>
                </w:rPr>
                <m:t>(2−7)</m:t>
              </m:r>
              <m:ctrlPr>
                <m:rPr/>
                <w:rPr>
                  <w:rFonts w:hint="default" w:ascii="Times New Roman" w:hAnsi="Times New Roman" w:cs="Times New Roman"/>
                  <w:i w:val="0"/>
                  <w:sz w:val="24"/>
                </w:rPr>
              </m:ctrlPr>
            </m:e>
          </m:eqArr>
        </m:oMath>
      </m:oMathPara>
    </w:p>
    <w:p w14:paraId="5FA78320">
      <w:pPr>
        <w:bidi w:val="0"/>
      </w:pPr>
      <w:r>
        <w:t xml:space="preserve">其中 </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P</m:t>
            </m:r>
            <m:ctrlPr>
              <w:rPr>
                <w:rFonts w:hint="default" w:ascii="Cambria Math" w:hAnsi="Cambria Math" w:cs="Times New Roman"/>
                <w:sz w:val="24"/>
              </w:rPr>
            </m:ctrlPr>
          </m:e>
          <m:sub>
            <m:r>
              <m:rPr>
                <m:nor/>
              </m:rPr>
              <w:rPr>
                <w:rFonts w:hint="default" w:ascii="Times New Roman" w:hAnsi="Times New Roman" w:cs="Times New Roman"/>
                <w:i/>
                <w:sz w:val="24"/>
              </w:rPr>
              <m:t>tx</m:t>
            </m:r>
            <m:ctrlPr>
              <w:rPr>
                <w:rFonts w:hint="default" w:ascii="Cambria Math" w:hAnsi="Cambria Math" w:cs="Times New Roman"/>
                <w:sz w:val="24"/>
              </w:rPr>
            </m:ctrlPr>
          </m:sub>
        </m:sSub>
      </m:oMath>
      <w:r>
        <w:t xml:space="preserve"> 为发射功率，</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G</m:t>
            </m:r>
            <m:ctrlPr>
              <w:rPr>
                <w:rFonts w:hint="default" w:ascii="Cambria Math" w:hAnsi="Cambria Math" w:cs="Times New Roman"/>
                <w:sz w:val="24"/>
              </w:rPr>
            </m:ctrlPr>
          </m:e>
          <m:sub>
            <m:r>
              <m:rPr>
                <m:nor/>
              </m:rPr>
              <w:rPr>
                <w:rFonts w:hint="default" w:ascii="Times New Roman" w:hAnsi="Times New Roman" w:cs="Times New Roman"/>
                <w:i/>
                <w:sz w:val="24"/>
              </w:rPr>
              <m:t>ant</m:t>
            </m:r>
            <m:ctrlPr>
              <w:rPr>
                <w:rFonts w:hint="default" w:ascii="Cambria Math" w:hAnsi="Cambria Math" w:cs="Times New Roman"/>
                <w:sz w:val="24"/>
              </w:rPr>
            </m:ctrlPr>
          </m:sub>
        </m:sSub>
      </m:oMath>
      <w:r>
        <w:t xml:space="preserve"> 为方向图增益，</w:t>
      </w:r>
      <m:oMath>
        <m:r>
          <m:rPr>
            <m:nor/>
          </m:rPr>
          <w:rPr>
            <w:rFonts w:hint="default" w:ascii="Times New Roman" w:hAnsi="Times New Roman" w:cs="Times New Roman"/>
            <w:i/>
            <w:sz w:val="24"/>
          </w:rPr>
          <m:t>L</m:t>
        </m:r>
        <m:r>
          <m:rPr>
            <m:nor/>
            <m:sty m:val="p"/>
          </m:rPr>
          <w:rPr>
            <w:rFonts w:hint="default" w:ascii="Times New Roman" w:hAnsi="Times New Roman" w:cs="Times New Roman"/>
            <w:i w:val="0"/>
            <w:sz w:val="24"/>
          </w:rPr>
          <m:t>(</m:t>
        </m:r>
        <m:r>
          <m:rPr>
            <m:nor/>
          </m:rPr>
          <w:rPr>
            <w:rFonts w:hint="default" w:ascii="Times New Roman" w:hAnsi="Times New Roman" w:cs="Times New Roman"/>
            <w:i/>
            <w:sz w:val="24"/>
          </w:rPr>
          <m:t>d</m:t>
        </m:r>
        <m:r>
          <m:rPr>
            <m:nor/>
            <m:sty m:val="p"/>
          </m:rPr>
          <w:rPr>
            <w:rFonts w:hint="default" w:ascii="Times New Roman" w:hAnsi="Times New Roman" w:cs="Times New Roman"/>
            <w:i w:val="0"/>
            <w:sz w:val="24"/>
          </w:rPr>
          <m:t>)</m:t>
        </m:r>
      </m:oMath>
      <w:r>
        <w:t xml:space="preserve"> 为距离相关路径损耗，</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X</m:t>
            </m:r>
            <m:ctrlPr>
              <w:rPr>
                <w:rFonts w:hint="default" w:ascii="Cambria Math" w:hAnsi="Cambria Math" w:cs="Times New Roman"/>
                <w:sz w:val="24"/>
              </w:rPr>
            </m:ctrlPr>
          </m:e>
          <m:sub>
            <m:r>
              <m:rPr>
                <m:nor/>
              </m:rPr>
              <w:rPr>
                <w:rFonts w:hint="default" w:ascii="Times New Roman" w:hAnsi="Times New Roman" w:cs="Times New Roman"/>
                <w:i/>
                <w:sz w:val="24"/>
              </w:rPr>
              <m:t>s</m:t>
            </m:r>
            <m:r>
              <m:rPr>
                <m:nor/>
                <m:sty m:val="p"/>
              </m:rPr>
              <w:rPr>
                <w:rFonts w:hint="default" w:ascii="Times New Roman" w:hAnsi="Times New Roman" w:cs="Times New Roman"/>
                <w:i w:val="0"/>
                <w:sz w:val="24"/>
              </w:rPr>
              <m:t>h</m:t>
            </m:r>
            <m:ctrlPr>
              <w:rPr>
                <w:rFonts w:hint="default" w:ascii="Cambria Math" w:hAnsi="Cambria Math" w:cs="Times New Roman"/>
                <w:sz w:val="24"/>
              </w:rPr>
            </m:ctrlPr>
          </m:sub>
        </m:sSub>
      </m:oMath>
      <w:r>
        <w:t xml:space="preserve"> 为对数正态阴影衰落，</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F</m:t>
            </m:r>
            <m:ctrlPr>
              <w:rPr>
                <w:rFonts w:hint="default" w:ascii="Cambria Math" w:hAnsi="Cambria Math" w:cs="Times New Roman"/>
                <w:sz w:val="24"/>
              </w:rPr>
            </m:ctrlPr>
          </m:e>
          <m:sub>
            <m:r>
              <m:rPr>
                <m:nor/>
              </m:rPr>
              <w:rPr>
                <w:rFonts w:hint="default" w:ascii="Times New Roman" w:hAnsi="Times New Roman" w:cs="Times New Roman"/>
                <w:i/>
                <w:sz w:val="24"/>
              </w:rPr>
              <m:t>ss</m:t>
            </m:r>
            <m:ctrlPr>
              <w:rPr>
                <w:rFonts w:hint="default" w:ascii="Cambria Math" w:hAnsi="Cambria Math" w:cs="Times New Roman"/>
                <w:sz w:val="24"/>
              </w:rPr>
            </m:ctrlPr>
          </m:sub>
        </m:sSub>
      </m:oMath>
      <w:r>
        <w:t xml:space="preserve"> 为小尺度衰落增益。</w:t>
      </w:r>
    </w:p>
    <w:p w14:paraId="41A334A5">
      <w:pPr>
        <w:bidi w:val="0"/>
      </w:pPr>
      <w:r>
        <w:t>低空用户场景不适合简单地用高度增加、路径损耗指数减小来描述，因为决定性能变化的并不仅是平均路径损耗，还包括服务链路与干扰链路的视距概率变化。本文因此采用三维距离</w:t>
      </w:r>
    </w:p>
    <w:p w14:paraId="0DEEA62E">
      <w:pPr>
        <w:bidi w:val="0"/>
        <w:rPr>
          <w:rFonts w:hint="default"/>
        </w:rPr>
      </w:pPr>
      <m:oMathPara>
        <m:oMath>
          <m:eqArr>
            <m:eqArrPr>
              <m:maxDist m:val="1"/>
              <m:ctrlPr>
                <w:rPr>
                  <w:rFonts w:hint="default" w:ascii="Cambria Math" w:hAnsi="Cambria Math" w:cs="Times New Roman"/>
                  <w:i w:val="0"/>
                  <w:sz w:val="24"/>
                </w:rPr>
              </m:ctrlPr>
            </m:eqArrPr>
            <m:e>
              <m:sSub>
                <m:sSubPr>
                  <m:ctrlPr>
                    <w:rPr>
                      <w:rFonts w:hint="default" w:ascii="Cambria Math" w:hAnsi="Cambria Math" w:cs="Times New Roman"/>
                      <w:sz w:val="24"/>
                    </w:rPr>
                  </m:ctrlPr>
                </m:sSubPr>
                <m:e>
                  <m:r>
                    <m:rPr>
                      <m:nor/>
                    </m:rPr>
                    <w:rPr>
                      <w:rFonts w:hint="default" w:ascii="Times New Roman" w:hAnsi="Times New Roman" w:cs="Times New Roman"/>
                      <w:i/>
                      <w:sz w:val="24"/>
                    </w:rPr>
                    <m:t>d</m:t>
                  </m:r>
                  <m:ctrlPr>
                    <w:rPr>
                      <w:rFonts w:hint="default" w:ascii="Cambria Math" w:hAnsi="Cambria Math" w:cs="Times New Roman"/>
                      <w:sz w:val="24"/>
                    </w:rPr>
                  </m:ctrlPr>
                </m:e>
                <m:sub>
                  <m:r>
                    <m:rPr>
                      <m:nor/>
                      <m:sty m:val="p"/>
                    </m:rPr>
                    <w:rPr>
                      <w:rFonts w:hint="default" w:ascii="Times New Roman" w:hAnsi="Times New Roman" w:cs="Times New Roman"/>
                      <w:i w:val="0"/>
                      <w:sz w:val="24"/>
                    </w:rPr>
                    <m:t>3</m:t>
                  </m:r>
                  <m:r>
                    <m:rPr>
                      <m:nor/>
                      <m:sty m:val="p"/>
                    </m:rPr>
                    <w:rPr>
                      <w:rFonts w:hint="default" w:ascii="Times New Roman" w:hAnsi="Times New Roman" w:cs="Times New Roman"/>
                      <w:sz w:val="24"/>
                    </w:rPr>
                    <m:t>D</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rad>
                <m:radPr>
                  <m:degHide m:val="1"/>
                  <m:ctrlPr>
                    <w:rPr>
                      <w:rFonts w:hint="default" w:ascii="Cambria Math" w:hAnsi="Cambria Math" w:cs="Times New Roman"/>
                      <w:sz w:val="24"/>
                    </w:rPr>
                  </m:ctrlPr>
                </m:radPr>
                <m:deg>
                  <m:ctrlPr>
                    <w:rPr>
                      <w:rFonts w:hint="default" w:ascii="Cambria Math" w:hAnsi="Cambria Math" w:cs="Times New Roman"/>
                      <w:sz w:val="24"/>
                    </w:rPr>
                  </m:ctrlPr>
                </m:deg>
                <m:e>
                  <m:sSubSup>
                    <m:sSubSupPr>
                      <m:ctrlPr>
                        <w:rPr>
                          <w:rFonts w:hint="default" w:ascii="Cambria Math" w:hAnsi="Cambria Math" w:cs="Times New Roman"/>
                          <w:sz w:val="24"/>
                        </w:rPr>
                      </m:ctrlPr>
                    </m:sSubSupPr>
                    <m:e>
                      <m:r>
                        <m:rPr>
                          <m:nor/>
                        </m:rPr>
                        <w:rPr>
                          <w:rFonts w:hint="default" w:ascii="Times New Roman" w:hAnsi="Times New Roman" w:cs="Times New Roman"/>
                          <w:i/>
                          <w:sz w:val="24"/>
                        </w:rPr>
                        <m:t>d</m:t>
                      </m:r>
                      <m:ctrlPr>
                        <w:rPr>
                          <w:rFonts w:hint="default" w:ascii="Cambria Math" w:hAnsi="Cambria Math" w:cs="Times New Roman"/>
                          <w:sz w:val="24"/>
                        </w:rPr>
                      </m:ctrlPr>
                    </m:e>
                    <m:sub>
                      <m:r>
                        <m:rPr>
                          <m:nor/>
                          <m:sty m:val="p"/>
                        </m:rPr>
                        <w:rPr>
                          <w:rFonts w:hint="default" w:ascii="Times New Roman" w:hAnsi="Times New Roman" w:cs="Times New Roman"/>
                          <w:i w:val="0"/>
                          <w:sz w:val="24"/>
                        </w:rPr>
                        <m:t>2</m:t>
                      </m:r>
                      <m:r>
                        <m:rPr>
                          <m:nor/>
                          <m:sty m:val="p"/>
                        </m:rPr>
                        <w:rPr>
                          <w:rFonts w:hint="default" w:ascii="Times New Roman" w:hAnsi="Times New Roman" w:cs="Times New Roman"/>
                          <w:sz w:val="24"/>
                        </w:rPr>
                        <m:t>D</m:t>
                      </m:r>
                      <m:ctrlPr>
                        <w:rPr>
                          <w:rFonts w:hint="default" w:ascii="Cambria Math" w:hAnsi="Cambria Math" w:cs="Times New Roman"/>
                          <w:sz w:val="24"/>
                        </w:rPr>
                      </m:ctrlPr>
                    </m:sub>
                    <m:sup>
                      <m:r>
                        <m:rPr>
                          <m:nor/>
                          <m:sty m:val="p"/>
                        </m:rPr>
                        <w:rPr>
                          <w:rFonts w:hint="default" w:ascii="Times New Roman" w:hAnsi="Times New Roman" w:cs="Times New Roman"/>
                          <w:i w:val="0"/>
                          <w:sz w:val="24"/>
                        </w:rPr>
                        <m:t>2</m:t>
                      </m:r>
                      <m:ctrlPr>
                        <w:rPr>
                          <w:rFonts w:hint="default" w:ascii="Cambria Math" w:hAnsi="Cambria Math" w:cs="Times New Roman"/>
                          <w:sz w:val="24"/>
                        </w:rPr>
                      </m:ctrlPr>
                    </m:sup>
                  </m:sSubSup>
                  <m:r>
                    <m:rPr>
                      <m:nor/>
                      <m:sty m:val="p"/>
                    </m:rPr>
                    <w:rPr>
                      <w:rFonts w:hint="default" w:ascii="Times New Roman" w:hAnsi="Times New Roman" w:cs="Times New Roman"/>
                      <w:i w:val="0"/>
                      <w:sz w:val="24"/>
                    </w:rPr>
                    <m:t>+(</m:t>
                  </m:r>
                  <m:sSub>
                    <m:sSubPr>
                      <m:ctrlPr>
                        <w:rPr>
                          <w:rFonts w:hint="default" w:ascii="Cambria Math" w:hAnsi="Cambria Math" w:cs="Times New Roman"/>
                          <w:sz w:val="24"/>
                        </w:rPr>
                      </m:ctrlPr>
                    </m:sSubPr>
                    <m:e>
                      <m:r>
                        <m:rPr>
                          <m:nor/>
                          <m:sty m:val="p"/>
                        </m:rPr>
                        <w:rPr>
                          <w:rFonts w:hint="default" w:ascii="Times New Roman" w:hAnsi="Times New Roman" w:cs="Times New Roman"/>
                          <w:i w:val="0"/>
                          <w:sz w:val="24"/>
                        </w:rPr>
                        <m:t>h</m:t>
                      </m:r>
                      <m:ctrlPr>
                        <w:rPr>
                          <w:rFonts w:hint="default" w:ascii="Cambria Math" w:hAnsi="Cambria Math" w:cs="Times New Roman"/>
                          <w:sz w:val="24"/>
                        </w:rPr>
                      </m:ctrlPr>
                    </m:e>
                    <m:sub>
                      <m:r>
                        <m:rPr>
                          <m:nor/>
                          <m:sty m:val="p"/>
                        </m:rPr>
                        <w:rPr>
                          <w:rFonts w:hint="default" w:ascii="Times New Roman" w:hAnsi="Times New Roman" w:cs="Times New Roman"/>
                          <w:sz w:val="24"/>
                        </w:rPr>
                        <m:t>BS</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sSub>
                    <m:sSubPr>
                      <m:ctrlPr>
                        <w:rPr>
                          <w:rFonts w:hint="default" w:ascii="Cambria Math" w:hAnsi="Cambria Math" w:cs="Times New Roman"/>
                          <w:sz w:val="24"/>
                        </w:rPr>
                      </m:ctrlPr>
                    </m:sSubPr>
                    <m:e>
                      <m:r>
                        <m:rPr>
                          <m:nor/>
                          <m:sty m:val="p"/>
                        </m:rPr>
                        <w:rPr>
                          <w:rFonts w:hint="default" w:ascii="Times New Roman" w:hAnsi="Times New Roman" w:cs="Times New Roman"/>
                          <w:i w:val="0"/>
                          <w:sz w:val="24"/>
                        </w:rPr>
                        <m:t>h</m:t>
                      </m:r>
                      <m:ctrlPr>
                        <w:rPr>
                          <w:rFonts w:hint="default" w:ascii="Cambria Math" w:hAnsi="Cambria Math" w:cs="Times New Roman"/>
                          <w:sz w:val="24"/>
                        </w:rPr>
                      </m:ctrlPr>
                    </m:e>
                    <m:sub>
                      <m:r>
                        <m:rPr>
                          <m:nor/>
                          <m:sty m:val="p"/>
                        </m:rPr>
                        <w:rPr>
                          <w:rFonts w:hint="default" w:ascii="Times New Roman" w:hAnsi="Times New Roman" w:cs="Times New Roman"/>
                          <w:sz w:val="24"/>
                        </w:rPr>
                        <m:t>UT</m:t>
                      </m:r>
                      <m:ctrlPr>
                        <w:rPr>
                          <w:rFonts w:hint="default" w:ascii="Cambria Math" w:hAnsi="Cambria Math" w:cs="Times New Roman"/>
                          <w:sz w:val="24"/>
                        </w:rPr>
                      </m:ctrlPr>
                    </m:sub>
                  </m:sSub>
                  <m:sSup>
                    <m:sSupPr>
                      <m:ctrlPr>
                        <w:rPr>
                          <w:rFonts w:hint="default" w:ascii="Cambria Math" w:hAnsi="Cambria Math" w:cs="Times New Roman"/>
                          <w:sz w:val="24"/>
                        </w:rPr>
                      </m:ctrlPr>
                    </m:sSupPr>
                    <m:e>
                      <m:r>
                        <m:rPr>
                          <m:nor/>
                          <m:sty m:val="p"/>
                        </m:rPr>
                        <w:rPr>
                          <w:rFonts w:hint="default" w:ascii="Times New Roman" w:hAnsi="Times New Roman" w:cs="Times New Roman"/>
                          <w:i w:val="0"/>
                          <w:sz w:val="24"/>
                        </w:rPr>
                        <m:t>)</m:t>
                      </m:r>
                      <m:ctrlPr>
                        <w:rPr>
                          <w:rFonts w:hint="default" w:ascii="Cambria Math" w:hAnsi="Cambria Math" w:cs="Times New Roman"/>
                          <w:sz w:val="24"/>
                        </w:rPr>
                      </m:ctrlPr>
                    </m:e>
                    <m:sup>
                      <m:r>
                        <m:rPr>
                          <m:nor/>
                          <m:sty m:val="p"/>
                        </m:rPr>
                        <w:rPr>
                          <w:rFonts w:hint="default" w:ascii="Times New Roman" w:hAnsi="Times New Roman" w:cs="Times New Roman"/>
                          <w:i w:val="0"/>
                          <w:sz w:val="24"/>
                        </w:rPr>
                        <m:t>2</m:t>
                      </m:r>
                      <m:ctrlPr>
                        <w:rPr>
                          <w:rFonts w:hint="default" w:ascii="Cambria Math" w:hAnsi="Cambria Math" w:cs="Times New Roman"/>
                          <w:sz w:val="24"/>
                        </w:rPr>
                      </m:ctrlPr>
                    </m:sup>
                  </m:sSup>
                  <m:ctrlPr>
                    <w:rPr>
                      <w:rFonts w:hint="default" w:ascii="Cambria Math" w:hAnsi="Cambria Math" w:cs="Times New Roman"/>
                      <w:sz w:val="24"/>
                    </w:rPr>
                  </m:ctrlPr>
                </m:e>
              </m:rad>
              <m:r>
                <m:rPr>
                  <m:nor/>
                  <m:sty m:val="p"/>
                </m:rPr>
                <w:rPr>
                  <w:rFonts w:hint="default" w:ascii="Times New Roman" w:hAnsi="Times New Roman" w:cs="Times New Roman"/>
                  <w:i w:val="0"/>
                  <w:sz w:val="24"/>
                </w:rPr>
                <m:t>,</m:t>
              </m:r>
              <m:r>
                <m:rPr>
                  <m:sty m:val="p"/>
                </m:rPr>
                <w:rPr>
                  <w:rFonts w:hint="default" w:ascii="Cambria Math" w:hAnsi="Cambria Math" w:cs="Cambria Math"/>
                  <w:sz w:val="24"/>
                </w:rPr>
                <m:t>#</m:t>
              </m:r>
              <m:r>
                <m:rPr>
                  <m:sty m:val="p"/>
                </m:rPr>
                <w:rPr>
                  <w:rFonts w:hint="default" w:ascii="Cambria Math" w:hAnsi="Cambria Math" w:cs="Cambria Math"/>
                  <w:sz w:val="24"/>
                  <w:lang w:val="en-US" w:eastAsia="zh-CN"/>
                </w:rPr>
                <m:t>(2−8)</m:t>
              </m:r>
              <m:ctrlPr>
                <w:rPr>
                  <w:rFonts w:hint="default" w:ascii="Cambria Math" w:hAnsi="Cambria Math" w:cs="Times New Roman"/>
                  <w:i w:val="0"/>
                  <w:sz w:val="24"/>
                </w:rPr>
              </m:ctrlPr>
            </m:e>
          </m:eqArr>
        </m:oMath>
      </m:oMathPara>
    </w:p>
    <w:p w14:paraId="0FDF0A47">
      <w:pPr>
        <w:bidi w:val="0"/>
      </w:pPr>
      <w:r>
        <w:t xml:space="preserve">并在低空传播建模中使用 3GPP UMa 概率视距模型与 ITU 建筑遮挡思想的混合形式 </w:t>
      </w:r>
      <w:r>
        <w:rPr>
          <w:vertAlign w:val="superscript"/>
        </w:rPr>
        <w:t>[5][6]</w:t>
      </w:r>
      <w:r>
        <w:t>。对较低用户高度，传播更接近城市宏站场景，LOS 概率主要由 3GPP 模型给出；对更高空链路，则逐步混合建筑遮挡统计模型，以反映高空可视范围扩大后的遮挡变化趋势。每条链路先根据 LOS 概率判定为 LOS 或 NLOS，再分别采用不同路径损耗指数、阴影标准差和小尺度衰落参数计算接收功率。这样得到的低空链路模型能够同时保留理论传播机理与低空网络中的几何直觉。</w:t>
      </w:r>
    </w:p>
    <w:p w14:paraId="7EA9E52A">
      <w:pPr>
        <w:pStyle w:val="4"/>
        <w:bidi w:val="0"/>
      </w:pPr>
      <w:bookmarkStart w:id="8" w:name="_Toc6273"/>
      <w:r>
        <w:t>E. 方向图、俯倾角与低空干扰放大效应</w:t>
      </w:r>
      <w:bookmarkEnd w:id="8"/>
    </w:p>
    <w:p w14:paraId="54AA2DB0">
      <w:pPr>
        <w:bidi w:val="0"/>
      </w:pPr>
      <w:r>
        <w:t xml:space="preserve">空中用户并不天然受益于更高高度，因为宏站天线主瓣通常被设计为服务地面覆盖区，存在固定俯倾角。在本文中，蜂窝基站采用典型三扇区部署，主方位分别间隔 120°，并结合机械俯倾与电俯倾构成面向地面服务的空间波束。对于地面用户，这一设计有利于提高本小区覆盖并抑制跨小区干扰；而对于升空用户，其与服务基站的相对仰角不断变化，可能逐步偏离主瓣中心，导致服务方向增益下降。与此同时，高度上升会使更多邻区进入视距传播状态，干扰链路数目和平均增益同时增加。Xu 和 Zeng 的三维天线分析已经表明，低空性能高度依赖方向图设置和俯倾参数 </w:t>
      </w:r>
      <w:r>
        <w:rPr>
          <w:vertAlign w:val="superscript"/>
        </w:rPr>
        <w:t>[7]</w:t>
      </w:r>
      <w:r>
        <w:t>。因此，在频率复用问题中，天线方向性并不是附属因素，而是决定低空链路能否保持可用性的核心变量之一。</w:t>
      </w:r>
    </w:p>
    <w:p w14:paraId="7729AC11">
      <w:pPr>
        <w:pStyle w:val="4"/>
        <w:bidi w:val="0"/>
      </w:pPr>
      <w:bookmarkStart w:id="9" w:name="_Toc32727"/>
      <w:r>
        <w:t>F. 有效面积频谱效率指标</w:t>
      </w:r>
      <w:bookmarkEnd w:id="9"/>
    </w:p>
    <w:p w14:paraId="5B3425AA">
      <w:pPr>
        <w:bidi w:val="0"/>
      </w:pPr>
      <w:r>
        <w:t>如果仅以</w:t>
      </w:r>
    </w:p>
    <w:p w14:paraId="2163641A">
      <w:pPr>
        <w:bidi w:val="0"/>
        <w:rPr/>
      </w:pPr>
      <m:oMathPara>
        <m:oMath>
          <m:eqArr>
            <m:eqArrPr>
              <m:maxDist m:val="1"/>
              <m:ctrlPr>
                <w:rPr>
                  <w:rFonts w:hint="default" w:ascii="Cambria Math" w:hAnsi="Cambria Math"/>
                </w:rPr>
              </m:ctrlPr>
            </m:eqArrPr>
            <m:e>
              <m:r>
                <m:rPr>
                  <m:nor/>
                  <m:sty m:val="p"/>
                </m:rPr>
                <w:rPr>
                  <w:rFonts w:hint="default" w:ascii="Times New Roman" w:hAnsi="Times New Roman"/>
                </w:rPr>
                <m:t>ASE=</m:t>
              </m:r>
              <m:f>
                <m:fPr>
                  <m:ctrlPr>
                    <w:rPr>
                      <w:rFonts w:hint="default" w:ascii="Cambria Math" w:hAnsi="Cambria Math"/>
                    </w:rPr>
                  </m:ctrlPr>
                </m:fPr>
                <m:num>
                  <m:r>
                    <m:rPr>
                      <m:nor/>
                      <m:sty m:val="p"/>
                    </m:rPr>
                    <w:rPr>
                      <w:rFonts w:hint="default" w:ascii="Times New Roman" w:hAnsi="Times New Roman"/>
                    </w:rPr>
                    <m:t>1</m:t>
                  </m:r>
                  <m:ctrlPr>
                    <w:rPr>
                      <w:rFonts w:hint="default" w:ascii="Cambria Math" w:hAnsi="Cambria Math"/>
                    </w:rPr>
                  </m:ctrlPr>
                </m:num>
                <m:den>
                  <m:r>
                    <m:rPr>
                      <m:nor/>
                      <m:sty m:val="p"/>
                    </m:rPr>
                    <w:rPr>
                      <w:rFonts w:hint="default" w:ascii="Times New Roman" w:hAnsi="Times New Roman"/>
                    </w:rPr>
                    <m:t>N</m:t>
                  </m:r>
                  <m:ctrlPr>
                    <w:rPr>
                      <w:rFonts w:hint="default" w:ascii="Cambria Math" w:hAnsi="Cambria Math"/>
                    </w:rPr>
                  </m:ctrlPr>
                </m:den>
              </m:f>
              <m:func>
                <m:funcPr>
                  <m:ctrlPr>
                    <w:rPr>
                      <w:rFonts w:hint="default" w:ascii="Cambria Math" w:hAnsi="Cambria Math"/>
                    </w:rPr>
                  </m:ctrlPr>
                </m:funcPr>
                <m:fName>
                  <m:sSub>
                    <m:sSubPr>
                      <m:ctrlPr>
                        <w:rPr>
                          <w:rFonts w:hint="default" w:ascii="Cambria Math" w:hAnsi="Cambria Math"/>
                        </w:rPr>
                      </m:ctrlPr>
                    </m:sSubPr>
                    <m:e>
                      <m:r>
                        <m:rPr>
                          <m:nor/>
                          <m:sty m:val="p"/>
                        </m:rPr>
                        <w:rPr>
                          <w:rFonts w:hint="default" w:ascii="Times New Roman" w:hAnsi="Times New Roman"/>
                        </w:rPr>
                        <m:t>log</m:t>
                      </m:r>
                      <m:ctrlPr>
                        <w:rPr>
                          <w:rFonts w:hint="default" w:ascii="Cambria Math" w:hAnsi="Cambria Math"/>
                        </w:rPr>
                      </m:ctrlPr>
                    </m:e>
                    <m:sub>
                      <m:r>
                        <m:rPr>
                          <m:nor/>
                          <m:sty m:val="p"/>
                        </m:rPr>
                        <w:rPr>
                          <w:rFonts w:hint="default" w:ascii="Times New Roman" w:hAnsi="Times New Roman"/>
                        </w:rPr>
                        <m:t>2</m:t>
                      </m:r>
                      <m:ctrlPr>
                        <w:rPr>
                          <w:rFonts w:hint="default" w:ascii="Cambria Math" w:hAnsi="Cambria Math"/>
                        </w:rPr>
                      </m:ctrlPr>
                    </m:sub>
                  </m:sSub>
                  <m:ctrlPr>
                    <w:rPr>
                      <w:rFonts w:hint="default" w:ascii="Cambria Math" w:hAnsi="Cambria Math"/>
                    </w:rPr>
                  </m:ctrlPr>
                </m:fName>
                <m:e>
                  <m:r>
                    <m:rPr>
                      <m:nor/>
                      <m:sty m:val="p"/>
                    </m:rPr>
                    <w:rPr>
                      <w:rFonts w:hint="default" w:ascii="Times New Roman" w:hAnsi="Times New Roman"/>
                    </w:rPr>
                    <m:t>(</m:t>
                  </m:r>
                  <m:ctrlPr>
                    <w:rPr>
                      <w:rFonts w:hint="default" w:ascii="Cambria Math" w:hAnsi="Cambria Math"/>
                    </w:rPr>
                  </m:ctrlPr>
                </m:e>
              </m:func>
              <m:r>
                <m:rPr>
                  <m:nor/>
                  <m:sty m:val="p"/>
                </m:rPr>
                <w:rPr>
                  <w:rFonts w:hint="default" w:ascii="Times New Roman" w:hAnsi="Times New Roman"/>
                </w:rPr>
                <m:t>1+SIR)</m:t>
              </m:r>
              <m:r>
                <m:rPr>
                  <m:sty m:val="p"/>
                </m:rPr>
                <w:rPr>
                  <w:rFonts w:hint="default" w:ascii="Cambria Math" w:hAnsi="Cambria Math" w:cs="Cambria Math"/>
                </w:rPr>
                <m:t>#</m:t>
              </m:r>
              <m:r>
                <m:rPr>
                  <m:sty m:val="p"/>
                </m:rPr>
                <w:rPr>
                  <w:rFonts w:hint="default" w:ascii="Cambria Math" w:hAnsi="Cambria Math" w:cs="Cambria Math"/>
                  <w:lang w:val="en-US" w:eastAsia="zh-CN"/>
                </w:rPr>
                <m:t>(2−9)</m:t>
              </m:r>
              <m:ctrlPr>
                <w:rPr>
                  <w:rFonts w:hint="default" w:ascii="Cambria Math" w:hAnsi="Cambria Math"/>
                </w:rPr>
              </m:ctrlPr>
            </m:e>
          </m:eqArr>
        </m:oMath>
      </m:oMathPara>
    </w:p>
    <w:p w14:paraId="7BB2AE24">
      <w:pPr>
        <w:bidi w:val="0"/>
      </w:pPr>
      <w:r>
        <w:t>衡量系统性能，则只能反映理想瞬时链路质量，无法体现调度效率、控制开销和覆盖门限的工程代价。本文因此采用有效平均速率</w:t>
      </w:r>
    </w:p>
    <w:p w14:paraId="1EDEBABA">
      <w:pPr>
        <w:bidi w:val="0"/>
        <w:rPr>
          <w:rFonts w:hint="default"/>
        </w:rPr>
      </w:pPr>
      <m:oMathPara>
        <m:oMath>
          <m:eqArr>
            <m:eqArrPr>
              <m:maxDist m:val="1"/>
              <m:ctrlPr>
                <m:rPr/>
                <w:rPr>
                  <w:rFonts w:hint="default" w:ascii="Times New Roman" w:hAnsi="Times New Roman" w:cs="Times New Roman"/>
                  <w:i w:val="0"/>
                  <w:sz w:val="24"/>
                </w:rPr>
              </m:ctrlPr>
            </m:eqArrPr>
            <m:e>
              <m:sSub>
                <m:sSubPr>
                  <m:ctrlPr>
                    <w:rPr>
                      <w:rFonts w:hint="default" w:ascii="Cambria Math" w:hAnsi="Cambria Math" w:cs="Times New Roman"/>
                      <w:sz w:val="24"/>
                    </w:rPr>
                  </m:ctrlPr>
                </m:sSubPr>
                <m:e>
                  <m:r>
                    <m:rPr>
                      <m:nor/>
                    </m:rPr>
                    <w:rPr>
                      <w:rFonts w:hint="default" w:ascii="Times New Roman" w:hAnsi="Times New Roman" w:cs="Times New Roman"/>
                      <w:i/>
                      <w:sz w:val="24"/>
                    </w:rPr>
                    <m:t>R</m:t>
                  </m:r>
                  <m:ctrlPr>
                    <w:rPr>
                      <w:rFonts w:hint="default" w:ascii="Cambria Math" w:hAnsi="Cambria Math" w:cs="Times New Roman"/>
                      <w:sz w:val="24"/>
                    </w:rPr>
                  </m:ctrlPr>
                </m:e>
                <m:sub>
                  <m:r>
                    <m:rPr>
                      <m:nor/>
                      <m:sty m:val="p"/>
                    </m:rPr>
                    <w:rPr>
                      <w:rFonts w:hint="default" w:ascii="Times New Roman" w:hAnsi="Times New Roman" w:cs="Times New Roman"/>
                      <w:sz w:val="24"/>
                    </w:rPr>
                    <m:t>eff</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η</m:t>
                  </m:r>
                  <m:ctrlPr>
                    <w:rPr>
                      <w:rFonts w:hint="default" w:ascii="Cambria Math" w:hAnsi="Cambria Math" w:cs="Times New Roman"/>
                      <w:sz w:val="24"/>
                    </w:rPr>
                  </m:ctrlPr>
                </m:e>
                <m:sub>
                  <m:r>
                    <m:rPr>
                      <m:nor/>
                      <m:sty m:val="p"/>
                    </m:rPr>
                    <w:rPr>
                      <w:rFonts w:hint="default" w:ascii="Times New Roman" w:hAnsi="Times New Roman" w:cs="Times New Roman"/>
                      <w:sz w:val="24"/>
                    </w:rPr>
                    <m:t>act</m:t>
                  </m:r>
                  <m:ctrlPr>
                    <w:rPr>
                      <w:rFonts w:hint="default" w:ascii="Cambria Math" w:hAnsi="Cambria Math" w:cs="Times New Roman"/>
                      <w:sz w:val="24"/>
                    </w:rPr>
                  </m:ctrlPr>
                </m:sub>
              </m:sSub>
              <m:sSub>
                <m:sSubPr>
                  <m:ctrlPr>
                    <w:rPr>
                      <w:rFonts w:hint="default" w:ascii="Cambria Math" w:hAnsi="Cambria Math" w:cs="Times New Roman"/>
                      <w:sz w:val="24"/>
                    </w:rPr>
                  </m:ctrlPr>
                </m:sSubPr>
                <m:e>
                  <m:r>
                    <m:rPr>
                      <m:nor/>
                    </m:rPr>
                    <w:rPr>
                      <w:rFonts w:hint="default" w:ascii="Times New Roman" w:hAnsi="Times New Roman" w:cs="Times New Roman"/>
                      <w:i/>
                      <w:sz w:val="24"/>
                    </w:rPr>
                    <m:t>η</m:t>
                  </m:r>
                  <m:ctrlPr>
                    <w:rPr>
                      <w:rFonts w:hint="default" w:ascii="Cambria Math" w:hAnsi="Cambria Math" w:cs="Times New Roman"/>
                      <w:sz w:val="24"/>
                    </w:rPr>
                  </m:ctrlPr>
                </m:e>
                <m:sub>
                  <m:r>
                    <m:rPr>
                      <m:nor/>
                      <m:sty m:val="p"/>
                    </m:rPr>
                    <w:rPr>
                      <w:rFonts w:hint="default" w:ascii="Times New Roman" w:hAnsi="Times New Roman" w:cs="Times New Roman"/>
                      <w:sz w:val="24"/>
                    </w:rPr>
                    <m:t>sch</m:t>
                  </m:r>
                  <m:ctrlPr>
                    <w:rPr>
                      <w:rFonts w:hint="default" w:ascii="Cambria Math" w:hAnsi="Cambria Math" w:cs="Times New Roman"/>
                      <w:sz w:val="24"/>
                    </w:rPr>
                  </m:ctrlPr>
                </m:sub>
              </m:sSub>
              <m:r>
                <m:rPr>
                  <m:nor/>
                  <m:sty m:val="p"/>
                </m:rPr>
                <w:rPr>
                  <w:rFonts w:hint="default" w:ascii="Times New Roman" w:hAnsi="Times New Roman" w:cs="Times New Roman"/>
                  <w:i w:val="0"/>
                  <w:sz w:val="24"/>
                </w:rPr>
                <m:t>(1−</m:t>
              </m:r>
              <m:sSub>
                <m:sSubPr>
                  <m:ctrlPr>
                    <w:rPr>
                      <w:rFonts w:hint="default" w:ascii="Cambria Math" w:hAnsi="Cambria Math" w:cs="Times New Roman"/>
                      <w:sz w:val="24"/>
                    </w:rPr>
                  </m:ctrlPr>
                </m:sSubPr>
                <m:e>
                  <m:r>
                    <m:rPr>
                      <m:nor/>
                    </m:rPr>
                    <w:rPr>
                      <w:rFonts w:hint="default" w:ascii="Times New Roman" w:hAnsi="Times New Roman" w:cs="Times New Roman"/>
                      <w:i/>
                      <w:sz w:val="24"/>
                    </w:rPr>
                    <m:t>η</m:t>
                  </m:r>
                  <m:ctrlPr>
                    <w:rPr>
                      <w:rFonts w:hint="default" w:ascii="Cambria Math" w:hAnsi="Cambria Math" w:cs="Times New Roman"/>
                      <w:sz w:val="24"/>
                    </w:rPr>
                  </m:ctrlPr>
                </m:e>
                <m:sub>
                  <m:r>
                    <m:rPr>
                      <m:nor/>
                      <m:sty m:val="p"/>
                    </m:rPr>
                    <w:rPr>
                      <w:rFonts w:hint="default" w:ascii="Times New Roman" w:hAnsi="Times New Roman" w:cs="Times New Roman"/>
                      <w:sz w:val="24"/>
                    </w:rPr>
                    <m:t>oh</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r>
                <m:rPr>
                  <m:nor/>
                  <m:scr m:val="double-struck"/>
                </m:rPr>
                <w:rPr>
                  <w:rFonts w:hint="default" w:ascii="Times New Roman" w:hAnsi="Times New Roman" w:eastAsia="MS Mincho" w:cs="MS Mincho"/>
                  <w:i/>
                  <w:sz w:val="24"/>
                </w:rPr>
                <m:t>E</m:t>
              </m:r>
              <m:d>
                <m:dPr>
                  <m:begChr m:val="["/>
                  <m:endChr m:val="]"/>
                  <m:ctrlPr>
                    <w:rPr>
                      <w:rFonts w:hint="default" w:ascii="Cambria Math" w:hAnsi="Cambria Math" w:cs="Times New Roman"/>
                      <w:sz w:val="24"/>
                    </w:rPr>
                  </m:ctrlPr>
                </m:dPr>
                <m:e>
                  <m:r>
                    <m:rPr>
                      <m:nor/>
                      <m:sty m:val="b"/>
                    </m:rPr>
                    <w:rPr>
                      <w:rFonts w:hint="default" w:ascii="Times New Roman" w:hAnsi="Times New Roman" w:cs="Times New Roman"/>
                      <w:b/>
                      <w:i w:val="0"/>
                      <w:sz w:val="24"/>
                    </w:rPr>
                    <m:t>1</m:t>
                  </m:r>
                  <m:r>
                    <m:rPr>
                      <m:nor/>
                      <m:sty m:val="p"/>
                    </m:rPr>
                    <w:rPr>
                      <w:rFonts w:hint="default" w:ascii="Times New Roman" w:hAnsi="Times New Roman" w:cs="Times New Roman"/>
                      <w:i w:val="0"/>
                      <w:sz w:val="24"/>
                    </w:rPr>
                    <m:t>(</m:t>
                  </m:r>
                  <m:r>
                    <m:rPr>
                      <m:nor/>
                      <m:sty m:val="p"/>
                    </m:rPr>
                    <w:rPr>
                      <w:rFonts w:hint="default" w:ascii="Times New Roman" w:hAnsi="Times New Roman" w:cs="Times New Roman"/>
                      <w:sz w:val="24"/>
                    </w:rPr>
                    <m:t>SINR</m:t>
                  </m:r>
                  <m:r>
                    <m:rPr>
                      <m:nor/>
                      <m:sty m:val="p"/>
                    </m:rPr>
                    <w:rPr>
                      <w:rFonts w:hint="default" w:ascii="Times New Roman" w:hAnsi="Times New Roman" w:cs="Times New Roman"/>
                      <w:i w:val="0"/>
                      <w:sz w:val="24"/>
                    </w:rPr>
                    <m:t>≥</m:t>
                  </m:r>
                  <m:sSub>
                    <m:sSubPr>
                      <m:ctrlPr>
                        <w:rPr>
                          <w:rFonts w:hint="default" w:ascii="Cambria Math" w:hAnsi="Cambria Math" w:cs="Times New Roman"/>
                          <w:sz w:val="24"/>
                        </w:rPr>
                      </m:ctrlPr>
                    </m:sSubPr>
                    <m:e>
                      <m:r>
                        <m:rPr>
                          <m:nor/>
                        </m:rPr>
                        <w:rPr>
                          <w:rFonts w:hint="default" w:ascii="Times New Roman" w:hAnsi="Times New Roman" w:cs="Times New Roman"/>
                          <w:i/>
                          <w:sz w:val="24"/>
                        </w:rPr>
                        <m:t>γ</m:t>
                      </m:r>
                      <m:ctrlPr>
                        <w:rPr>
                          <w:rFonts w:hint="default" w:ascii="Cambria Math" w:hAnsi="Cambria Math" w:cs="Times New Roman"/>
                          <w:sz w:val="24"/>
                        </w:rPr>
                      </m:ctrlPr>
                    </m:e>
                    <m:sub>
                      <m:r>
                        <m:rPr>
                          <m:nor/>
                          <m:sty m:val="p"/>
                        </m:rPr>
                        <w:rPr>
                          <w:rFonts w:hint="default" w:ascii="Times New Roman" w:hAnsi="Times New Roman" w:cs="Times New Roman"/>
                          <w:i w:val="0"/>
                          <w:sz w:val="24"/>
                        </w:rPr>
                        <m:t>0</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func>
                    <m:funcPr>
                      <m:ctrlPr>
                        <w:rPr>
                          <w:rFonts w:hint="default" w:ascii="Cambria Math" w:hAnsi="Cambria Math" w:cs="Times New Roman"/>
                          <w:sz w:val="24"/>
                        </w:rPr>
                      </m:ctrlPr>
                    </m:funcPr>
                    <m:fName>
                      <m:sSub>
                        <m:sSubPr>
                          <m:ctrlPr>
                            <w:rPr>
                              <w:rFonts w:hint="default" w:ascii="Cambria Math" w:hAnsi="Cambria Math" w:cs="Times New Roman"/>
                              <w:sz w:val="24"/>
                            </w:rPr>
                          </m:ctrlPr>
                        </m:sSubPr>
                        <m:e>
                          <m:r>
                            <m:rPr>
                              <m:nor/>
                              <m:sty m:val="p"/>
                            </m:rPr>
                            <w:rPr>
                              <w:rFonts w:hint="default" w:ascii="Times New Roman" w:hAnsi="Times New Roman" w:cs="Times New Roman"/>
                              <w:sz w:val="24"/>
                            </w:rPr>
                            <m:t>log</m:t>
                          </m:r>
                          <m:ctrlPr>
                            <w:rPr>
                              <w:rFonts w:hint="default" w:ascii="Cambria Math" w:hAnsi="Cambria Math" w:cs="Times New Roman"/>
                              <w:sz w:val="24"/>
                            </w:rPr>
                          </m:ctrlPr>
                        </m:e>
                        <m:sub>
                          <m:r>
                            <m:rPr>
                              <m:nor/>
                              <m:sty m:val="p"/>
                            </m:rPr>
                            <w:rPr>
                              <w:rFonts w:hint="default" w:ascii="Times New Roman" w:hAnsi="Times New Roman" w:cs="Times New Roman"/>
                              <w:i w:val="0"/>
                              <w:sz w:val="24"/>
                            </w:rPr>
                            <m:t>2</m:t>
                          </m:r>
                          <m:ctrlPr>
                            <w:rPr>
                              <w:rFonts w:hint="default" w:ascii="Cambria Math" w:hAnsi="Cambria Math" w:cs="Times New Roman"/>
                              <w:sz w:val="24"/>
                            </w:rPr>
                          </m:ctrlPr>
                        </m:sub>
                      </m:sSub>
                      <m:ctrlPr>
                        <w:rPr>
                          <w:rFonts w:hint="default" w:ascii="Cambria Math" w:hAnsi="Cambria Math" w:cs="Times New Roman"/>
                          <w:sz w:val="24"/>
                        </w:rPr>
                      </m:ctrlPr>
                    </m:fName>
                    <m:e>
                      <m:r>
                        <m:rPr>
                          <m:nor/>
                          <m:sty m:val="p"/>
                        </m:rPr>
                        <w:rPr>
                          <w:rFonts w:hint="default" w:ascii="Times New Roman" w:hAnsi="Times New Roman" w:cs="Times New Roman"/>
                          <w:i w:val="0"/>
                          <w:sz w:val="24"/>
                        </w:rPr>
                        <m:t>(</m:t>
                      </m:r>
                      <m:ctrlPr>
                        <w:rPr>
                          <w:rFonts w:hint="default" w:ascii="Cambria Math" w:hAnsi="Cambria Math" w:cs="Times New Roman"/>
                          <w:sz w:val="24"/>
                        </w:rPr>
                      </m:ctrlPr>
                    </m:e>
                  </m:func>
                  <m:r>
                    <m:rPr>
                      <m:nor/>
                      <m:sty m:val="p"/>
                    </m:rPr>
                    <w:rPr>
                      <w:rFonts w:hint="default" w:ascii="Times New Roman" w:hAnsi="Times New Roman" w:cs="Times New Roman"/>
                      <w:i w:val="0"/>
                      <w:sz w:val="24"/>
                    </w:rPr>
                    <m:t>1+</m:t>
                  </m:r>
                  <m:r>
                    <m:rPr>
                      <m:nor/>
                      <m:sty m:val="p"/>
                    </m:rPr>
                    <w:rPr>
                      <w:rFonts w:hint="default" w:ascii="Times New Roman" w:hAnsi="Times New Roman" w:cs="Times New Roman"/>
                      <w:sz w:val="24"/>
                    </w:rPr>
                    <m:t>SINR</m:t>
                  </m:r>
                  <m:r>
                    <m:rPr>
                      <m:nor/>
                      <m:sty m:val="p"/>
                    </m:rPr>
                    <w:rPr>
                      <w:rFonts w:hint="default" w:ascii="Times New Roman" w:hAnsi="Times New Roman" w:cs="Times New Roman"/>
                      <w:i w:val="0"/>
                      <w:sz w:val="24"/>
                    </w:rPr>
                    <m:t>)</m:t>
                  </m:r>
                  <m:ctrlPr>
                    <w:rPr>
                      <w:rFonts w:hint="default" w:ascii="Cambria Math" w:hAnsi="Cambria Math" w:cs="Times New Roman"/>
                      <w:sz w:val="24"/>
                    </w:rPr>
                  </m:ctrlPr>
                </m:e>
              </m:d>
              <m:r>
                <m:rPr>
                  <m:nor/>
                  <m:sty m:val="p"/>
                </m:rPr>
                <w:rPr>
                  <w:rFonts w:hint="default" w:ascii="Times New Roman" w:hAnsi="Times New Roman" w:cs="Times New Roman"/>
                  <w:i w:val="0"/>
                  <w:sz w:val="24"/>
                </w:rPr>
                <m:t>,</m:t>
              </m:r>
              <m:r>
                <m:rPr>
                  <m:sty m:val="p"/>
                </m:rPr>
                <w:rPr>
                  <w:rFonts w:hint="default" w:ascii="Cambria Math" w:hAnsi="Cambria Math" w:cs="Cambria Math"/>
                  <w:sz w:val="24"/>
                </w:rPr>
                <m:t>#</m:t>
              </m:r>
              <m:r>
                <m:rPr>
                  <m:sty m:val="p"/>
                </m:rPr>
                <w:rPr>
                  <w:rFonts w:hint="default" w:ascii="Cambria Math" w:hAnsi="Cambria Math" w:cs="Cambria Math"/>
                  <w:sz w:val="24"/>
                  <w:lang w:val="en-US" w:eastAsia="zh-CN"/>
                </w:rPr>
                <m:t>(2−10)</m:t>
              </m:r>
              <m:ctrlPr>
                <m:rPr/>
                <w:rPr>
                  <w:rFonts w:hint="default" w:ascii="Times New Roman" w:hAnsi="Times New Roman" w:cs="Times New Roman"/>
                  <w:i w:val="0"/>
                  <w:sz w:val="24"/>
                </w:rPr>
              </m:ctrlPr>
            </m:e>
          </m:eqArr>
        </m:oMath>
      </m:oMathPara>
    </w:p>
    <w:p w14:paraId="5953B4C1">
      <w:pPr>
        <w:bidi w:val="0"/>
      </w:pPr>
      <w:r>
        <w:t xml:space="preserve">其中 </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η</m:t>
            </m:r>
            <m:ctrlPr>
              <w:rPr>
                <w:rFonts w:hint="default" w:ascii="Cambria Math" w:hAnsi="Cambria Math" w:cs="Times New Roman"/>
                <w:sz w:val="24"/>
              </w:rPr>
            </m:ctrlPr>
          </m:e>
          <m:sub>
            <m:r>
              <m:rPr>
                <m:nor/>
                <m:sty m:val="p"/>
              </m:rPr>
              <w:rPr>
                <w:rFonts w:hint="default" w:ascii="Times New Roman" w:hAnsi="Times New Roman" w:cs="Times New Roman"/>
                <w:sz w:val="24"/>
              </w:rPr>
              <m:t>act</m:t>
            </m:r>
            <m:ctrlPr>
              <w:rPr>
                <w:rFonts w:hint="default" w:ascii="Cambria Math" w:hAnsi="Cambria Math" w:cs="Times New Roman"/>
                <w:sz w:val="24"/>
              </w:rPr>
            </m:ctrlPr>
          </m:sub>
        </m:sSub>
        <m:r>
          <m:rPr>
            <m:nor/>
            <m:sty m:val="p"/>
          </m:rPr>
          <w:rPr>
            <w:rFonts w:hint="default" w:ascii="Times New Roman" w:hAnsi="Times New Roman" w:cs="Times New Roman"/>
            <w:i w:val="0"/>
            <w:sz w:val="24"/>
          </w:rPr>
          <m:t>=0.7</m:t>
        </m:r>
      </m:oMath>
      <w:r>
        <m:rPr/>
        <w:rPr>
          <w:rFonts w:hint="eastAsia" w:cs="Times New Roman"/>
          <w:i w:val="0"/>
          <w:sz w:val="24"/>
          <w:lang w:val="en-US" w:eastAsia="zh-CN"/>
        </w:rPr>
        <w:t xml:space="preserve"> </w:t>
      </w:r>
      <w:r>
        <w:t>为资源活跃度，</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η</m:t>
            </m:r>
            <m:ctrlPr>
              <w:rPr>
                <w:rFonts w:hint="default" w:ascii="Cambria Math" w:hAnsi="Cambria Math" w:cs="Times New Roman"/>
                <w:sz w:val="24"/>
              </w:rPr>
            </m:ctrlPr>
          </m:e>
          <m:sub>
            <m:r>
              <m:rPr>
                <m:nor/>
                <m:sty m:val="p"/>
              </m:rPr>
              <w:rPr>
                <w:rFonts w:hint="default" w:ascii="Times New Roman" w:hAnsi="Times New Roman" w:cs="Times New Roman"/>
                <w:sz w:val="24"/>
              </w:rPr>
              <m:t>sch</m:t>
            </m:r>
            <m:ctrlPr>
              <w:rPr>
                <w:rFonts w:hint="default" w:ascii="Cambria Math" w:hAnsi="Cambria Math" w:cs="Times New Roman"/>
                <w:sz w:val="24"/>
              </w:rPr>
            </m:ctrlPr>
          </m:sub>
        </m:sSub>
        <m:r>
          <m:rPr>
            <m:nor/>
            <m:sty m:val="p"/>
          </m:rPr>
          <w:rPr>
            <w:rFonts w:hint="default" w:ascii="Times New Roman" w:hAnsi="Times New Roman" w:cs="Times New Roman"/>
            <w:i w:val="0"/>
            <w:sz w:val="24"/>
          </w:rPr>
          <m:t>=0.9</m:t>
        </m:r>
      </m:oMath>
      <w:r>
        <w:t xml:space="preserve"> 为调度效率，</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η</m:t>
            </m:r>
            <m:ctrlPr>
              <w:rPr>
                <w:rFonts w:hint="default" w:ascii="Cambria Math" w:hAnsi="Cambria Math" w:cs="Times New Roman"/>
                <w:sz w:val="24"/>
              </w:rPr>
            </m:ctrlPr>
          </m:e>
          <m:sub>
            <m:r>
              <m:rPr>
                <m:nor/>
                <m:sty m:val="p"/>
              </m:rPr>
              <w:rPr>
                <w:rFonts w:hint="default" w:ascii="Times New Roman" w:hAnsi="Times New Roman" w:cs="Times New Roman"/>
                <w:sz w:val="24"/>
              </w:rPr>
              <m:t>oh</m:t>
            </m:r>
            <m:ctrlPr>
              <w:rPr>
                <w:rFonts w:hint="default" w:ascii="Cambria Math" w:hAnsi="Cambria Math" w:cs="Times New Roman"/>
                <w:sz w:val="24"/>
              </w:rPr>
            </m:ctrlPr>
          </m:sub>
        </m:sSub>
        <m:r>
          <m:rPr>
            <m:nor/>
            <m:sty m:val="p"/>
          </m:rPr>
          <w:rPr>
            <w:rFonts w:hint="default" w:ascii="Times New Roman" w:hAnsi="Times New Roman" w:cs="Times New Roman"/>
            <w:i w:val="0"/>
            <w:sz w:val="24"/>
          </w:rPr>
          <m:t>=0.18</m:t>
        </m:r>
      </m:oMath>
      <w:r>
        <w:t xml:space="preserve"> 为控制开销比例，</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γ</m:t>
            </m:r>
            <m:ctrlPr>
              <w:rPr>
                <w:rFonts w:hint="default" w:ascii="Cambria Math" w:hAnsi="Cambria Math" w:cs="Times New Roman"/>
                <w:sz w:val="24"/>
              </w:rPr>
            </m:ctrlPr>
          </m:e>
          <m:sub>
            <m:r>
              <m:rPr>
                <m:nor/>
                <m:sty m:val="p"/>
              </m:rPr>
              <w:rPr>
                <w:rFonts w:hint="default" w:ascii="Times New Roman" w:hAnsi="Times New Roman" w:cs="Times New Roman"/>
                <w:i w:val="0"/>
                <w:sz w:val="24"/>
              </w:rPr>
              <m:t>0</m:t>
            </m:r>
            <m:ctrlPr>
              <w:rPr>
                <w:rFonts w:hint="default" w:ascii="Cambria Math" w:hAnsi="Cambria Math" w:cs="Times New Roman"/>
                <w:sz w:val="24"/>
              </w:rPr>
            </m:ctrlPr>
          </m:sub>
        </m:sSub>
        <m:r>
          <m:rPr>
            <m:nor/>
            <m:sty m:val="p"/>
          </m:rPr>
          <w:rPr>
            <w:rFonts w:hint="default" w:ascii="Times New Roman" w:hAnsi="Times New Roman" w:cs="Times New Roman"/>
            <w:i w:val="0"/>
            <w:sz w:val="24"/>
          </w:rPr>
          <m:t>=10</m:t>
        </m:r>
      </m:oMath>
      <w:r>
        <w:t xml:space="preserve"> dB 为业务可用门限。进一步定义单位面积有效 ASE 为</w:t>
      </w:r>
    </w:p>
    <w:p w14:paraId="790F3886">
      <w:pPr>
        <w:bidi w:val="0"/>
        <w:rPr/>
      </w:pPr>
      <m:oMathPara>
        <m:oMath>
          <m:eqArr>
            <m:eqArrPr>
              <m:maxDist m:val="1"/>
              <m:ctrlPr>
                <m:rPr/>
                <w:rPr>
                  <w:rFonts w:hint="default" w:ascii="Times New Roman" w:hAnsi="Times New Roman" w:cs="Times New Roman"/>
                  <w:i w:val="0"/>
                  <w:sz w:val="24"/>
                </w:rPr>
              </m:ctrlPr>
            </m:eqArrPr>
            <m:e>
              <m:sSub>
                <m:sSubPr>
                  <m:ctrlPr>
                    <w:rPr>
                      <w:rFonts w:hint="default" w:ascii="Cambria Math" w:hAnsi="Cambria Math" w:cs="Times New Roman"/>
                      <w:sz w:val="24"/>
                    </w:rPr>
                  </m:ctrlPr>
                </m:sSubPr>
                <m:e>
                  <m:r>
                    <m:rPr>
                      <m:nor/>
                      <m:sty m:val="p"/>
                    </m:rPr>
                    <w:rPr>
                      <w:rFonts w:hint="default" w:ascii="Times New Roman" w:hAnsi="Times New Roman" w:cs="Times New Roman"/>
                      <w:sz w:val="24"/>
                    </w:rPr>
                    <m:t>ASE</m:t>
                  </m:r>
                  <m:ctrlPr>
                    <w:rPr>
                      <w:rFonts w:hint="default" w:ascii="Cambria Math" w:hAnsi="Cambria Math" w:cs="Times New Roman"/>
                      <w:sz w:val="24"/>
                    </w:rPr>
                  </m:ctrlPr>
                </m:e>
                <m:sub>
                  <m:r>
                    <m:rPr>
                      <m:nor/>
                      <m:sty m:val="p"/>
                    </m:rPr>
                    <w:rPr>
                      <w:rFonts w:hint="default" w:ascii="Times New Roman" w:hAnsi="Times New Roman" w:cs="Times New Roman"/>
                      <w:sz w:val="24"/>
                    </w:rPr>
                    <m:t>eff</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f>
                <m:fPr>
                  <m:ctrlPr>
                    <w:rPr>
                      <w:rFonts w:hint="default" w:ascii="Cambria Math" w:hAnsi="Cambria Math" w:cs="Times New Roman"/>
                      <w:sz w:val="24"/>
                    </w:rPr>
                  </m:ctrlPr>
                </m:fPr>
                <m:num>
                  <m:sSub>
                    <m:sSubPr>
                      <m:ctrlPr>
                        <w:rPr>
                          <w:rFonts w:hint="default" w:ascii="Cambria Math" w:hAnsi="Cambria Math" w:cs="Times New Roman"/>
                          <w:sz w:val="24"/>
                        </w:rPr>
                      </m:ctrlPr>
                    </m:sSubPr>
                    <m:e>
                      <m:r>
                        <m:rPr>
                          <m:nor/>
                        </m:rPr>
                        <w:rPr>
                          <w:rFonts w:hint="default" w:ascii="Times New Roman" w:hAnsi="Times New Roman" w:cs="Times New Roman"/>
                          <w:i/>
                          <w:sz w:val="24"/>
                        </w:rPr>
                        <m:t>R</m:t>
                      </m:r>
                      <m:ctrlPr>
                        <w:rPr>
                          <w:rFonts w:hint="default" w:ascii="Cambria Math" w:hAnsi="Cambria Math" w:cs="Times New Roman"/>
                          <w:sz w:val="24"/>
                        </w:rPr>
                      </m:ctrlPr>
                    </m:e>
                    <m:sub>
                      <m:r>
                        <m:rPr>
                          <m:nor/>
                          <m:sty m:val="p"/>
                        </m:rPr>
                        <w:rPr>
                          <w:rFonts w:hint="default" w:ascii="Times New Roman" w:hAnsi="Times New Roman" w:cs="Times New Roman"/>
                          <w:sz w:val="24"/>
                        </w:rPr>
                        <m:t>eff</m:t>
                      </m:r>
                      <m:ctrlPr>
                        <w:rPr>
                          <w:rFonts w:hint="default" w:ascii="Cambria Math" w:hAnsi="Cambria Math" w:cs="Times New Roman"/>
                          <w:sz w:val="24"/>
                        </w:rPr>
                      </m:ctrlPr>
                    </m:sub>
                  </m:sSub>
                  <m:ctrlPr>
                    <w:rPr>
                      <w:rFonts w:hint="default" w:ascii="Cambria Math" w:hAnsi="Cambria Math" w:cs="Times New Roman"/>
                      <w:sz w:val="24"/>
                    </w:rPr>
                  </m:ctrlPr>
                </m:num>
                <m:den>
                  <m:r>
                    <m:rPr>
                      <m:nor/>
                    </m:rPr>
                    <w:rPr>
                      <w:rFonts w:hint="default" w:ascii="Times New Roman" w:hAnsi="Times New Roman" w:cs="Times New Roman"/>
                      <w:i/>
                      <w:sz w:val="24"/>
                    </w:rPr>
                    <m:t>N</m:t>
                  </m:r>
                  <m:sSub>
                    <m:sSubPr>
                      <m:ctrlPr>
                        <w:rPr>
                          <w:rFonts w:hint="default" w:ascii="Cambria Math" w:hAnsi="Cambria Math" w:cs="Times New Roman"/>
                          <w:sz w:val="24"/>
                        </w:rPr>
                      </m:ctrlPr>
                    </m:sSubPr>
                    <m:e>
                      <m:r>
                        <m:rPr>
                          <m:nor/>
                        </m:rPr>
                        <w:rPr>
                          <w:rFonts w:hint="default" w:ascii="Times New Roman" w:hAnsi="Times New Roman" w:cs="Times New Roman"/>
                          <w:i/>
                          <w:sz w:val="24"/>
                        </w:rPr>
                        <m:t>A</m:t>
                      </m:r>
                      <m:ctrlPr>
                        <w:rPr>
                          <w:rFonts w:hint="default" w:ascii="Cambria Math" w:hAnsi="Cambria Math" w:cs="Times New Roman"/>
                          <w:sz w:val="24"/>
                        </w:rPr>
                      </m:ctrlPr>
                    </m:e>
                    <m:sub>
                      <m:r>
                        <m:rPr>
                          <m:nor/>
                          <m:sty m:val="p"/>
                        </m:rPr>
                        <w:rPr>
                          <w:rFonts w:hint="default" w:ascii="Times New Roman" w:hAnsi="Times New Roman" w:cs="Times New Roman"/>
                          <w:sz w:val="24"/>
                        </w:rPr>
                        <m:t>cell</m:t>
                      </m:r>
                      <m:ctrlPr>
                        <w:rPr>
                          <w:rFonts w:hint="default" w:ascii="Cambria Math" w:hAnsi="Cambria Math" w:cs="Times New Roman"/>
                          <w:sz w:val="24"/>
                        </w:rPr>
                      </m:ctrlPr>
                    </m:sub>
                  </m:sSub>
                  <m:ctrlPr>
                    <w:rPr>
                      <w:rFonts w:hint="default" w:ascii="Cambria Math" w:hAnsi="Cambria Math" w:cs="Times New Roman"/>
                      <w:sz w:val="24"/>
                    </w:rPr>
                  </m:ctrlPr>
                </m:den>
              </m:f>
              <m:r>
                <m:rPr>
                  <m:nor/>
                  <m:sty m:val="p"/>
                </m:rPr>
                <w:rPr>
                  <w:rFonts w:hint="default" w:ascii="Times New Roman" w:hAnsi="Times New Roman" w:cs="Times New Roman"/>
                  <w:i w:val="0"/>
                  <w:sz w:val="24"/>
                </w:rPr>
                <m:t>,</m:t>
              </m:r>
              <m:r>
                <m:rPr>
                  <m:sty m:val="p"/>
                </m:rPr>
                <w:rPr>
                  <w:rFonts w:hint="default" w:ascii="Cambria Math" w:hAnsi="Cambria Math" w:cs="Cambria Math"/>
                  <w:sz w:val="24"/>
                </w:rPr>
                <m:t>#</m:t>
              </m:r>
              <m:r>
                <m:rPr>
                  <m:sty m:val="p"/>
                </m:rPr>
                <w:rPr>
                  <w:rFonts w:hint="default" w:ascii="Cambria Math" w:hAnsi="Cambria Math" w:cs="Cambria Math"/>
                  <w:sz w:val="24"/>
                  <w:lang w:val="en-US" w:eastAsia="zh-CN"/>
                </w:rPr>
                <m:t>(2−11)</m:t>
              </m:r>
              <m:ctrlPr>
                <m:rPr/>
                <w:rPr>
                  <w:rFonts w:hint="default" w:ascii="Times New Roman" w:hAnsi="Times New Roman" w:cs="Times New Roman"/>
                  <w:i w:val="0"/>
                  <w:sz w:val="24"/>
                </w:rPr>
              </m:ctrlPr>
            </m:e>
          </m:eqArr>
        </m:oMath>
      </m:oMathPara>
    </w:p>
    <w:p w14:paraId="0E9AA53C">
      <w:pPr>
        <w:bidi w:val="0"/>
      </w:pPr>
      <w:r>
        <w:t>而六边形小区面积为</w:t>
      </w:r>
    </w:p>
    <w:p w14:paraId="1F2F2AAC">
      <w:pPr>
        <w:bidi w:val="0"/>
        <w:rPr/>
      </w:pPr>
      <m:oMathPara>
        <m:oMath>
          <m:eqArr>
            <m:eqArrPr>
              <m:maxDist m:val="1"/>
              <m:ctrlPr>
                <m:rPr/>
                <w:rPr>
                  <w:rFonts w:hint="default" w:ascii="Times New Roman" w:hAnsi="Times New Roman" w:cs="Times New Roman"/>
                  <w:i w:val="0"/>
                  <w:sz w:val="24"/>
                </w:rPr>
              </m:ctrlPr>
            </m:eqArrPr>
            <m:e>
              <m:sSub>
                <m:sSubPr>
                  <m:ctrlPr>
                    <w:rPr>
                      <w:rFonts w:hint="default" w:ascii="Cambria Math" w:hAnsi="Cambria Math" w:cs="Times New Roman"/>
                      <w:sz w:val="24"/>
                    </w:rPr>
                  </m:ctrlPr>
                </m:sSubPr>
                <m:e>
                  <m:r>
                    <m:rPr>
                      <m:nor/>
                    </m:rPr>
                    <w:rPr>
                      <w:rFonts w:hint="default" w:ascii="Times New Roman" w:hAnsi="Times New Roman" w:cs="Times New Roman"/>
                      <w:i/>
                      <w:sz w:val="24"/>
                    </w:rPr>
                    <m:t>A</m:t>
                  </m:r>
                  <m:ctrlPr>
                    <w:rPr>
                      <w:rFonts w:hint="default" w:ascii="Cambria Math" w:hAnsi="Cambria Math" w:cs="Times New Roman"/>
                      <w:sz w:val="24"/>
                    </w:rPr>
                  </m:ctrlPr>
                </m:e>
                <m:sub>
                  <m:r>
                    <m:rPr>
                      <m:nor/>
                      <m:sty m:val="p"/>
                    </m:rPr>
                    <w:rPr>
                      <w:rFonts w:hint="default" w:ascii="Times New Roman" w:hAnsi="Times New Roman" w:cs="Times New Roman"/>
                      <w:sz w:val="24"/>
                    </w:rPr>
                    <m:t>cell</m:t>
                  </m:r>
                  <m:ctrlPr>
                    <w:rPr>
                      <w:rFonts w:hint="default" w:ascii="Cambria Math" w:hAnsi="Cambria Math" w:cs="Times New Roman"/>
                      <w:sz w:val="24"/>
                    </w:rPr>
                  </m:ctrlPr>
                </m:sub>
              </m:sSub>
              <m:r>
                <m:rPr>
                  <m:nor/>
                  <m:sty m:val="p"/>
                </m:rPr>
                <w:rPr>
                  <w:rFonts w:hint="default" w:ascii="Times New Roman" w:hAnsi="Times New Roman" w:cs="Times New Roman"/>
                  <w:i w:val="0"/>
                  <w:sz w:val="24"/>
                </w:rPr>
                <m:t>=</m:t>
              </m:r>
              <m:f>
                <m:fPr>
                  <m:ctrlPr>
                    <w:rPr>
                      <w:rFonts w:hint="default" w:ascii="Cambria Math" w:hAnsi="Cambria Math" w:cs="Times New Roman"/>
                      <w:sz w:val="24"/>
                    </w:rPr>
                  </m:ctrlPr>
                </m:fPr>
                <m:num>
                  <m:r>
                    <m:rPr>
                      <m:nor/>
                      <m:sty m:val="p"/>
                    </m:rPr>
                    <w:rPr>
                      <w:rFonts w:hint="default" w:ascii="Times New Roman" w:hAnsi="Times New Roman" w:cs="Times New Roman"/>
                      <w:i w:val="0"/>
                      <w:sz w:val="24"/>
                    </w:rPr>
                    <m:t>3</m:t>
                  </m:r>
                  <m:rad>
                    <m:radPr>
                      <m:degHide m:val="1"/>
                      <m:ctrlPr>
                        <w:rPr>
                          <w:rFonts w:hint="default" w:ascii="Cambria Math" w:hAnsi="Cambria Math" w:cs="Times New Roman"/>
                          <w:sz w:val="24"/>
                        </w:rPr>
                      </m:ctrlPr>
                    </m:radPr>
                    <m:deg>
                      <m:ctrlPr>
                        <w:rPr>
                          <w:rFonts w:hint="default" w:ascii="Cambria Math" w:hAnsi="Cambria Math" w:cs="Times New Roman"/>
                          <w:sz w:val="24"/>
                        </w:rPr>
                      </m:ctrlPr>
                    </m:deg>
                    <m:e>
                      <m:r>
                        <m:rPr>
                          <m:nor/>
                          <m:sty m:val="p"/>
                        </m:rPr>
                        <w:rPr>
                          <w:rFonts w:hint="default" w:ascii="Times New Roman" w:hAnsi="Times New Roman" w:cs="Times New Roman"/>
                          <w:i w:val="0"/>
                          <w:sz w:val="24"/>
                        </w:rPr>
                        <m:t>3</m:t>
                      </m:r>
                      <m:ctrlPr>
                        <w:rPr>
                          <w:rFonts w:hint="default" w:ascii="Cambria Math" w:hAnsi="Cambria Math" w:cs="Times New Roman"/>
                          <w:sz w:val="24"/>
                        </w:rPr>
                      </m:ctrlPr>
                    </m:e>
                  </m:rad>
                  <m:ctrlPr>
                    <w:rPr>
                      <w:rFonts w:hint="default" w:ascii="Cambria Math" w:hAnsi="Cambria Math" w:cs="Times New Roman"/>
                      <w:sz w:val="24"/>
                    </w:rPr>
                  </m:ctrlPr>
                </m:num>
                <m:den>
                  <m:r>
                    <m:rPr>
                      <m:nor/>
                      <m:sty m:val="p"/>
                    </m:rPr>
                    <w:rPr>
                      <w:rFonts w:hint="default" w:ascii="Times New Roman" w:hAnsi="Times New Roman" w:cs="Times New Roman"/>
                      <w:i w:val="0"/>
                      <w:sz w:val="24"/>
                    </w:rPr>
                    <m:t>2</m:t>
                  </m:r>
                  <m:ctrlPr>
                    <w:rPr>
                      <w:rFonts w:hint="default" w:ascii="Cambria Math" w:hAnsi="Cambria Math" w:cs="Times New Roman"/>
                      <w:sz w:val="24"/>
                    </w:rPr>
                  </m:ctrlPr>
                </m:den>
              </m:f>
              <m:sSup>
                <m:sSupPr>
                  <m:ctrlPr>
                    <w:rPr>
                      <w:rFonts w:hint="default" w:ascii="Cambria Math" w:hAnsi="Cambria Math" w:cs="Times New Roman"/>
                      <w:sz w:val="24"/>
                    </w:rPr>
                  </m:ctrlPr>
                </m:sSupPr>
                <m:e>
                  <m:r>
                    <m:rPr>
                      <m:nor/>
                    </m:rPr>
                    <w:rPr>
                      <w:rFonts w:hint="default" w:ascii="Times New Roman" w:hAnsi="Times New Roman" w:cs="Times New Roman"/>
                      <w:i/>
                      <w:sz w:val="24"/>
                    </w:rPr>
                    <m:t>R</m:t>
                  </m:r>
                  <m:ctrlPr>
                    <w:rPr>
                      <w:rFonts w:hint="default" w:ascii="Cambria Math" w:hAnsi="Cambria Math" w:cs="Times New Roman"/>
                      <w:sz w:val="24"/>
                    </w:rPr>
                  </m:ctrlPr>
                </m:e>
                <m:sup>
                  <m:r>
                    <m:rPr>
                      <m:nor/>
                      <m:sty m:val="p"/>
                    </m:rPr>
                    <w:rPr>
                      <w:rFonts w:hint="default" w:ascii="Times New Roman" w:hAnsi="Times New Roman" w:cs="Times New Roman"/>
                      <w:i w:val="0"/>
                      <w:sz w:val="24"/>
                    </w:rPr>
                    <m:t>2</m:t>
                  </m:r>
                  <m:ctrlPr>
                    <w:rPr>
                      <w:rFonts w:hint="default" w:ascii="Cambria Math" w:hAnsi="Cambria Math" w:cs="Times New Roman"/>
                      <w:sz w:val="24"/>
                    </w:rPr>
                  </m:ctrlPr>
                </m:sup>
              </m:sSup>
              <m:r>
                <m:rPr>
                  <m:nor/>
                  <m:sty m:val="p"/>
                </m:rPr>
                <w:rPr>
                  <w:rFonts w:hint="default" w:ascii="Times New Roman" w:hAnsi="Times New Roman" w:cs="Times New Roman"/>
                  <w:i w:val="0"/>
                  <w:sz w:val="24"/>
                </w:rPr>
                <m:t>.</m:t>
              </m:r>
              <m:r>
                <m:rPr>
                  <m:sty m:val="p"/>
                </m:rPr>
                <w:rPr>
                  <w:rFonts w:hint="default" w:ascii="Cambria Math" w:hAnsi="Cambria Math" w:cs="Cambria Math"/>
                  <w:sz w:val="24"/>
                </w:rPr>
                <m:t>#</m:t>
              </m:r>
              <m:r>
                <m:rPr>
                  <m:sty m:val="p"/>
                </m:rPr>
                <w:rPr>
                  <w:rFonts w:hint="default" w:ascii="Cambria Math" w:hAnsi="Cambria Math" w:cs="Cambria Math"/>
                  <w:sz w:val="24"/>
                  <w:lang w:val="en-US" w:eastAsia="zh-CN"/>
                </w:rPr>
                <m:t>(2−12)</m:t>
              </m:r>
              <m:ctrlPr>
                <m:rPr/>
                <w:rPr>
                  <w:rFonts w:hint="default" w:ascii="Times New Roman" w:hAnsi="Times New Roman" w:cs="Times New Roman"/>
                  <w:i w:val="0"/>
                  <w:sz w:val="24"/>
                </w:rPr>
              </m:ctrlPr>
            </m:e>
          </m:eqArr>
        </m:oMath>
      </m:oMathPara>
    </w:p>
    <w:p w14:paraId="127436FD">
      <w:pPr>
        <w:bidi w:val="0"/>
        <w:sectPr>
          <w:pgSz w:w="11906" w:h="16838"/>
          <w:pgMar w:top="1440" w:right="1440" w:bottom="1440" w:left="1440" w:header="720" w:footer="720" w:gutter="0"/>
          <w:cols w:space="720" w:num="1"/>
          <w:titlePg/>
          <w:docGrid w:linePitch="360" w:charSpace="0"/>
        </w:sectPr>
      </w:pPr>
      <w:r>
        <w:t xml:space="preserve">当 </w:t>
      </w:r>
      <m:oMath>
        <m:r>
          <m:rPr>
            <m:nor/>
          </m:rPr>
          <w:rPr>
            <w:rFonts w:hint="default" w:ascii="Times New Roman" w:hAnsi="Times New Roman" w:cs="Times New Roman"/>
            <w:i/>
            <w:sz w:val="24"/>
          </w:rPr>
          <m:t>R</m:t>
        </m:r>
        <m:r>
          <m:rPr>
            <m:nor/>
            <m:sty m:val="p"/>
          </m:rPr>
          <w:rPr>
            <w:rFonts w:hint="default" w:ascii="Times New Roman" w:hAnsi="Times New Roman" w:cs="Times New Roman"/>
            <w:i w:val="0"/>
            <w:sz w:val="24"/>
          </w:rPr>
          <m:t>=500</m:t>
        </m:r>
      </m:oMath>
      <w:r>
        <w:t xml:space="preserve"> m 时，可得 </w:t>
      </w:r>
      <m:oMath>
        <m:sSub>
          <m:sSubPr>
            <m:ctrlPr>
              <w:rPr>
                <w:rFonts w:hint="default" w:ascii="Cambria Math" w:hAnsi="Cambria Math" w:cs="Times New Roman"/>
                <w:sz w:val="24"/>
              </w:rPr>
            </m:ctrlPr>
          </m:sSubPr>
          <m:e>
            <m:r>
              <m:rPr>
                <m:nor/>
              </m:rPr>
              <w:rPr>
                <w:rFonts w:hint="default" w:ascii="Times New Roman" w:hAnsi="Times New Roman" w:cs="Times New Roman"/>
                <w:i/>
                <w:sz w:val="24"/>
              </w:rPr>
              <m:t>A</m:t>
            </m:r>
            <m:ctrlPr>
              <w:rPr>
                <w:rFonts w:hint="default" w:ascii="Cambria Math" w:hAnsi="Cambria Math" w:cs="Times New Roman"/>
                <w:sz w:val="24"/>
              </w:rPr>
            </m:ctrlPr>
          </m:e>
          <m:sub>
            <m:r>
              <m:rPr>
                <m:nor/>
              </m:rPr>
              <w:rPr>
                <w:rFonts w:hint="default" w:ascii="Times New Roman" w:hAnsi="Times New Roman" w:cs="Times New Roman"/>
                <w:i/>
                <w:sz w:val="24"/>
              </w:rPr>
              <m:t>cell</m:t>
            </m:r>
            <m:ctrlPr>
              <w:rPr>
                <w:rFonts w:hint="default" w:ascii="Cambria Math" w:hAnsi="Cambria Math" w:cs="Times New Roman"/>
                <w:sz w:val="24"/>
              </w:rPr>
            </m:ctrlPr>
          </m:sub>
        </m:sSub>
        <m:r>
          <m:rPr>
            <m:nor/>
            <m:sty m:val="p"/>
          </m:rPr>
          <w:rPr>
            <w:rFonts w:hint="default" w:ascii="Times New Roman" w:hAnsi="Times New Roman" w:cs="Times New Roman"/>
            <w:i w:val="0"/>
            <w:sz w:val="24"/>
          </w:rPr>
          <m:t>≈0.6495</m:t>
        </m:r>
      </m:oMath>
      <w:r>
        <w:t xml:space="preserve"> km²。式（</w:t>
      </w:r>
      <w:r>
        <w:rPr>
          <w:rFonts w:hint="eastAsia"/>
          <w:lang w:val="en-US" w:eastAsia="zh-CN"/>
        </w:rPr>
        <w:t>2-</w:t>
      </w:r>
      <w:r>
        <w:t>10）和式（</w:t>
      </w:r>
      <w:r>
        <w:rPr>
          <w:rFonts w:hint="eastAsia"/>
          <w:lang w:val="en-US" w:eastAsia="zh-CN"/>
        </w:rPr>
        <w:t>2-</w:t>
      </w:r>
      <w:r>
        <w:t>11）的引入，使本文能够在链路 SINR 改善和空间复用密度下降之间建立统一比较尺度，也使后续讨论更贴近系统容量对比。</w:t>
      </w:r>
    </w:p>
    <w:p w14:paraId="14241277">
      <w:pPr>
        <w:bidi w:val="0"/>
        <w:sectPr>
          <w:pgSz w:w="11906" w:h="16838"/>
          <w:pgMar w:top="1440" w:right="1440" w:bottom="1440" w:left="1440" w:header="720" w:footer="720" w:gutter="0"/>
          <w:cols w:space="720" w:num="1"/>
          <w:titlePg/>
          <w:docGrid w:linePitch="360" w:charSpace="0"/>
        </w:sectPr>
      </w:pPr>
    </w:p>
    <w:p w14:paraId="137994E6">
      <w:pPr>
        <w:pStyle w:val="3"/>
        <w:bidi w:val="0"/>
      </w:pPr>
      <w:bookmarkStart w:id="10" w:name="_Toc3025"/>
      <w:r>
        <w:t>III. 仿真场景与实验设计</w:t>
      </w:r>
      <w:bookmarkEnd w:id="10"/>
    </w:p>
    <w:p w14:paraId="725C7830">
      <w:pPr>
        <w:pStyle w:val="4"/>
        <w:bidi w:val="0"/>
      </w:pPr>
      <w:bookmarkStart w:id="11" w:name="_Toc27300"/>
      <w:r>
        <w:t>A. 总体场景设置</w:t>
      </w:r>
      <w:bookmarkEnd w:id="11"/>
    </w:p>
    <w:p w14:paraId="7001FC30">
      <w:pPr>
        <w:bidi w:val="0"/>
      </w:pPr>
      <w:r>
        <w:t>本文的仿真框架分为三个层次。其一是解析层，用于根据式（</w:t>
      </w:r>
      <w:r>
        <w:rPr>
          <w:rFonts w:hint="eastAsia"/>
          <w:lang w:val="en-US" w:eastAsia="zh-CN"/>
        </w:rPr>
        <w:t>2-</w:t>
      </w:r>
      <w:r>
        <w:t>1）至式（</w:t>
      </w:r>
      <w:r>
        <w:rPr>
          <w:rFonts w:hint="eastAsia"/>
          <w:lang w:val="en-US" w:eastAsia="zh-CN"/>
        </w:rPr>
        <w:t>2-</w:t>
      </w:r>
      <w:r>
        <w:t>4）给出不同复用因子的边缘 SIR 基线；其二是静态统计层，在中心小区内进行大量随机用户投放，综合考虑方向图、路径损耗、阴影衰落、小尺度衰落与热噪声，统计地面与低空用户的 SIR、SINR 和有效 ASE；其三是动态数据驱动层，在公开真实站址簇基础上引入低空航迹、时变负载和建筑遮挡，从时间序列角度分析低空链路稳定性。这样的三层结构兼顾了理论的可解释性、仿真结果的量化性和真实场景的工程相关性。</w:t>
      </w:r>
    </w:p>
    <w:p w14:paraId="6C89FC72">
      <w:pPr>
        <w:pStyle w:val="4"/>
        <w:bidi w:val="0"/>
      </w:pPr>
      <w:bookmarkStart w:id="12" w:name="_Toc11224"/>
      <w:r>
        <w:t>B. 主要参数</w:t>
      </w:r>
      <w:bookmarkEnd w:id="12"/>
    </w:p>
    <w:p w14:paraId="62BDC955">
      <w:pPr>
        <w:bidi w:val="0"/>
      </w:pPr>
      <w:r>
        <w:t>主要仿真参数如 Table I 所示。参数设计遵循两个原则：一是尽量与常见的蜂窝传播参数一致，使理论与实验可对应；二是在低空部分引入能体现物理意义的关键因素，而不把模型扩展到难以解释的复杂程度。</w:t>
      </w:r>
    </w:p>
    <w:p w14:paraId="519DE9ED">
      <w:pPr>
        <w:spacing w:before="160" w:after="80"/>
        <w:jc w:val="center"/>
      </w:pPr>
      <w:r>
        <w:rPr>
          <w:rFonts w:ascii="Times New Roman" w:hAnsi="Times New Roman" w:eastAsia="宋体"/>
          <w:b/>
          <w:sz w:val="21"/>
        </w:rPr>
        <w:t>TABLE I. 主要仿真参数设置</w:t>
      </w:r>
    </w:p>
    <w:tbl>
      <w:tblPr>
        <w:tblStyle w:val="35"/>
        <w:tblW w:w="0" w:type="auto"/>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3128"/>
        <w:gridCol w:w="1063"/>
        <w:gridCol w:w="2383"/>
      </w:tblGrid>
      <w:tr w14:paraId="3557B49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5FE6C40B">
            <w:pPr>
              <w:snapToGrid w:val="0"/>
              <w:spacing w:after="0" w:line="240" w:lineRule="auto"/>
              <w:ind w:left="0" w:leftChars="0" w:right="0" w:rightChars="0" w:firstLine="0" w:firstLineChars="0"/>
              <w:jc w:val="center"/>
              <w:rPr>
                <w:rFonts w:ascii="Times New Roman" w:eastAsia="宋体"/>
                <w:b/>
                <w:sz w:val="20"/>
              </w:rPr>
            </w:pPr>
            <w:r>
              <w:rPr>
                <w:rFonts w:ascii="Times New Roman" w:hAnsi="Times New Roman" w:eastAsia="宋体"/>
                <w:b/>
                <w:sz w:val="20"/>
              </w:rPr>
              <w:t>参数</w:t>
            </w:r>
          </w:p>
        </w:tc>
        <w:tc>
          <w:tcPr>
            <w:tcW w:w="0" w:type="auto"/>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3011E8CB">
            <w:pPr>
              <w:snapToGrid w:val="0"/>
              <w:spacing w:after="0" w:line="240" w:lineRule="auto"/>
              <w:ind w:left="0" w:leftChars="0" w:right="0" w:rightChars="0" w:firstLine="0" w:firstLineChars="0"/>
              <w:jc w:val="center"/>
              <w:rPr>
                <w:rFonts w:ascii="Times New Roman" w:eastAsia="宋体"/>
                <w:b/>
                <w:sz w:val="20"/>
              </w:rPr>
            </w:pPr>
            <w:r>
              <w:rPr>
                <w:rFonts w:ascii="Times New Roman" w:hAnsi="Times New Roman" w:eastAsia="宋体"/>
                <w:b/>
                <w:sz w:val="20"/>
              </w:rPr>
              <w:t>符号</w:t>
            </w:r>
          </w:p>
        </w:tc>
        <w:tc>
          <w:tcPr>
            <w:tcW w:w="0" w:type="auto"/>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745F2CDE">
            <w:pPr>
              <w:snapToGrid w:val="0"/>
              <w:spacing w:after="0" w:line="240" w:lineRule="auto"/>
              <w:ind w:left="0" w:leftChars="0" w:right="0" w:rightChars="0" w:firstLine="0" w:firstLineChars="0"/>
              <w:jc w:val="center"/>
              <w:rPr>
                <w:rFonts w:ascii="Times New Roman" w:eastAsia="宋体"/>
                <w:b/>
                <w:sz w:val="20"/>
              </w:rPr>
            </w:pPr>
            <w:r>
              <w:rPr>
                <w:rFonts w:ascii="Times New Roman" w:hAnsi="Times New Roman" w:eastAsia="宋体"/>
                <w:b/>
                <w:sz w:val="20"/>
              </w:rPr>
              <w:t>取值</w:t>
            </w:r>
          </w:p>
        </w:tc>
      </w:tr>
      <w:tr w14:paraId="67F84A2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FCD0D4A">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小区半径</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86BE019">
            <w:pPr>
              <w:snapToGrid w:val="0"/>
              <w:spacing w:after="0" w:line="240" w:lineRule="auto"/>
              <w:ind w:left="0" w:leftChars="0" w:right="0" w:rightChars="0" w:firstLine="0" w:firstLineChars="0"/>
              <w:jc w:val="center"/>
              <w:rPr>
                <w:rFonts w:ascii="Times New Roman" w:eastAsia="宋体"/>
                <w:sz w:val="20"/>
              </w:rPr>
            </w:pPr>
            <m:oMathPara>
              <m:oMath>
                <m:r>
                  <m:rPr>
                    <m:nor/>
                  </m:rPr>
                  <w:rPr>
                    <w:rFonts w:hint="default" w:ascii="Times New Roman" w:hAnsi="Times New Roman" w:eastAsia="宋体" w:cs="Times New Roman"/>
                    <w:i/>
                    <w:sz w:val="20"/>
                  </w:rPr>
                  <m:t>R</m:t>
                </m:r>
              </m:oMath>
            </m:oMathPara>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C1867A7">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500 m</w:t>
            </w:r>
          </w:p>
        </w:tc>
      </w:tr>
      <w:tr w14:paraId="4AB35319">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F555B89">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复用因子</w:t>
            </w:r>
          </w:p>
        </w:tc>
        <w:tc>
          <w:tcPr>
            <w:tcW w:w="0" w:type="auto"/>
            <w:tcBorders>
              <w:top w:val="nil"/>
              <w:left w:val="nil"/>
              <w:bottom w:val="nil"/>
              <w:right w:val="nil"/>
            </w:tcBorders>
            <w:noWrap w:val="0"/>
            <w:tcMar>
              <w:top w:w="-1" w:type="dxa"/>
              <w:left w:w="-1" w:type="dxa"/>
              <w:bottom w:w="-1" w:type="dxa"/>
              <w:right w:w="-1" w:type="dxa"/>
            </w:tcMar>
            <w:vAlign w:val="center"/>
          </w:tcPr>
          <w:p w14:paraId="681BBC96">
            <w:pPr>
              <w:snapToGrid w:val="0"/>
              <w:spacing w:after="0" w:line="240" w:lineRule="auto"/>
              <w:ind w:left="0" w:leftChars="0" w:right="0" w:rightChars="0" w:firstLine="0" w:firstLineChars="0"/>
              <w:jc w:val="center"/>
              <w:rPr>
                <w:rFonts w:ascii="Times New Roman" w:eastAsia="宋体"/>
                <w:sz w:val="20"/>
              </w:rPr>
            </w:pPr>
            <m:oMathPara>
              <m:oMath>
                <m:r>
                  <m:rPr>
                    <m:nor/>
                  </m:rPr>
                  <w:rPr>
                    <w:rFonts w:hint="default" w:ascii="Times New Roman" w:hAnsi="Times New Roman" w:eastAsia="宋体" w:cs="Times New Roman"/>
                    <w:i/>
                    <w:sz w:val="20"/>
                  </w:rPr>
                  <m:t>N</m:t>
                </m:r>
              </m:oMath>
            </m:oMathPara>
          </w:p>
        </w:tc>
        <w:tc>
          <w:tcPr>
            <w:tcW w:w="0" w:type="auto"/>
            <w:tcBorders>
              <w:top w:val="nil"/>
              <w:left w:val="nil"/>
              <w:bottom w:val="nil"/>
              <w:right w:val="nil"/>
            </w:tcBorders>
            <w:noWrap w:val="0"/>
            <w:tcMar>
              <w:top w:w="-1" w:type="dxa"/>
              <w:left w:w="-1" w:type="dxa"/>
              <w:bottom w:w="-1" w:type="dxa"/>
              <w:right w:w="-1" w:type="dxa"/>
            </w:tcMar>
            <w:vAlign w:val="center"/>
          </w:tcPr>
          <w:p w14:paraId="4CB9F9ED">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1, 3, 4, 7, 12</w:t>
            </w:r>
          </w:p>
        </w:tc>
      </w:tr>
      <w:tr w14:paraId="71D51BB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E09FE06">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基站高度</w:t>
            </w:r>
          </w:p>
        </w:tc>
        <w:tc>
          <w:tcPr>
            <w:tcW w:w="0" w:type="auto"/>
            <w:tcBorders>
              <w:top w:val="nil"/>
              <w:left w:val="nil"/>
              <w:bottom w:val="nil"/>
              <w:right w:val="nil"/>
            </w:tcBorders>
            <w:noWrap w:val="0"/>
            <w:tcMar>
              <w:top w:w="-1" w:type="dxa"/>
              <w:left w:w="-1" w:type="dxa"/>
              <w:bottom w:w="-1" w:type="dxa"/>
              <w:right w:w="-1" w:type="dxa"/>
            </w:tcMar>
            <w:vAlign w:val="center"/>
          </w:tcPr>
          <w:p w14:paraId="4829A1FA">
            <w:pPr>
              <w:snapToGrid w:val="0"/>
              <w:spacing w:after="0" w:line="240" w:lineRule="auto"/>
              <w:ind w:left="0" w:leftChars="0" w:right="0" w:rightChars="0" w:firstLine="0" w:firstLineChars="0"/>
              <w:jc w:val="center"/>
              <w:rPr>
                <w:rFonts w:hint="eastAsia" w:ascii="Times New Roman" w:eastAsia="宋体"/>
                <w:sz w:val="20"/>
                <w:lang w:val="en-US" w:eastAsia="zh-CN"/>
              </w:rPr>
            </w:pPr>
            <m:oMathPara>
              <m:oMath>
                <m:sSub>
                  <m:sSubPr>
                    <m:ctrlPr>
                      <w:rPr>
                        <w:rFonts w:hint="default" w:ascii="Cambria Math" w:hAnsi="Cambria Math" w:eastAsia="宋体" w:cs="Times New Roman"/>
                        <w:sz w:val="20"/>
                      </w:rPr>
                    </m:ctrlPr>
                  </m:sSubPr>
                  <m:e>
                    <m:r>
                      <m:rPr>
                        <m:nor/>
                        <m:sty m:val="p"/>
                      </m:rPr>
                      <w:rPr>
                        <w:rFonts w:hint="default" w:ascii="Times New Roman" w:hAnsi="Times New Roman" w:eastAsia="宋体" w:cs="Times New Roman"/>
                        <w:i w:val="0"/>
                        <w:sz w:val="20"/>
                      </w:rPr>
                      <m:t>h</m:t>
                    </m:r>
                    <m:ctrlPr>
                      <w:rPr>
                        <w:rFonts w:hint="default" w:ascii="Cambria Math" w:hAnsi="Cambria Math" w:eastAsia="宋体" w:cs="Times New Roman"/>
                        <w:sz w:val="20"/>
                      </w:rPr>
                    </m:ctrlPr>
                  </m:e>
                  <m:sub>
                    <m:r>
                      <m:rPr>
                        <m:nor/>
                      </m:rPr>
                      <w:rPr>
                        <w:rFonts w:hint="default" w:ascii="Times New Roman" w:hAnsi="Times New Roman" w:eastAsia="宋体" w:cs="Times New Roman"/>
                        <w:i/>
                        <w:sz w:val="20"/>
                      </w:rPr>
                      <m:t>BS</m:t>
                    </m:r>
                    <m:ctrlPr>
                      <w:rPr>
                        <w:rFonts w:hint="default" w:ascii="Cambria Math" w:hAnsi="Cambria Math" w:eastAsia="宋体" w:cs="Times New Roman"/>
                        <w:sz w:val="20"/>
                      </w:rPr>
                    </m:ctrlPr>
                  </m:sub>
                </m:sSub>
              </m:oMath>
            </m:oMathPara>
          </w:p>
        </w:tc>
        <w:tc>
          <w:tcPr>
            <w:tcW w:w="0" w:type="auto"/>
            <w:tcBorders>
              <w:top w:val="nil"/>
              <w:left w:val="nil"/>
              <w:bottom w:val="nil"/>
              <w:right w:val="nil"/>
            </w:tcBorders>
            <w:noWrap w:val="0"/>
            <w:tcMar>
              <w:top w:w="-1" w:type="dxa"/>
              <w:left w:w="-1" w:type="dxa"/>
              <w:bottom w:w="-1" w:type="dxa"/>
              <w:right w:w="-1" w:type="dxa"/>
            </w:tcMar>
            <w:vAlign w:val="center"/>
          </w:tcPr>
          <w:p w14:paraId="4EA4585D">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25 m</w:t>
            </w:r>
          </w:p>
        </w:tc>
      </w:tr>
      <w:tr w14:paraId="1FAF8CE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7D5ABE7">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地面终端参考高度</w:t>
            </w:r>
          </w:p>
        </w:tc>
        <w:tc>
          <w:tcPr>
            <w:tcW w:w="0" w:type="auto"/>
            <w:tcBorders>
              <w:top w:val="nil"/>
              <w:left w:val="nil"/>
              <w:bottom w:val="nil"/>
              <w:right w:val="nil"/>
            </w:tcBorders>
            <w:noWrap w:val="0"/>
            <w:tcMar>
              <w:top w:w="-1" w:type="dxa"/>
              <w:left w:w="-1" w:type="dxa"/>
              <w:bottom w:w="-1" w:type="dxa"/>
              <w:right w:w="-1" w:type="dxa"/>
            </w:tcMar>
            <w:vAlign w:val="center"/>
          </w:tcPr>
          <w:p w14:paraId="0118960E">
            <w:pPr>
              <w:snapToGrid w:val="0"/>
              <w:spacing w:after="0" w:line="240" w:lineRule="auto"/>
              <w:ind w:left="0" w:leftChars="0" w:right="0" w:rightChars="0" w:firstLine="0" w:firstLineChars="0"/>
              <w:jc w:val="center"/>
              <w:rPr>
                <w:rFonts w:hint="eastAsia" w:ascii="Times New Roman" w:eastAsia="宋体"/>
                <w:sz w:val="20"/>
                <w:lang w:val="en-US" w:eastAsia="zh-CN"/>
              </w:rPr>
            </w:pPr>
            <m:oMathPara>
              <m:oMath>
                <m:sSub>
                  <m:sSubPr>
                    <m:ctrlPr>
                      <w:rPr>
                        <w:rFonts w:hint="default" w:ascii="Cambria Math" w:hAnsi="Cambria Math" w:eastAsia="宋体" w:cs="Times New Roman"/>
                        <w:sz w:val="20"/>
                      </w:rPr>
                    </m:ctrlPr>
                  </m:sSubPr>
                  <m:e>
                    <m:r>
                      <m:rPr>
                        <m:nor/>
                        <m:sty m:val="p"/>
                      </m:rPr>
                      <w:rPr>
                        <w:rFonts w:hint="default" w:ascii="Times New Roman" w:hAnsi="Times New Roman" w:eastAsia="宋体" w:cs="Times New Roman"/>
                        <w:i w:val="0"/>
                        <w:sz w:val="20"/>
                      </w:rPr>
                      <m:t>h</m:t>
                    </m:r>
                    <m:ctrlPr>
                      <w:rPr>
                        <w:rFonts w:hint="default" w:ascii="Cambria Math" w:hAnsi="Cambria Math" w:eastAsia="宋体" w:cs="Times New Roman"/>
                        <w:sz w:val="20"/>
                      </w:rPr>
                    </m:ctrlPr>
                  </m:e>
                  <m:sub>
                    <m:r>
                      <m:rPr>
                        <m:nor/>
                      </m:rPr>
                      <w:rPr>
                        <w:rFonts w:hint="default" w:ascii="Times New Roman" w:hAnsi="Times New Roman" w:eastAsia="宋体" w:cs="Times New Roman"/>
                        <w:i/>
                        <w:sz w:val="20"/>
                      </w:rPr>
                      <m:t>UT</m:t>
                    </m:r>
                    <m:r>
                      <m:rPr>
                        <m:nor/>
                        <m:sty m:val="p"/>
                      </m:rPr>
                      <w:rPr>
                        <w:rFonts w:hint="default" w:ascii="Times New Roman" w:hAnsi="Times New Roman" w:eastAsia="宋体" w:cs="Times New Roman"/>
                        <w:i w:val="0"/>
                        <w:sz w:val="20"/>
                      </w:rPr>
                      <m:t>,0</m:t>
                    </m:r>
                    <m:ctrlPr>
                      <w:rPr>
                        <w:rFonts w:hint="default" w:ascii="Cambria Math" w:hAnsi="Cambria Math" w:eastAsia="宋体" w:cs="Times New Roman"/>
                        <w:sz w:val="20"/>
                      </w:rPr>
                    </m:ctrlPr>
                  </m:sub>
                </m:sSub>
              </m:oMath>
            </m:oMathPara>
          </w:p>
        </w:tc>
        <w:tc>
          <w:tcPr>
            <w:tcW w:w="0" w:type="auto"/>
            <w:tcBorders>
              <w:top w:val="nil"/>
              <w:left w:val="nil"/>
              <w:bottom w:val="nil"/>
              <w:right w:val="nil"/>
            </w:tcBorders>
            <w:noWrap w:val="0"/>
            <w:tcMar>
              <w:top w:w="-1" w:type="dxa"/>
              <w:left w:w="-1" w:type="dxa"/>
              <w:bottom w:w="-1" w:type="dxa"/>
              <w:right w:w="-1" w:type="dxa"/>
            </w:tcMar>
            <w:vAlign w:val="center"/>
          </w:tcPr>
          <w:p w14:paraId="607EDB7C">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1.5 m</w:t>
            </w:r>
          </w:p>
        </w:tc>
      </w:tr>
      <w:tr w14:paraId="2BBF318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B6D3D58">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基站发射功率</w:t>
            </w:r>
          </w:p>
        </w:tc>
        <w:tc>
          <w:tcPr>
            <w:tcW w:w="0" w:type="auto"/>
            <w:tcBorders>
              <w:top w:val="nil"/>
              <w:left w:val="nil"/>
              <w:bottom w:val="nil"/>
              <w:right w:val="nil"/>
            </w:tcBorders>
            <w:noWrap w:val="0"/>
            <w:tcMar>
              <w:top w:w="-1" w:type="dxa"/>
              <w:left w:w="-1" w:type="dxa"/>
              <w:bottom w:w="-1" w:type="dxa"/>
              <w:right w:w="-1" w:type="dxa"/>
            </w:tcMar>
            <w:vAlign w:val="center"/>
          </w:tcPr>
          <w:p w14:paraId="0A136765">
            <w:pPr>
              <w:snapToGrid w:val="0"/>
              <w:spacing w:after="0" w:line="240" w:lineRule="auto"/>
              <w:ind w:left="0" w:leftChars="0" w:right="0" w:rightChars="0" w:firstLine="0" w:firstLineChars="0"/>
              <w:jc w:val="center"/>
              <w:rPr>
                <w:rFonts w:hint="eastAsia" w:ascii="Times New Roman" w:eastAsia="宋体"/>
                <w:sz w:val="20"/>
                <w:lang w:val="en-US" w:eastAsia="zh-CN"/>
              </w:rPr>
            </w:pPr>
            <m:oMathPara>
              <m:oMath>
                <m:sSub>
                  <m:sSubPr>
                    <m:ctrlPr>
                      <w:rPr>
                        <w:rFonts w:hint="default" w:ascii="Cambria Math" w:hAnsi="Cambria Math" w:eastAsia="宋体" w:cs="Times New Roman"/>
                        <w:sz w:val="20"/>
                      </w:rPr>
                    </m:ctrlPr>
                  </m:sSubPr>
                  <m:e>
                    <m:r>
                      <m:rPr>
                        <m:nor/>
                      </m:rPr>
                      <w:rPr>
                        <w:rFonts w:hint="default" w:ascii="Times New Roman" w:hAnsi="Times New Roman" w:eastAsia="宋体" w:cs="Times New Roman"/>
                        <w:i/>
                        <w:sz w:val="20"/>
                      </w:rPr>
                      <m:t>P</m:t>
                    </m:r>
                    <m:ctrlPr>
                      <w:rPr>
                        <w:rFonts w:hint="default" w:ascii="Cambria Math" w:hAnsi="Cambria Math" w:eastAsia="宋体" w:cs="Times New Roman"/>
                        <w:sz w:val="20"/>
                      </w:rPr>
                    </m:ctrlPr>
                  </m:e>
                  <m:sub>
                    <m:r>
                      <m:rPr>
                        <m:nor/>
                      </m:rPr>
                      <w:rPr>
                        <w:rFonts w:hint="default" w:ascii="Times New Roman" w:hAnsi="Times New Roman" w:eastAsia="宋体" w:cs="Times New Roman"/>
                        <w:i/>
                        <w:sz w:val="20"/>
                      </w:rPr>
                      <m:t>tx</m:t>
                    </m:r>
                    <m:ctrlPr>
                      <w:rPr>
                        <w:rFonts w:hint="default" w:ascii="Cambria Math" w:hAnsi="Cambria Math" w:eastAsia="宋体" w:cs="Times New Roman"/>
                        <w:sz w:val="20"/>
                      </w:rPr>
                    </m:ctrlPr>
                  </m:sub>
                </m:sSub>
              </m:oMath>
            </m:oMathPara>
          </w:p>
        </w:tc>
        <w:tc>
          <w:tcPr>
            <w:tcW w:w="0" w:type="auto"/>
            <w:tcBorders>
              <w:top w:val="nil"/>
              <w:left w:val="nil"/>
              <w:bottom w:val="nil"/>
              <w:right w:val="nil"/>
            </w:tcBorders>
            <w:noWrap w:val="0"/>
            <w:tcMar>
              <w:top w:w="-1" w:type="dxa"/>
              <w:left w:w="-1" w:type="dxa"/>
              <w:bottom w:w="-1" w:type="dxa"/>
              <w:right w:w="-1" w:type="dxa"/>
            </w:tcMar>
            <w:vAlign w:val="center"/>
          </w:tcPr>
          <w:p w14:paraId="73DAB348">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46 dBm</w:t>
            </w:r>
          </w:p>
        </w:tc>
      </w:tr>
      <w:tr w14:paraId="200BC84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36D670C">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工作带宽</w:t>
            </w:r>
          </w:p>
        </w:tc>
        <w:tc>
          <w:tcPr>
            <w:tcW w:w="0" w:type="auto"/>
            <w:tcBorders>
              <w:top w:val="nil"/>
              <w:left w:val="nil"/>
              <w:bottom w:val="nil"/>
              <w:right w:val="nil"/>
            </w:tcBorders>
            <w:noWrap w:val="0"/>
            <w:tcMar>
              <w:top w:w="-1" w:type="dxa"/>
              <w:left w:w="-1" w:type="dxa"/>
              <w:bottom w:w="-1" w:type="dxa"/>
              <w:right w:w="-1" w:type="dxa"/>
            </w:tcMar>
            <w:vAlign w:val="center"/>
          </w:tcPr>
          <w:p w14:paraId="616088BA">
            <w:pPr>
              <w:snapToGrid w:val="0"/>
              <w:spacing w:after="0" w:line="240" w:lineRule="auto"/>
              <w:ind w:left="0" w:leftChars="0" w:right="0" w:rightChars="0" w:firstLine="0" w:firstLineChars="0"/>
              <w:jc w:val="center"/>
              <w:rPr>
                <w:rFonts w:ascii="Times New Roman" w:eastAsia="宋体"/>
                <w:sz w:val="20"/>
              </w:rPr>
            </w:pPr>
            <m:oMathPara>
              <m:oMath>
                <m:r>
                  <m:rPr>
                    <m:nor/>
                  </m:rPr>
                  <w:rPr>
                    <w:rFonts w:hint="default" w:ascii="Times New Roman" w:hAnsi="Times New Roman" w:eastAsia="宋体" w:cs="Times New Roman"/>
                    <w:i/>
                    <w:sz w:val="20"/>
                  </w:rPr>
                  <m:t>B</m:t>
                </m:r>
              </m:oMath>
            </m:oMathPara>
          </w:p>
        </w:tc>
        <w:tc>
          <w:tcPr>
            <w:tcW w:w="0" w:type="auto"/>
            <w:tcBorders>
              <w:top w:val="nil"/>
              <w:left w:val="nil"/>
              <w:bottom w:val="nil"/>
              <w:right w:val="nil"/>
            </w:tcBorders>
            <w:noWrap w:val="0"/>
            <w:tcMar>
              <w:top w:w="-1" w:type="dxa"/>
              <w:left w:w="-1" w:type="dxa"/>
              <w:bottom w:w="-1" w:type="dxa"/>
              <w:right w:w="-1" w:type="dxa"/>
            </w:tcMar>
            <w:vAlign w:val="center"/>
          </w:tcPr>
          <w:p w14:paraId="3931BAFA">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20 MHz</w:t>
            </w:r>
          </w:p>
        </w:tc>
      </w:tr>
      <w:tr w14:paraId="3855FDE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DEE976D">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接收机噪声系数</w:t>
            </w:r>
          </w:p>
        </w:tc>
        <w:tc>
          <w:tcPr>
            <w:tcW w:w="0" w:type="auto"/>
            <w:tcBorders>
              <w:top w:val="nil"/>
              <w:left w:val="nil"/>
              <w:bottom w:val="nil"/>
              <w:right w:val="nil"/>
            </w:tcBorders>
            <w:noWrap w:val="0"/>
            <w:tcMar>
              <w:top w:w="-1" w:type="dxa"/>
              <w:left w:w="-1" w:type="dxa"/>
              <w:bottom w:w="-1" w:type="dxa"/>
              <w:right w:w="-1" w:type="dxa"/>
            </w:tcMar>
            <w:vAlign w:val="center"/>
          </w:tcPr>
          <w:p w14:paraId="58327145">
            <w:pPr>
              <w:snapToGrid w:val="0"/>
              <w:spacing w:after="0" w:line="240" w:lineRule="auto"/>
              <w:ind w:left="0" w:leftChars="0" w:right="0" w:rightChars="0" w:firstLine="0" w:firstLineChars="0"/>
              <w:jc w:val="center"/>
              <w:rPr>
                <w:rFonts w:ascii="Times New Roman" w:eastAsia="宋体"/>
                <w:sz w:val="20"/>
              </w:rPr>
            </w:pPr>
            <m:oMathPara>
              <m:oMath>
                <m:r>
                  <m:rPr>
                    <m:nor/>
                  </m:rPr>
                  <w:rPr>
                    <w:rFonts w:hint="default" w:ascii="Times New Roman" w:hAnsi="Times New Roman" w:eastAsia="宋体" w:cs="Times New Roman"/>
                    <w:i/>
                    <w:sz w:val="20"/>
                  </w:rPr>
                  <m:t>F</m:t>
                </m:r>
              </m:oMath>
            </m:oMathPara>
          </w:p>
        </w:tc>
        <w:tc>
          <w:tcPr>
            <w:tcW w:w="0" w:type="auto"/>
            <w:tcBorders>
              <w:top w:val="nil"/>
              <w:left w:val="nil"/>
              <w:bottom w:val="nil"/>
              <w:right w:val="nil"/>
            </w:tcBorders>
            <w:noWrap w:val="0"/>
            <w:tcMar>
              <w:top w:w="-1" w:type="dxa"/>
              <w:left w:w="-1" w:type="dxa"/>
              <w:bottom w:w="-1" w:type="dxa"/>
              <w:right w:w="-1" w:type="dxa"/>
            </w:tcMar>
            <w:vAlign w:val="center"/>
          </w:tcPr>
          <w:p w14:paraId="7A767329">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7 dB</w:t>
            </w:r>
          </w:p>
        </w:tc>
      </w:tr>
      <w:tr w14:paraId="48E8E4B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1C9A47B">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载频</w:t>
            </w:r>
          </w:p>
        </w:tc>
        <w:tc>
          <w:tcPr>
            <w:tcW w:w="0" w:type="auto"/>
            <w:tcBorders>
              <w:top w:val="nil"/>
              <w:left w:val="nil"/>
              <w:bottom w:val="nil"/>
              <w:right w:val="nil"/>
            </w:tcBorders>
            <w:noWrap w:val="0"/>
            <w:tcMar>
              <w:top w:w="-1" w:type="dxa"/>
              <w:left w:w="-1" w:type="dxa"/>
              <w:bottom w:w="-1" w:type="dxa"/>
              <w:right w:w="-1" w:type="dxa"/>
            </w:tcMar>
            <w:vAlign w:val="center"/>
          </w:tcPr>
          <w:p w14:paraId="6163376F">
            <w:pPr>
              <w:snapToGrid w:val="0"/>
              <w:spacing w:after="0" w:line="240" w:lineRule="auto"/>
              <w:ind w:left="0" w:leftChars="0" w:right="0" w:rightChars="0" w:firstLine="0" w:firstLineChars="0"/>
              <w:jc w:val="center"/>
              <w:rPr>
                <w:rFonts w:ascii="Times New Roman" w:eastAsia="宋体"/>
                <w:sz w:val="20"/>
              </w:rPr>
            </w:pPr>
            <m:oMathPara>
              <m:oMath>
                <m:sSub>
                  <m:sSubPr>
                    <m:ctrlPr>
                      <w:rPr>
                        <w:rFonts w:hint="default" w:ascii="Cambria Math" w:hAnsi="Cambria Math" w:eastAsia="宋体" w:cs="Times New Roman"/>
                        <w:sz w:val="20"/>
                      </w:rPr>
                    </m:ctrlPr>
                  </m:sSubPr>
                  <m:e>
                    <m:r>
                      <m:rPr>
                        <m:nor/>
                      </m:rPr>
                      <w:rPr>
                        <w:rFonts w:hint="default" w:ascii="Times New Roman" w:hAnsi="Times New Roman" w:eastAsia="宋体" w:cs="Times New Roman"/>
                        <w:i/>
                        <w:sz w:val="20"/>
                      </w:rPr>
                      <m:t>f</m:t>
                    </m:r>
                    <m:ctrlPr>
                      <w:rPr>
                        <w:rFonts w:hint="default" w:ascii="Cambria Math" w:hAnsi="Cambria Math" w:eastAsia="宋体" w:cs="Times New Roman"/>
                        <w:sz w:val="20"/>
                      </w:rPr>
                    </m:ctrlPr>
                  </m:e>
                  <m:sub>
                    <m:r>
                      <m:rPr>
                        <m:nor/>
                      </m:rPr>
                      <w:rPr>
                        <w:rFonts w:hint="default" w:ascii="Times New Roman" w:hAnsi="Times New Roman" w:eastAsia="宋体" w:cs="Times New Roman"/>
                        <w:i/>
                        <w:sz w:val="20"/>
                      </w:rPr>
                      <m:t>c</m:t>
                    </m:r>
                    <m:ctrlPr>
                      <w:rPr>
                        <w:rFonts w:hint="default" w:ascii="Cambria Math" w:hAnsi="Cambria Math" w:eastAsia="宋体" w:cs="Times New Roman"/>
                        <w:sz w:val="20"/>
                      </w:rPr>
                    </m:ctrlPr>
                  </m:sub>
                </m:sSub>
              </m:oMath>
            </m:oMathPara>
          </w:p>
        </w:tc>
        <w:tc>
          <w:tcPr>
            <w:tcW w:w="0" w:type="auto"/>
            <w:tcBorders>
              <w:top w:val="nil"/>
              <w:left w:val="nil"/>
              <w:bottom w:val="nil"/>
              <w:right w:val="nil"/>
            </w:tcBorders>
            <w:noWrap w:val="0"/>
            <w:tcMar>
              <w:top w:w="-1" w:type="dxa"/>
              <w:left w:w="-1" w:type="dxa"/>
              <w:bottom w:w="-1" w:type="dxa"/>
              <w:right w:w="-1" w:type="dxa"/>
            </w:tcMar>
            <w:vAlign w:val="center"/>
          </w:tcPr>
          <w:p w14:paraId="5331D3D8">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3.5 GHz</w:t>
            </w:r>
          </w:p>
        </w:tc>
      </w:tr>
      <w:tr w14:paraId="550E39C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BDFA21E">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Monte Carlo 样本数</w:t>
            </w:r>
          </w:p>
        </w:tc>
        <w:tc>
          <w:tcPr>
            <w:tcW w:w="0" w:type="auto"/>
            <w:tcBorders>
              <w:top w:val="nil"/>
              <w:left w:val="nil"/>
              <w:bottom w:val="nil"/>
              <w:right w:val="nil"/>
            </w:tcBorders>
            <w:noWrap w:val="0"/>
            <w:tcMar>
              <w:top w:w="-1" w:type="dxa"/>
              <w:left w:w="-1" w:type="dxa"/>
              <w:bottom w:w="-1" w:type="dxa"/>
              <w:right w:w="-1" w:type="dxa"/>
            </w:tcMar>
            <w:vAlign w:val="center"/>
          </w:tcPr>
          <w:p w14:paraId="59A92AFF">
            <w:pPr>
              <w:snapToGrid w:val="0"/>
              <w:spacing w:after="0" w:line="240" w:lineRule="auto"/>
              <w:ind w:left="0" w:leftChars="0" w:right="0" w:rightChars="0" w:firstLine="0" w:firstLineChars="0"/>
              <w:jc w:val="center"/>
              <w:rPr>
                <w:rFonts w:ascii="Times New Roman" w:eastAsia="宋体"/>
                <w:sz w:val="20"/>
              </w:rPr>
            </w:pPr>
            <m:oMathPara>
              <m:oMath>
                <m:r>
                  <m:rPr>
                    <m:nor/>
                    <m:sty m:val="p"/>
                  </m:rPr>
                  <w:rPr>
                    <w:rFonts w:hint="default" w:ascii="Times New Roman" w:hAnsi="Times New Roman" w:eastAsia="宋体" w:cs="Times New Roman"/>
                    <w:i w:val="0"/>
                    <w:sz w:val="20"/>
                  </w:rPr>
                  <m:t>−</m:t>
                </m:r>
              </m:oMath>
            </m:oMathPara>
          </w:p>
        </w:tc>
        <w:tc>
          <w:tcPr>
            <w:tcW w:w="0" w:type="auto"/>
            <w:tcBorders>
              <w:top w:val="nil"/>
              <w:left w:val="nil"/>
              <w:bottom w:val="nil"/>
              <w:right w:val="nil"/>
            </w:tcBorders>
            <w:noWrap w:val="0"/>
            <w:tcMar>
              <w:top w:w="-1" w:type="dxa"/>
              <w:left w:w="-1" w:type="dxa"/>
              <w:bottom w:w="-1" w:type="dxa"/>
              <w:right w:w="-1" w:type="dxa"/>
            </w:tcMar>
            <w:vAlign w:val="center"/>
          </w:tcPr>
          <w:p w14:paraId="21F432FD">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4000</w:t>
            </w:r>
          </w:p>
        </w:tc>
      </w:tr>
      <w:tr w14:paraId="72D1DE4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E9CC279">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LOS / NLOS 路径损耗指数</w:t>
            </w:r>
          </w:p>
        </w:tc>
        <w:tc>
          <w:tcPr>
            <w:tcW w:w="0" w:type="auto"/>
            <w:tcBorders>
              <w:top w:val="nil"/>
              <w:left w:val="nil"/>
              <w:bottom w:val="nil"/>
              <w:right w:val="nil"/>
            </w:tcBorders>
            <w:noWrap w:val="0"/>
            <w:tcMar>
              <w:top w:w="-1" w:type="dxa"/>
              <w:left w:w="-1" w:type="dxa"/>
              <w:bottom w:w="-1" w:type="dxa"/>
              <w:right w:w="-1" w:type="dxa"/>
            </w:tcMar>
            <w:vAlign w:val="center"/>
          </w:tcPr>
          <w:p w14:paraId="67EA7412">
            <w:pPr>
              <w:snapToGrid w:val="0"/>
              <w:spacing w:after="0" w:line="240" w:lineRule="auto"/>
              <w:ind w:left="0" w:leftChars="0" w:right="0" w:rightChars="0" w:firstLine="0" w:firstLineChars="0"/>
              <w:jc w:val="center"/>
              <w:rPr>
                <w:rFonts w:hint="eastAsia" w:ascii="Times New Roman" w:eastAsia="宋体"/>
                <w:sz w:val="20"/>
                <w:lang w:val="en-US" w:eastAsia="zh-CN"/>
              </w:rPr>
            </w:pPr>
            <m:oMathPara>
              <m:oMath>
                <m:sSub>
                  <m:sSubPr>
                    <m:ctrlPr>
                      <w:rPr>
                        <w:rFonts w:hint="default" w:ascii="Cambria Math" w:hAnsi="Cambria Math" w:eastAsia="宋体" w:cs="Times New Roman"/>
                        <w:sz w:val="20"/>
                      </w:rPr>
                    </m:ctrlPr>
                  </m:sSubPr>
                  <m:e>
                    <m:r>
                      <m:rPr>
                        <m:nor/>
                      </m:rPr>
                      <w:rPr>
                        <w:rFonts w:hint="default" w:ascii="Times New Roman" w:hAnsi="Times New Roman" w:eastAsia="宋体" w:cs="Times New Roman"/>
                        <w:i/>
                        <w:sz w:val="20"/>
                      </w:rPr>
                      <m:t>n</m:t>
                    </m:r>
                    <m:ctrlPr>
                      <w:rPr>
                        <w:rFonts w:hint="default" w:ascii="Cambria Math" w:hAnsi="Cambria Math" w:eastAsia="宋体" w:cs="Times New Roman"/>
                        <w:sz w:val="20"/>
                      </w:rPr>
                    </m:ctrlPr>
                  </m:e>
                  <m:sub>
                    <m:r>
                      <m:rPr>
                        <m:nor/>
                      </m:rPr>
                      <w:rPr>
                        <w:rFonts w:hint="default" w:ascii="Times New Roman" w:hAnsi="Times New Roman" w:eastAsia="宋体" w:cs="Times New Roman"/>
                        <w:i/>
                        <w:sz w:val="20"/>
                      </w:rPr>
                      <m:t>LOS</m:t>
                    </m:r>
                    <m:ctrlPr>
                      <w:rPr>
                        <w:rFonts w:hint="default" w:ascii="Cambria Math" w:hAnsi="Cambria Math" w:eastAsia="宋体" w:cs="Times New Roman"/>
                        <w:sz w:val="20"/>
                      </w:rPr>
                    </m:ctrlPr>
                  </m:sub>
                </m:sSub>
                <m:r>
                  <m:rPr>
                    <m:nor/>
                    <m:sty m:val="p"/>
                  </m:rPr>
                  <w:rPr>
                    <w:rFonts w:hint="default" w:ascii="Times New Roman" w:hAnsi="Times New Roman" w:eastAsia="宋体" w:cs="Times New Roman"/>
                    <w:i w:val="0"/>
                    <w:sz w:val="20"/>
                  </w:rPr>
                  <m:t>/</m:t>
                </m:r>
                <m:sSub>
                  <m:sSubPr>
                    <m:ctrlPr>
                      <w:rPr>
                        <w:rFonts w:hint="default" w:ascii="Cambria Math" w:hAnsi="Cambria Math" w:eastAsia="宋体" w:cs="Times New Roman"/>
                        <w:sz w:val="20"/>
                      </w:rPr>
                    </m:ctrlPr>
                  </m:sSubPr>
                  <m:e>
                    <m:r>
                      <m:rPr>
                        <m:nor/>
                      </m:rPr>
                      <w:rPr>
                        <w:rFonts w:hint="default" w:ascii="Times New Roman" w:hAnsi="Times New Roman" w:eastAsia="宋体" w:cs="Times New Roman"/>
                        <w:i/>
                        <w:sz w:val="20"/>
                      </w:rPr>
                      <m:t>n</m:t>
                    </m:r>
                    <m:ctrlPr>
                      <w:rPr>
                        <w:rFonts w:hint="default" w:ascii="Cambria Math" w:hAnsi="Cambria Math" w:eastAsia="宋体" w:cs="Times New Roman"/>
                        <w:sz w:val="20"/>
                      </w:rPr>
                    </m:ctrlPr>
                  </m:e>
                  <m:sub>
                    <m:r>
                      <m:rPr>
                        <m:nor/>
                      </m:rPr>
                      <w:rPr>
                        <w:rFonts w:hint="default" w:ascii="Times New Roman" w:hAnsi="Times New Roman" w:eastAsia="宋体" w:cs="Times New Roman"/>
                        <w:i/>
                        <w:sz w:val="20"/>
                      </w:rPr>
                      <m:t>NLOS</m:t>
                    </m:r>
                    <m:ctrlPr>
                      <w:rPr>
                        <w:rFonts w:hint="default" w:ascii="Cambria Math" w:hAnsi="Cambria Math" w:eastAsia="宋体" w:cs="Times New Roman"/>
                        <w:sz w:val="20"/>
                      </w:rPr>
                    </m:ctrlPr>
                  </m:sub>
                </m:sSub>
              </m:oMath>
            </m:oMathPara>
          </w:p>
        </w:tc>
        <w:tc>
          <w:tcPr>
            <w:tcW w:w="0" w:type="auto"/>
            <w:tcBorders>
              <w:top w:val="nil"/>
              <w:left w:val="nil"/>
              <w:bottom w:val="nil"/>
              <w:right w:val="nil"/>
            </w:tcBorders>
            <w:noWrap w:val="0"/>
            <w:tcMar>
              <w:top w:w="-1" w:type="dxa"/>
              <w:left w:w="-1" w:type="dxa"/>
              <w:bottom w:w="-1" w:type="dxa"/>
              <w:right w:w="-1" w:type="dxa"/>
            </w:tcMar>
            <w:vAlign w:val="center"/>
          </w:tcPr>
          <w:p w14:paraId="01AB2FDF">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2.2 / 3.8</w:t>
            </w:r>
          </w:p>
        </w:tc>
      </w:tr>
      <w:tr w14:paraId="01943AE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07BC1DF">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地面路径损耗指数</w:t>
            </w:r>
          </w:p>
        </w:tc>
        <w:tc>
          <w:tcPr>
            <w:tcW w:w="0" w:type="auto"/>
            <w:tcBorders>
              <w:top w:val="nil"/>
              <w:left w:val="nil"/>
              <w:bottom w:val="nil"/>
              <w:right w:val="nil"/>
            </w:tcBorders>
            <w:noWrap w:val="0"/>
            <w:tcMar>
              <w:top w:w="-1" w:type="dxa"/>
              <w:left w:w="-1" w:type="dxa"/>
              <w:bottom w:w="-1" w:type="dxa"/>
              <w:right w:w="-1" w:type="dxa"/>
            </w:tcMar>
            <w:vAlign w:val="center"/>
          </w:tcPr>
          <w:p w14:paraId="642002A5">
            <w:pPr>
              <w:snapToGrid w:val="0"/>
              <w:spacing w:after="0" w:line="240" w:lineRule="auto"/>
              <w:ind w:left="0" w:leftChars="0" w:right="0" w:rightChars="0" w:firstLine="0" w:firstLineChars="0"/>
              <w:jc w:val="center"/>
              <w:rPr>
                <w:rFonts w:ascii="Times New Roman" w:eastAsia="宋体"/>
                <w:sz w:val="20"/>
              </w:rPr>
            </w:pPr>
            <m:oMathPara>
              <m:oMath>
                <m:sSub>
                  <m:sSubPr>
                    <m:ctrlPr>
                      <w:rPr>
                        <w:rFonts w:hint="default" w:ascii="Cambria Math" w:hAnsi="Cambria Math" w:eastAsia="宋体" w:cs="Times New Roman"/>
                        <w:sz w:val="20"/>
                      </w:rPr>
                    </m:ctrlPr>
                  </m:sSubPr>
                  <m:e>
                    <m:r>
                      <m:rPr>
                        <m:nor/>
                      </m:rPr>
                      <w:rPr>
                        <w:rFonts w:hint="default" w:ascii="Times New Roman" w:hAnsi="Times New Roman" w:eastAsia="宋体" w:cs="Times New Roman"/>
                        <w:i/>
                        <w:sz w:val="20"/>
                      </w:rPr>
                      <m:t>n</m:t>
                    </m:r>
                    <m:ctrlPr>
                      <w:rPr>
                        <w:rFonts w:hint="default" w:ascii="Cambria Math" w:hAnsi="Cambria Math" w:eastAsia="宋体" w:cs="Times New Roman"/>
                        <w:sz w:val="20"/>
                      </w:rPr>
                    </m:ctrlPr>
                  </m:e>
                  <m:sub>
                    <m:r>
                      <m:rPr>
                        <m:nor/>
                      </m:rPr>
                      <w:rPr>
                        <w:rFonts w:hint="default" w:ascii="Times New Roman" w:hAnsi="Times New Roman" w:eastAsia="宋体" w:cs="Times New Roman"/>
                        <w:i/>
                        <w:sz w:val="20"/>
                      </w:rPr>
                      <m:t>g</m:t>
                    </m:r>
                    <m:ctrlPr>
                      <w:rPr>
                        <w:rFonts w:hint="default" w:ascii="Cambria Math" w:hAnsi="Cambria Math" w:eastAsia="宋体" w:cs="Times New Roman"/>
                        <w:sz w:val="20"/>
                      </w:rPr>
                    </m:ctrlPr>
                  </m:sub>
                </m:sSub>
              </m:oMath>
            </m:oMathPara>
          </w:p>
        </w:tc>
        <w:tc>
          <w:tcPr>
            <w:tcW w:w="0" w:type="auto"/>
            <w:tcBorders>
              <w:top w:val="nil"/>
              <w:left w:val="nil"/>
              <w:bottom w:val="nil"/>
              <w:right w:val="nil"/>
            </w:tcBorders>
            <w:noWrap w:val="0"/>
            <w:tcMar>
              <w:top w:w="-1" w:type="dxa"/>
              <w:left w:w="-1" w:type="dxa"/>
              <w:bottom w:w="-1" w:type="dxa"/>
              <w:right w:w="-1" w:type="dxa"/>
            </w:tcMar>
            <w:vAlign w:val="center"/>
          </w:tcPr>
          <w:p w14:paraId="74B4412E">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3.8</w:t>
            </w:r>
          </w:p>
        </w:tc>
      </w:tr>
      <w:tr w14:paraId="61408C0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D07E81F">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UAV 高度范围</w:t>
            </w:r>
          </w:p>
        </w:tc>
        <w:tc>
          <w:tcPr>
            <w:tcW w:w="0" w:type="auto"/>
            <w:tcBorders>
              <w:top w:val="nil"/>
              <w:left w:val="nil"/>
              <w:bottom w:val="nil"/>
              <w:right w:val="nil"/>
            </w:tcBorders>
            <w:noWrap w:val="0"/>
            <w:tcMar>
              <w:top w:w="-1" w:type="dxa"/>
              <w:left w:w="-1" w:type="dxa"/>
              <w:bottom w:w="-1" w:type="dxa"/>
              <w:right w:w="-1" w:type="dxa"/>
            </w:tcMar>
            <w:vAlign w:val="center"/>
          </w:tcPr>
          <w:p w14:paraId="3A8786B1">
            <w:pPr>
              <w:snapToGrid w:val="0"/>
              <w:spacing w:after="0" w:line="240" w:lineRule="auto"/>
              <w:ind w:left="0" w:leftChars="0" w:right="0" w:rightChars="0" w:firstLine="0" w:firstLineChars="0"/>
              <w:jc w:val="center"/>
              <w:rPr>
                <w:rFonts w:ascii="Times New Roman" w:eastAsia="宋体"/>
                <w:sz w:val="20"/>
              </w:rPr>
            </w:pPr>
            <m:oMathPara>
              <m:oMath>
                <m:r>
                  <m:rPr>
                    <m:nor/>
                    <m:sty m:val="p"/>
                  </m:rPr>
                  <w:rPr>
                    <w:rFonts w:hint="default" w:ascii="Times New Roman" w:hAnsi="Times New Roman" w:eastAsia="宋体" w:cs="Times New Roman"/>
                    <w:i w:val="0"/>
                    <w:sz w:val="20"/>
                  </w:rPr>
                  <m:t>h</m:t>
                </m:r>
              </m:oMath>
            </m:oMathPara>
          </w:p>
        </w:tc>
        <w:tc>
          <w:tcPr>
            <w:tcW w:w="0" w:type="auto"/>
            <w:tcBorders>
              <w:top w:val="nil"/>
              <w:left w:val="nil"/>
              <w:bottom w:val="nil"/>
              <w:right w:val="nil"/>
            </w:tcBorders>
            <w:noWrap w:val="0"/>
            <w:tcMar>
              <w:top w:w="-1" w:type="dxa"/>
              <w:left w:w="-1" w:type="dxa"/>
              <w:bottom w:w="-1" w:type="dxa"/>
              <w:right w:w="-1" w:type="dxa"/>
            </w:tcMar>
            <w:vAlign w:val="center"/>
          </w:tcPr>
          <w:p w14:paraId="640DA85C">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0 m 至 300 m，步长 25 m</w:t>
            </w:r>
          </w:p>
        </w:tc>
      </w:tr>
      <w:tr w14:paraId="4F9B184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3C8A445">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地面 / 低空同频干扰站数量</w:t>
            </w:r>
          </w:p>
        </w:tc>
        <w:tc>
          <w:tcPr>
            <w:tcW w:w="0" w:type="auto"/>
            <w:tcBorders>
              <w:top w:val="nil"/>
              <w:left w:val="nil"/>
              <w:bottom w:val="nil"/>
              <w:right w:val="nil"/>
            </w:tcBorders>
            <w:noWrap w:val="0"/>
            <w:tcMar>
              <w:top w:w="-1" w:type="dxa"/>
              <w:left w:w="-1" w:type="dxa"/>
              <w:bottom w:w="-1" w:type="dxa"/>
              <w:right w:w="-1" w:type="dxa"/>
            </w:tcMar>
            <w:vAlign w:val="center"/>
          </w:tcPr>
          <w:p w14:paraId="49DA0C30">
            <w:pPr>
              <w:snapToGrid w:val="0"/>
              <w:spacing w:after="0" w:line="240" w:lineRule="auto"/>
              <w:ind w:left="0" w:leftChars="0" w:right="0" w:rightChars="0" w:firstLine="0" w:firstLineChars="0"/>
              <w:jc w:val="center"/>
              <w:rPr>
                <w:rFonts w:ascii="Times New Roman" w:eastAsia="宋体"/>
                <w:sz w:val="20"/>
              </w:rPr>
            </w:pPr>
            <m:oMathPara>
              <m:oMath>
                <m:r>
                  <m:rPr>
                    <m:nor/>
                    <m:sty m:val="p"/>
                  </m:rPr>
                  <w:rPr>
                    <w:rFonts w:hint="default" w:ascii="Times New Roman" w:hAnsi="Times New Roman" w:eastAsia="宋体" w:cs="Times New Roman"/>
                    <w:i w:val="0"/>
                    <w:sz w:val="20"/>
                  </w:rPr>
                  <m:t>−</m:t>
                </m:r>
              </m:oMath>
            </m:oMathPara>
          </w:p>
        </w:tc>
        <w:tc>
          <w:tcPr>
            <w:tcW w:w="0" w:type="auto"/>
            <w:tcBorders>
              <w:top w:val="nil"/>
              <w:left w:val="nil"/>
              <w:bottom w:val="nil"/>
              <w:right w:val="nil"/>
            </w:tcBorders>
            <w:noWrap w:val="0"/>
            <w:tcMar>
              <w:top w:w="-1" w:type="dxa"/>
              <w:left w:w="-1" w:type="dxa"/>
              <w:bottom w:w="-1" w:type="dxa"/>
              <w:right w:w="-1" w:type="dxa"/>
            </w:tcMar>
            <w:vAlign w:val="center"/>
          </w:tcPr>
          <w:p w14:paraId="028D342A">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18 / 42</w:t>
            </w:r>
          </w:p>
        </w:tc>
      </w:tr>
      <w:tr w14:paraId="6805B1A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249"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01EF4CD">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机械 / 电俯倾</w:t>
            </w:r>
          </w:p>
        </w:tc>
        <w:tc>
          <w:tcPr>
            <w:tcW w:w="0" w:type="auto"/>
            <w:tcBorders>
              <w:top w:val="nil"/>
              <w:left w:val="nil"/>
              <w:bottom w:val="nil"/>
              <w:right w:val="nil"/>
            </w:tcBorders>
            <w:noWrap w:val="0"/>
            <w:tcMar>
              <w:top w:w="-1" w:type="dxa"/>
              <w:left w:w="-1" w:type="dxa"/>
              <w:bottom w:w="-1" w:type="dxa"/>
              <w:right w:w="-1" w:type="dxa"/>
            </w:tcMar>
            <w:vAlign w:val="center"/>
          </w:tcPr>
          <w:p w14:paraId="1627350F">
            <w:pPr>
              <w:snapToGrid w:val="0"/>
              <w:spacing w:after="0" w:line="240" w:lineRule="auto"/>
              <w:ind w:left="0" w:leftChars="0" w:right="0" w:rightChars="0" w:firstLine="0" w:firstLineChars="0"/>
              <w:jc w:val="center"/>
              <w:rPr>
                <w:rFonts w:ascii="Times New Roman" w:eastAsia="宋体"/>
                <w:sz w:val="20"/>
              </w:rPr>
            </w:pPr>
            <m:oMathPara>
              <m:oMath>
                <m:r>
                  <m:rPr>
                    <m:nor/>
                    <m:sty m:val="p"/>
                  </m:rPr>
                  <w:rPr>
                    <w:rFonts w:hint="default" w:ascii="Times New Roman" w:hAnsi="Times New Roman" w:eastAsia="宋体" w:cs="Times New Roman"/>
                    <w:i w:val="0"/>
                    <w:sz w:val="20"/>
                  </w:rPr>
                  <m:t>−</m:t>
                </m:r>
              </m:oMath>
            </m:oMathPara>
          </w:p>
        </w:tc>
        <w:tc>
          <w:tcPr>
            <w:tcW w:w="0" w:type="auto"/>
            <w:tcBorders>
              <w:top w:val="nil"/>
              <w:left w:val="nil"/>
              <w:bottom w:val="nil"/>
              <w:right w:val="nil"/>
            </w:tcBorders>
            <w:noWrap w:val="0"/>
            <w:tcMar>
              <w:top w:w="-1" w:type="dxa"/>
              <w:left w:w="-1" w:type="dxa"/>
              <w:bottom w:w="-1" w:type="dxa"/>
              <w:right w:w="-1" w:type="dxa"/>
            </w:tcMar>
            <w:vAlign w:val="center"/>
          </w:tcPr>
          <w:p w14:paraId="79B9552C">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4° / 8°</w:t>
            </w:r>
          </w:p>
        </w:tc>
      </w:tr>
      <w:tr w14:paraId="5CA49F9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30EC6BF">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峰值面板增益</w:t>
            </w:r>
          </w:p>
        </w:tc>
        <w:tc>
          <w:tcPr>
            <w:tcW w:w="0" w:type="auto"/>
            <w:tcBorders>
              <w:top w:val="nil"/>
              <w:left w:val="nil"/>
              <w:bottom w:val="nil"/>
              <w:right w:val="nil"/>
            </w:tcBorders>
            <w:noWrap w:val="0"/>
            <w:tcMar>
              <w:top w:w="-1" w:type="dxa"/>
              <w:left w:w="-1" w:type="dxa"/>
              <w:bottom w:w="-1" w:type="dxa"/>
              <w:right w:w="-1" w:type="dxa"/>
            </w:tcMar>
            <w:vAlign w:val="center"/>
          </w:tcPr>
          <w:p w14:paraId="2F838F9E">
            <w:pPr>
              <w:snapToGrid w:val="0"/>
              <w:spacing w:after="0" w:line="240" w:lineRule="auto"/>
              <w:ind w:left="0" w:leftChars="0" w:right="0" w:rightChars="0" w:firstLine="0" w:firstLineChars="0"/>
              <w:jc w:val="center"/>
              <w:rPr>
                <w:rFonts w:ascii="Times New Roman" w:eastAsia="宋体"/>
                <w:sz w:val="20"/>
              </w:rPr>
            </w:pPr>
            <m:oMathPara>
              <m:oMath>
                <m:r>
                  <m:rPr>
                    <m:nor/>
                    <m:sty m:val="p"/>
                  </m:rPr>
                  <w:rPr>
                    <w:rFonts w:hint="default" w:ascii="Times New Roman" w:hAnsi="Times New Roman" w:eastAsia="宋体" w:cs="Times New Roman"/>
                    <w:i w:val="0"/>
                    <w:sz w:val="20"/>
                  </w:rPr>
                  <m:t>−</m:t>
                </m:r>
              </m:oMath>
            </m:oMathPara>
          </w:p>
        </w:tc>
        <w:tc>
          <w:tcPr>
            <w:tcW w:w="0" w:type="auto"/>
            <w:tcBorders>
              <w:top w:val="nil"/>
              <w:left w:val="nil"/>
              <w:bottom w:val="nil"/>
              <w:right w:val="nil"/>
            </w:tcBorders>
            <w:noWrap w:val="0"/>
            <w:tcMar>
              <w:top w:w="-1" w:type="dxa"/>
              <w:left w:w="-1" w:type="dxa"/>
              <w:bottom w:w="-1" w:type="dxa"/>
              <w:right w:w="-1" w:type="dxa"/>
            </w:tcMar>
            <w:vAlign w:val="center"/>
          </w:tcPr>
          <w:p w14:paraId="46CE13BA">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17 dBi</w:t>
            </w:r>
          </w:p>
        </w:tc>
      </w:tr>
      <w:tr w14:paraId="5AB2197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1641880">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波束阵列增益</w:t>
            </w:r>
          </w:p>
        </w:tc>
        <w:tc>
          <w:tcPr>
            <w:tcW w:w="0" w:type="auto"/>
            <w:tcBorders>
              <w:top w:val="nil"/>
              <w:left w:val="nil"/>
              <w:bottom w:val="nil"/>
              <w:right w:val="nil"/>
            </w:tcBorders>
            <w:noWrap w:val="0"/>
            <w:tcMar>
              <w:top w:w="-1" w:type="dxa"/>
              <w:left w:w="-1" w:type="dxa"/>
              <w:bottom w:w="-1" w:type="dxa"/>
              <w:right w:w="-1" w:type="dxa"/>
            </w:tcMar>
            <w:vAlign w:val="center"/>
          </w:tcPr>
          <w:p w14:paraId="3D263939">
            <w:pPr>
              <w:snapToGrid w:val="0"/>
              <w:spacing w:after="0" w:line="240" w:lineRule="auto"/>
              <w:ind w:left="0" w:leftChars="0" w:right="0" w:rightChars="0" w:firstLine="0" w:firstLineChars="0"/>
              <w:jc w:val="center"/>
              <w:rPr>
                <w:rFonts w:ascii="Times New Roman" w:eastAsia="宋体"/>
                <w:sz w:val="20"/>
              </w:rPr>
            </w:pPr>
            <m:oMathPara>
              <m:oMath>
                <m:r>
                  <m:rPr>
                    <m:nor/>
                    <m:sty m:val="p"/>
                  </m:rPr>
                  <w:rPr>
                    <w:rFonts w:hint="default" w:ascii="Times New Roman" w:hAnsi="Times New Roman" w:eastAsia="宋体" w:cs="Times New Roman"/>
                    <w:i w:val="0"/>
                    <w:sz w:val="20"/>
                  </w:rPr>
                  <m:t>−</m:t>
                </m:r>
              </m:oMath>
            </m:oMathPara>
          </w:p>
        </w:tc>
        <w:tc>
          <w:tcPr>
            <w:tcW w:w="0" w:type="auto"/>
            <w:tcBorders>
              <w:top w:val="nil"/>
              <w:left w:val="nil"/>
              <w:bottom w:val="nil"/>
              <w:right w:val="nil"/>
            </w:tcBorders>
            <w:noWrap w:val="0"/>
            <w:tcMar>
              <w:top w:w="-1" w:type="dxa"/>
              <w:left w:w="-1" w:type="dxa"/>
              <w:bottom w:w="-1" w:type="dxa"/>
              <w:right w:w="-1" w:type="dxa"/>
            </w:tcMar>
            <w:vAlign w:val="center"/>
          </w:tcPr>
          <w:p w14:paraId="736A7549">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6 dB</w:t>
            </w:r>
          </w:p>
        </w:tc>
      </w:tr>
      <w:tr w14:paraId="62F529F4">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67B2724F">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地面阴影衰落标准差</w:t>
            </w:r>
          </w:p>
        </w:tc>
        <w:tc>
          <w:tcPr>
            <w:tcW w:w="0" w:type="auto"/>
            <w:tcBorders>
              <w:top w:val="nil"/>
              <w:left w:val="nil"/>
              <w:bottom w:val="nil"/>
              <w:right w:val="nil"/>
            </w:tcBorders>
            <w:noWrap w:val="0"/>
            <w:tcMar>
              <w:top w:w="-1" w:type="dxa"/>
              <w:left w:w="-1" w:type="dxa"/>
              <w:bottom w:w="-1" w:type="dxa"/>
              <w:right w:w="-1" w:type="dxa"/>
            </w:tcMar>
            <w:vAlign w:val="center"/>
          </w:tcPr>
          <w:p w14:paraId="5DEBF7BA">
            <w:pPr>
              <w:snapToGrid w:val="0"/>
              <w:spacing w:after="0" w:line="240" w:lineRule="auto"/>
              <w:ind w:left="0" w:leftChars="0" w:right="0" w:rightChars="0" w:firstLine="0" w:firstLineChars="0"/>
              <w:jc w:val="center"/>
              <w:rPr>
                <w:rFonts w:ascii="Times New Roman" w:eastAsia="宋体"/>
                <w:sz w:val="20"/>
              </w:rPr>
            </w:pPr>
            <m:oMathPara>
              <m:oMath>
                <m:r>
                  <m:rPr>
                    <m:nor/>
                    <m:sty m:val="p"/>
                  </m:rPr>
                  <w:rPr>
                    <w:rFonts w:hint="default" w:ascii="Times New Roman" w:hAnsi="Times New Roman" w:eastAsia="宋体" w:cs="Times New Roman"/>
                    <w:i w:val="0"/>
                    <w:sz w:val="20"/>
                  </w:rPr>
                  <m:t>−</m:t>
                </m:r>
              </m:oMath>
            </m:oMathPara>
          </w:p>
        </w:tc>
        <w:tc>
          <w:tcPr>
            <w:tcW w:w="0" w:type="auto"/>
            <w:tcBorders>
              <w:top w:val="nil"/>
              <w:left w:val="nil"/>
              <w:bottom w:val="nil"/>
              <w:right w:val="nil"/>
            </w:tcBorders>
            <w:noWrap w:val="0"/>
            <w:tcMar>
              <w:top w:w="-1" w:type="dxa"/>
              <w:left w:w="-1" w:type="dxa"/>
              <w:bottom w:w="-1" w:type="dxa"/>
              <w:right w:w="-1" w:type="dxa"/>
            </w:tcMar>
            <w:vAlign w:val="center"/>
          </w:tcPr>
          <w:p w14:paraId="67491CEA">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6 dB</w:t>
            </w:r>
          </w:p>
        </w:tc>
      </w:tr>
      <w:tr w14:paraId="036DCC4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57340F6">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LOS / NLOS 阴影衰落标准差</w:t>
            </w:r>
          </w:p>
        </w:tc>
        <w:tc>
          <w:tcPr>
            <w:tcW w:w="0" w:type="auto"/>
            <w:tcBorders>
              <w:top w:val="nil"/>
              <w:left w:val="nil"/>
              <w:bottom w:val="nil"/>
              <w:right w:val="nil"/>
            </w:tcBorders>
            <w:noWrap w:val="0"/>
            <w:tcMar>
              <w:top w:w="-1" w:type="dxa"/>
              <w:left w:w="-1" w:type="dxa"/>
              <w:bottom w:w="-1" w:type="dxa"/>
              <w:right w:w="-1" w:type="dxa"/>
            </w:tcMar>
            <w:vAlign w:val="center"/>
          </w:tcPr>
          <w:p w14:paraId="0CF8A8A1">
            <w:pPr>
              <w:snapToGrid w:val="0"/>
              <w:spacing w:after="0" w:line="240" w:lineRule="auto"/>
              <w:ind w:left="0" w:leftChars="0" w:right="0" w:rightChars="0" w:firstLine="0" w:firstLineChars="0"/>
              <w:jc w:val="center"/>
              <w:rPr>
                <w:rFonts w:ascii="Times New Roman" w:eastAsia="宋体"/>
                <w:sz w:val="20"/>
              </w:rPr>
            </w:pPr>
            <m:oMathPara>
              <m:oMath>
                <m:r>
                  <m:rPr>
                    <m:nor/>
                    <m:sty m:val="p"/>
                  </m:rPr>
                  <w:rPr>
                    <w:rFonts w:hint="default" w:ascii="Times New Roman" w:hAnsi="Times New Roman" w:eastAsia="宋体" w:cs="Times New Roman"/>
                    <w:i w:val="0"/>
                    <w:sz w:val="20"/>
                  </w:rPr>
                  <m:t>−</m:t>
                </m:r>
              </m:oMath>
            </m:oMathPara>
          </w:p>
        </w:tc>
        <w:tc>
          <w:tcPr>
            <w:tcW w:w="0" w:type="auto"/>
            <w:tcBorders>
              <w:top w:val="nil"/>
              <w:left w:val="nil"/>
              <w:bottom w:val="nil"/>
              <w:right w:val="nil"/>
            </w:tcBorders>
            <w:noWrap w:val="0"/>
            <w:tcMar>
              <w:top w:w="-1" w:type="dxa"/>
              <w:left w:w="-1" w:type="dxa"/>
              <w:bottom w:w="-1" w:type="dxa"/>
              <w:right w:w="-1" w:type="dxa"/>
            </w:tcMar>
            <w:vAlign w:val="center"/>
          </w:tcPr>
          <w:p w14:paraId="00DE455A">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4 dB / 7 dB</w:t>
            </w:r>
          </w:p>
        </w:tc>
      </w:tr>
      <w:tr w14:paraId="3137CA7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8C2BCC7">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 xml:space="preserve">地面 / LOS / NLOS Nakagami </w:t>
            </w:r>
            <m:oMath>
              <m:r>
                <m:rPr>
                  <m:nor/>
                </m:rPr>
                <w:rPr>
                  <w:rFonts w:hint="default" w:ascii="Times New Roman" w:hAnsi="Times New Roman" w:eastAsia="宋体" w:cs="Times New Roman"/>
                  <w:i/>
                  <w:sz w:val="20"/>
                </w:rPr>
                <m:t>m</m:t>
              </m:r>
            </m:oMath>
          </w:p>
        </w:tc>
        <w:tc>
          <w:tcPr>
            <w:tcW w:w="0" w:type="auto"/>
            <w:tcBorders>
              <w:top w:val="nil"/>
              <w:left w:val="nil"/>
              <w:bottom w:val="nil"/>
              <w:right w:val="nil"/>
            </w:tcBorders>
            <w:noWrap w:val="0"/>
            <w:tcMar>
              <w:top w:w="-1" w:type="dxa"/>
              <w:left w:w="-1" w:type="dxa"/>
              <w:bottom w:w="-1" w:type="dxa"/>
              <w:right w:w="-1" w:type="dxa"/>
            </w:tcMar>
            <w:vAlign w:val="center"/>
          </w:tcPr>
          <w:p w14:paraId="581ADBF8">
            <w:pPr>
              <w:snapToGrid w:val="0"/>
              <w:spacing w:after="0" w:line="240" w:lineRule="auto"/>
              <w:ind w:left="0" w:leftChars="0" w:right="0" w:rightChars="0" w:firstLine="0" w:firstLineChars="0"/>
              <w:jc w:val="center"/>
              <w:rPr>
                <w:rFonts w:ascii="Times New Roman" w:eastAsia="宋体"/>
                <w:sz w:val="20"/>
              </w:rPr>
            </w:pPr>
            <m:oMathPara>
              <m:oMath>
                <m:r>
                  <m:rPr>
                    <m:nor/>
                    <m:sty m:val="p"/>
                  </m:rPr>
                  <w:rPr>
                    <w:rFonts w:hint="default" w:ascii="Times New Roman" w:hAnsi="Times New Roman" w:eastAsia="宋体" w:cs="Times New Roman"/>
                    <w:i w:val="0"/>
                    <w:sz w:val="20"/>
                  </w:rPr>
                  <m:t>−</m:t>
                </m:r>
              </m:oMath>
            </m:oMathPara>
          </w:p>
        </w:tc>
        <w:tc>
          <w:tcPr>
            <w:tcW w:w="0" w:type="auto"/>
            <w:tcBorders>
              <w:top w:val="nil"/>
              <w:left w:val="nil"/>
              <w:bottom w:val="nil"/>
              <w:right w:val="nil"/>
            </w:tcBorders>
            <w:noWrap w:val="0"/>
            <w:tcMar>
              <w:top w:w="-1" w:type="dxa"/>
              <w:left w:w="-1" w:type="dxa"/>
              <w:bottom w:w="-1" w:type="dxa"/>
              <w:right w:w="-1" w:type="dxa"/>
            </w:tcMar>
            <w:vAlign w:val="center"/>
          </w:tcPr>
          <w:p w14:paraId="5D9F06FB">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1 / 3 / 1</w:t>
            </w:r>
          </w:p>
        </w:tc>
      </w:tr>
      <w:tr w14:paraId="305102C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77E6805">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资源活跃度 / 调度效率 / 控制开销</w:t>
            </w:r>
          </w:p>
        </w:tc>
        <w:tc>
          <w:tcPr>
            <w:tcW w:w="0" w:type="auto"/>
            <w:tcBorders>
              <w:top w:val="nil"/>
              <w:left w:val="nil"/>
              <w:bottom w:val="nil"/>
              <w:right w:val="nil"/>
            </w:tcBorders>
            <w:noWrap w:val="0"/>
            <w:tcMar>
              <w:top w:w="-1" w:type="dxa"/>
              <w:left w:w="-1" w:type="dxa"/>
              <w:bottom w:w="-1" w:type="dxa"/>
              <w:right w:w="-1" w:type="dxa"/>
            </w:tcMar>
            <w:vAlign w:val="center"/>
          </w:tcPr>
          <w:p w14:paraId="0198BA71">
            <w:pPr>
              <w:snapToGrid w:val="0"/>
              <w:spacing w:after="0" w:line="240" w:lineRule="auto"/>
              <w:ind w:left="0" w:leftChars="0" w:right="0" w:rightChars="0" w:firstLine="0" w:firstLineChars="0"/>
              <w:jc w:val="center"/>
              <w:rPr>
                <w:rFonts w:ascii="Times New Roman" w:eastAsia="宋体"/>
                <w:sz w:val="20"/>
              </w:rPr>
            </w:pPr>
            <m:oMathPara>
              <m:oMath>
                <m:r>
                  <m:rPr>
                    <m:nor/>
                    <m:sty m:val="p"/>
                  </m:rPr>
                  <w:rPr>
                    <w:rFonts w:hint="default" w:ascii="Times New Roman" w:hAnsi="Times New Roman" w:eastAsia="宋体" w:cs="Times New Roman"/>
                    <w:i w:val="0"/>
                    <w:sz w:val="20"/>
                  </w:rPr>
                  <m:t>−</m:t>
                </m:r>
              </m:oMath>
            </m:oMathPara>
          </w:p>
        </w:tc>
        <w:tc>
          <w:tcPr>
            <w:tcW w:w="0" w:type="auto"/>
            <w:tcBorders>
              <w:top w:val="nil"/>
              <w:left w:val="nil"/>
              <w:bottom w:val="nil"/>
              <w:right w:val="nil"/>
            </w:tcBorders>
            <w:noWrap w:val="0"/>
            <w:tcMar>
              <w:top w:w="-1" w:type="dxa"/>
              <w:left w:w="-1" w:type="dxa"/>
              <w:bottom w:w="-1" w:type="dxa"/>
              <w:right w:w="-1" w:type="dxa"/>
            </w:tcMar>
            <w:vAlign w:val="center"/>
          </w:tcPr>
          <w:p w14:paraId="6A153688">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0.7 / 0.9 / 0.18</w:t>
            </w:r>
          </w:p>
        </w:tc>
      </w:tr>
      <w:tr w14:paraId="63C2024C">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5D89136">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有效业务门限</w:t>
            </w:r>
          </w:p>
        </w:tc>
        <w:tc>
          <w:tcPr>
            <w:tcW w:w="0" w:type="auto"/>
            <w:tcBorders>
              <w:top w:val="nil"/>
              <w:left w:val="nil"/>
              <w:bottom w:val="nil"/>
              <w:right w:val="nil"/>
            </w:tcBorders>
            <w:noWrap w:val="0"/>
            <w:tcMar>
              <w:top w:w="-1" w:type="dxa"/>
              <w:left w:w="-1" w:type="dxa"/>
              <w:bottom w:w="-1" w:type="dxa"/>
              <w:right w:w="-1" w:type="dxa"/>
            </w:tcMar>
            <w:vAlign w:val="center"/>
          </w:tcPr>
          <w:p w14:paraId="2A83A033">
            <w:pPr>
              <w:snapToGrid w:val="0"/>
              <w:spacing w:after="0" w:line="240" w:lineRule="auto"/>
              <w:ind w:left="0" w:leftChars="0" w:right="0" w:rightChars="0" w:firstLine="0" w:firstLineChars="0"/>
              <w:jc w:val="center"/>
              <w:rPr>
                <w:rFonts w:ascii="Times New Roman" w:eastAsia="宋体"/>
                <w:sz w:val="20"/>
              </w:rPr>
            </w:pPr>
            <m:oMathPara>
              <m:oMath>
                <m:sSub>
                  <m:sSubPr>
                    <m:ctrlPr>
                      <w:rPr>
                        <w:rFonts w:hint="default" w:ascii="Cambria Math" w:hAnsi="Cambria Math" w:eastAsia="宋体" w:cs="Times New Roman"/>
                        <w:sz w:val="20"/>
                      </w:rPr>
                    </m:ctrlPr>
                  </m:sSubPr>
                  <m:e>
                    <m:r>
                      <m:rPr>
                        <m:nor/>
                      </m:rPr>
                      <w:rPr>
                        <w:rFonts w:hint="default" w:ascii="Times New Roman" w:hAnsi="Times New Roman" w:eastAsia="宋体" w:cs="Times New Roman"/>
                        <w:i/>
                        <w:sz w:val="20"/>
                      </w:rPr>
                      <m:t>γ</m:t>
                    </m:r>
                    <m:ctrlPr>
                      <w:rPr>
                        <w:rFonts w:hint="default" w:ascii="Cambria Math" w:hAnsi="Cambria Math" w:eastAsia="宋体" w:cs="Times New Roman"/>
                        <w:sz w:val="20"/>
                      </w:rPr>
                    </m:ctrlPr>
                  </m:e>
                  <m:sub>
                    <m:r>
                      <m:rPr>
                        <m:nor/>
                        <m:sty m:val="p"/>
                      </m:rPr>
                      <w:rPr>
                        <w:rFonts w:hint="default" w:ascii="Times New Roman" w:hAnsi="Times New Roman" w:eastAsia="宋体" w:cs="Times New Roman"/>
                        <w:i w:val="0"/>
                        <w:sz w:val="20"/>
                      </w:rPr>
                      <m:t>0</m:t>
                    </m:r>
                    <m:ctrlPr>
                      <w:rPr>
                        <w:rFonts w:hint="default" w:ascii="Cambria Math" w:hAnsi="Cambria Math" w:eastAsia="宋体" w:cs="Times New Roman"/>
                        <w:sz w:val="20"/>
                      </w:rPr>
                    </m:ctrlPr>
                  </m:sub>
                </m:sSub>
              </m:oMath>
            </m:oMathPara>
          </w:p>
        </w:tc>
        <w:tc>
          <w:tcPr>
            <w:tcW w:w="0" w:type="auto"/>
            <w:tcBorders>
              <w:top w:val="nil"/>
              <w:left w:val="nil"/>
              <w:bottom w:val="nil"/>
              <w:right w:val="nil"/>
            </w:tcBorders>
            <w:noWrap w:val="0"/>
            <w:tcMar>
              <w:top w:w="-1" w:type="dxa"/>
              <w:left w:w="-1" w:type="dxa"/>
              <w:bottom w:w="-1" w:type="dxa"/>
              <w:right w:w="-1" w:type="dxa"/>
            </w:tcMar>
            <w:vAlign w:val="center"/>
          </w:tcPr>
          <w:p w14:paraId="4909B567">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10 dB</w:t>
            </w:r>
          </w:p>
        </w:tc>
      </w:tr>
      <w:tr w14:paraId="51965FE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8FC97DA">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动态时间步数</w:t>
            </w:r>
          </w:p>
        </w:tc>
        <w:tc>
          <w:tcPr>
            <w:tcW w:w="0" w:type="auto"/>
            <w:tcBorders>
              <w:top w:val="nil"/>
              <w:left w:val="nil"/>
              <w:bottom w:val="nil"/>
              <w:right w:val="nil"/>
            </w:tcBorders>
            <w:noWrap w:val="0"/>
            <w:tcMar>
              <w:top w:w="-1" w:type="dxa"/>
              <w:left w:w="-1" w:type="dxa"/>
              <w:bottom w:w="-1" w:type="dxa"/>
              <w:right w:w="-1" w:type="dxa"/>
            </w:tcMar>
            <w:vAlign w:val="center"/>
          </w:tcPr>
          <w:p w14:paraId="117F5821">
            <w:pPr>
              <w:snapToGrid w:val="0"/>
              <w:spacing w:after="0" w:line="240" w:lineRule="auto"/>
              <w:ind w:left="0" w:leftChars="0" w:right="0" w:rightChars="0" w:firstLine="0" w:firstLineChars="0"/>
              <w:jc w:val="center"/>
              <w:rPr>
                <w:rFonts w:ascii="Times New Roman" w:eastAsia="宋体"/>
                <w:sz w:val="20"/>
              </w:rPr>
            </w:pPr>
            <m:oMathPara>
              <m:oMath>
                <m:r>
                  <m:rPr>
                    <m:nor/>
                    <m:sty m:val="p"/>
                  </m:rPr>
                  <w:rPr>
                    <w:rFonts w:hint="default" w:ascii="Times New Roman" w:hAnsi="Times New Roman" w:eastAsia="宋体" w:cs="Times New Roman"/>
                    <w:i w:val="0"/>
                    <w:sz w:val="20"/>
                  </w:rPr>
                  <m:t>−</m:t>
                </m:r>
              </m:oMath>
            </m:oMathPara>
          </w:p>
        </w:tc>
        <w:tc>
          <w:tcPr>
            <w:tcW w:w="0" w:type="auto"/>
            <w:tcBorders>
              <w:top w:val="nil"/>
              <w:left w:val="nil"/>
              <w:bottom w:val="nil"/>
              <w:right w:val="nil"/>
            </w:tcBorders>
            <w:noWrap w:val="0"/>
            <w:tcMar>
              <w:top w:w="-1" w:type="dxa"/>
              <w:left w:w="-1" w:type="dxa"/>
              <w:bottom w:w="-1" w:type="dxa"/>
              <w:right w:w="-1" w:type="dxa"/>
            </w:tcMar>
            <w:vAlign w:val="center"/>
          </w:tcPr>
          <w:p w14:paraId="26DDAED4">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60</w:t>
            </w:r>
          </w:p>
        </w:tc>
      </w:tr>
      <w:tr w14:paraId="318F6642">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7A156A9">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动态步长</w:t>
            </w:r>
          </w:p>
        </w:tc>
        <w:tc>
          <w:tcPr>
            <w:tcW w:w="0" w:type="auto"/>
            <w:tcBorders>
              <w:top w:val="nil"/>
              <w:left w:val="nil"/>
              <w:bottom w:val="nil"/>
              <w:right w:val="nil"/>
            </w:tcBorders>
            <w:noWrap w:val="0"/>
            <w:tcMar>
              <w:top w:w="-1" w:type="dxa"/>
              <w:left w:w="-1" w:type="dxa"/>
              <w:bottom w:w="-1" w:type="dxa"/>
              <w:right w:w="-1" w:type="dxa"/>
            </w:tcMar>
            <w:vAlign w:val="center"/>
          </w:tcPr>
          <w:p w14:paraId="74FB15CB">
            <w:pPr>
              <w:snapToGrid w:val="0"/>
              <w:spacing w:after="0" w:line="240" w:lineRule="auto"/>
              <w:ind w:left="0" w:leftChars="0" w:right="0" w:rightChars="0" w:firstLine="0" w:firstLineChars="0"/>
              <w:jc w:val="center"/>
              <w:rPr>
                <w:rFonts w:ascii="Times New Roman" w:eastAsia="宋体"/>
                <w:sz w:val="20"/>
              </w:rPr>
            </w:pPr>
            <m:oMathPara>
              <m:oMath>
                <m:r>
                  <m:rPr>
                    <m:nor/>
                    <m:sty m:val="p"/>
                  </m:rPr>
                  <w:rPr>
                    <w:rFonts w:hint="default" w:ascii="Times New Roman" w:hAnsi="Times New Roman" w:eastAsia="宋体" w:cs="Times New Roman"/>
                    <w:i w:val="0"/>
                    <w:sz w:val="20"/>
                  </w:rPr>
                  <m:t>−</m:t>
                </m:r>
              </m:oMath>
            </m:oMathPara>
          </w:p>
        </w:tc>
        <w:tc>
          <w:tcPr>
            <w:tcW w:w="0" w:type="auto"/>
            <w:tcBorders>
              <w:top w:val="nil"/>
              <w:left w:val="nil"/>
              <w:bottom w:val="nil"/>
              <w:right w:val="nil"/>
            </w:tcBorders>
            <w:noWrap w:val="0"/>
            <w:tcMar>
              <w:top w:w="-1" w:type="dxa"/>
              <w:left w:w="-1" w:type="dxa"/>
              <w:bottom w:w="-1" w:type="dxa"/>
              <w:right w:w="-1" w:type="dxa"/>
            </w:tcMar>
            <w:vAlign w:val="center"/>
          </w:tcPr>
          <w:p w14:paraId="0D329506">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1 s</w:t>
            </w:r>
          </w:p>
        </w:tc>
      </w:tr>
      <w:tr w14:paraId="566AFF3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AF7E7E3">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动态 UAV 高度</w:t>
            </w:r>
          </w:p>
        </w:tc>
        <w:tc>
          <w:tcPr>
            <w:tcW w:w="0" w:type="auto"/>
            <w:tcBorders>
              <w:top w:val="nil"/>
              <w:left w:val="nil"/>
              <w:bottom w:val="nil"/>
              <w:right w:val="nil"/>
            </w:tcBorders>
            <w:noWrap w:val="0"/>
            <w:tcMar>
              <w:top w:w="-1" w:type="dxa"/>
              <w:left w:w="-1" w:type="dxa"/>
              <w:bottom w:w="-1" w:type="dxa"/>
              <w:right w:w="-1" w:type="dxa"/>
            </w:tcMar>
            <w:vAlign w:val="center"/>
          </w:tcPr>
          <w:p w14:paraId="350F4DBF">
            <w:pPr>
              <w:snapToGrid w:val="0"/>
              <w:spacing w:after="0" w:line="240" w:lineRule="auto"/>
              <w:ind w:left="0" w:leftChars="0" w:right="0" w:rightChars="0" w:firstLine="0" w:firstLineChars="0"/>
              <w:jc w:val="center"/>
              <w:rPr>
                <w:rFonts w:ascii="Times New Roman" w:eastAsia="宋体"/>
                <w:sz w:val="20"/>
              </w:rPr>
            </w:pPr>
            <m:oMathPara>
              <m:oMath>
                <m:r>
                  <m:rPr>
                    <m:nor/>
                    <m:sty m:val="p"/>
                  </m:rPr>
                  <w:rPr>
                    <w:rFonts w:hint="default" w:ascii="Times New Roman" w:hAnsi="Times New Roman" w:eastAsia="宋体" w:cs="Times New Roman"/>
                    <w:i w:val="0"/>
                    <w:sz w:val="20"/>
                  </w:rPr>
                  <m:t>−</m:t>
                </m:r>
              </m:oMath>
            </m:oMathPara>
          </w:p>
        </w:tc>
        <w:tc>
          <w:tcPr>
            <w:tcW w:w="0" w:type="auto"/>
            <w:tcBorders>
              <w:top w:val="nil"/>
              <w:left w:val="nil"/>
              <w:bottom w:val="nil"/>
              <w:right w:val="nil"/>
            </w:tcBorders>
            <w:noWrap w:val="0"/>
            <w:tcMar>
              <w:top w:w="-1" w:type="dxa"/>
              <w:left w:w="-1" w:type="dxa"/>
              <w:bottom w:w="-1" w:type="dxa"/>
              <w:right w:w="-1" w:type="dxa"/>
            </w:tcMar>
            <w:vAlign w:val="center"/>
          </w:tcPr>
          <w:p w14:paraId="6CA70D25">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120 m</w:t>
            </w:r>
          </w:p>
        </w:tc>
      </w:tr>
      <w:tr w14:paraId="77E338E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C3CEDA7">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切换滞回</w:t>
            </w:r>
          </w:p>
        </w:tc>
        <w:tc>
          <w:tcPr>
            <w:tcW w:w="0" w:type="auto"/>
            <w:tcBorders>
              <w:top w:val="nil"/>
              <w:left w:val="nil"/>
              <w:bottom w:val="nil"/>
              <w:right w:val="nil"/>
            </w:tcBorders>
            <w:noWrap w:val="0"/>
            <w:tcMar>
              <w:top w:w="-1" w:type="dxa"/>
              <w:left w:w="-1" w:type="dxa"/>
              <w:bottom w:w="-1" w:type="dxa"/>
              <w:right w:w="-1" w:type="dxa"/>
            </w:tcMar>
            <w:vAlign w:val="center"/>
          </w:tcPr>
          <w:p w14:paraId="75ACD831">
            <w:pPr>
              <w:snapToGrid w:val="0"/>
              <w:spacing w:after="0" w:line="240" w:lineRule="auto"/>
              <w:ind w:left="0" w:leftChars="0" w:right="0" w:rightChars="0" w:firstLine="0" w:firstLineChars="0"/>
              <w:jc w:val="center"/>
              <w:rPr>
                <w:rFonts w:ascii="Times New Roman" w:eastAsia="宋体"/>
                <w:sz w:val="20"/>
              </w:rPr>
            </w:pPr>
            <m:oMathPara>
              <m:oMath>
                <m:r>
                  <m:rPr>
                    <m:nor/>
                    <m:sty m:val="p"/>
                  </m:rPr>
                  <w:rPr>
                    <w:rFonts w:hint="default" w:ascii="Times New Roman" w:hAnsi="Times New Roman" w:eastAsia="宋体" w:cs="Times New Roman"/>
                    <w:i w:val="0"/>
                    <w:sz w:val="20"/>
                  </w:rPr>
                  <m:t>−</m:t>
                </m:r>
              </m:oMath>
            </m:oMathPara>
          </w:p>
        </w:tc>
        <w:tc>
          <w:tcPr>
            <w:tcW w:w="0" w:type="auto"/>
            <w:tcBorders>
              <w:top w:val="nil"/>
              <w:left w:val="nil"/>
              <w:bottom w:val="nil"/>
              <w:right w:val="nil"/>
            </w:tcBorders>
            <w:noWrap w:val="0"/>
            <w:tcMar>
              <w:top w:w="-1" w:type="dxa"/>
              <w:left w:w="-1" w:type="dxa"/>
              <w:bottom w:w="-1" w:type="dxa"/>
              <w:right w:w="-1" w:type="dxa"/>
            </w:tcMar>
            <w:vAlign w:val="center"/>
          </w:tcPr>
          <w:p w14:paraId="3A323566">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2.5 dB</w:t>
            </w:r>
          </w:p>
        </w:tc>
      </w:tr>
      <w:tr w14:paraId="5AEEE47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single" w:color="auto" w:sz="12" w:space="0"/>
              <w:right w:val="nil"/>
            </w:tcBorders>
            <w:noWrap w:val="0"/>
            <w:tcMar>
              <w:top w:w="-1" w:type="dxa"/>
              <w:left w:w="-1" w:type="dxa"/>
              <w:bottom w:w="-1" w:type="dxa"/>
              <w:right w:w="-1" w:type="dxa"/>
            </w:tcMar>
            <w:vAlign w:val="center"/>
          </w:tcPr>
          <w:p w14:paraId="132714E4">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最小驻留步数</w:t>
            </w:r>
          </w:p>
        </w:tc>
        <w:tc>
          <w:tcPr>
            <w:tcW w:w="0" w:type="auto"/>
            <w:tcBorders>
              <w:top w:val="nil"/>
              <w:left w:val="nil"/>
              <w:bottom w:val="single" w:color="auto" w:sz="12" w:space="0"/>
              <w:right w:val="nil"/>
            </w:tcBorders>
            <w:noWrap w:val="0"/>
            <w:tcMar>
              <w:top w:w="-1" w:type="dxa"/>
              <w:left w:w="-1" w:type="dxa"/>
              <w:bottom w:w="-1" w:type="dxa"/>
              <w:right w:w="-1" w:type="dxa"/>
            </w:tcMar>
            <w:vAlign w:val="center"/>
          </w:tcPr>
          <w:p w14:paraId="466F7AF9">
            <w:pPr>
              <w:snapToGrid w:val="0"/>
              <w:spacing w:after="0" w:line="240" w:lineRule="auto"/>
              <w:ind w:left="0" w:leftChars="0" w:right="0" w:rightChars="0" w:firstLine="0" w:firstLineChars="0"/>
              <w:jc w:val="center"/>
              <w:rPr>
                <w:rFonts w:ascii="Times New Roman" w:eastAsia="宋体"/>
                <w:sz w:val="20"/>
              </w:rPr>
            </w:pPr>
            <m:oMathPara>
              <m:oMath>
                <m:r>
                  <m:rPr>
                    <m:nor/>
                    <m:sty m:val="p"/>
                  </m:rPr>
                  <w:rPr>
                    <w:rFonts w:hint="default" w:ascii="Times New Roman" w:hAnsi="Times New Roman" w:eastAsia="宋体" w:cs="Times New Roman"/>
                    <w:i w:val="0"/>
                    <w:sz w:val="20"/>
                  </w:rPr>
                  <m:t>−</m:t>
                </m:r>
              </m:oMath>
            </m:oMathPara>
          </w:p>
        </w:tc>
        <w:tc>
          <w:tcPr>
            <w:tcW w:w="0" w:type="auto"/>
            <w:tcBorders>
              <w:top w:val="nil"/>
              <w:left w:val="nil"/>
              <w:bottom w:val="single" w:color="auto" w:sz="12" w:space="0"/>
              <w:right w:val="nil"/>
            </w:tcBorders>
            <w:noWrap w:val="0"/>
            <w:tcMar>
              <w:top w:w="-1" w:type="dxa"/>
              <w:left w:w="-1" w:type="dxa"/>
              <w:bottom w:w="-1" w:type="dxa"/>
              <w:right w:w="-1" w:type="dxa"/>
            </w:tcMar>
            <w:vAlign w:val="center"/>
          </w:tcPr>
          <w:p w14:paraId="6903E695">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3</w:t>
            </w:r>
          </w:p>
        </w:tc>
      </w:tr>
    </w:tbl>
    <w:p w14:paraId="3CB9D183"/>
    <w:p w14:paraId="089113EC">
      <w:pPr>
        <w:pStyle w:val="4"/>
        <w:bidi w:val="0"/>
      </w:pPr>
      <w:bookmarkStart w:id="13" w:name="_Toc23906"/>
      <w:r>
        <w:t>C. 真实站址与建筑地理数据</w:t>
      </w:r>
      <w:bookmarkEnd w:id="13"/>
    </w:p>
    <w:p w14:paraId="626017E2">
      <w:pPr>
        <w:bidi w:val="0"/>
      </w:pPr>
      <w:r>
        <w:t>由于本课题属于仿真类研究，本文没有进行外场接收功率测试，而是采用公开真实站址数据和建筑地理数据构造数据驱动传播场景。站址数据来自公开塔站数据库，在美国一处城市中心区附近提取出 21 个高密度站点，并转换到局部平面坐标系中，以保留真实站址间距、相对方位和局部聚簇结构。建筑数据来自公开建筑轮廓数据库，通过边界覆盖、分块抓取和去重处理形成站址簇范围内的建筑遮挡样本。本文使用这些地理数据完成两项任务：一是替代理想规则蜂窝中的统计站址扰动，使动态实验具备真实站址几何；二是在低空链路中引入建筑遮挡判决和附加损耗近似，使传播环境更接近城市条件。</w:t>
      </w:r>
    </w:p>
    <w:p w14:paraId="6B171411">
      <w:pPr>
        <w:bidi w:val="0"/>
      </w:pPr>
      <w:r>
        <w:t>需要强调的是，公开站址和建筑轮廓数据并不等价于运营商全网的精确商用配置，也不包含完整的三维材质和射线追踪信息。因此，本文的真实站址数据分析更适合用于研究站址几何</w:t>
      </w:r>
      <w:r>
        <w:rPr>
          <w:rFonts w:hint="eastAsia"/>
          <w:lang w:eastAsia="zh-CN"/>
        </w:rPr>
        <w:t>、</w:t>
      </w:r>
      <w:r>
        <w:t>遮挡</w:t>
      </w:r>
      <w:r>
        <w:rPr>
          <w:rFonts w:hint="eastAsia"/>
          <w:lang w:eastAsia="zh-CN"/>
        </w:rPr>
        <w:t>、</w:t>
      </w:r>
      <w:r>
        <w:t>切换</w:t>
      </w:r>
      <w:r>
        <w:rPr>
          <w:rFonts w:hint="eastAsia"/>
          <w:lang w:eastAsia="zh-CN"/>
        </w:rPr>
        <w:t>、</w:t>
      </w:r>
      <w:r>
        <w:t>负载之间的耦合机理。</w:t>
      </w:r>
    </w:p>
    <w:p w14:paraId="7414F462">
      <w:pPr>
        <w:pStyle w:val="4"/>
        <w:bidi w:val="0"/>
      </w:pPr>
      <w:bookmarkStart w:id="14" w:name="_Toc32450"/>
      <w:r>
        <w:t>D. 对照实验设计</w:t>
      </w:r>
      <w:bookmarkEnd w:id="14"/>
    </w:p>
    <w:p w14:paraId="75999DDE">
      <w:pPr>
        <w:bidi w:val="0"/>
      </w:pPr>
      <w:r>
        <w:t>本文设计</w:t>
      </w:r>
      <w:r>
        <w:rPr>
          <w:rFonts w:hint="eastAsia"/>
          <w:lang w:val="en-US" w:eastAsia="zh-CN"/>
        </w:rPr>
        <w:t>了</w:t>
      </w:r>
      <w:r>
        <w:t>四组实验。第一组实验比较不同复用因子下地面用户的解析边缘 SIR、统计中位 SIR 和中位 SINR，从而验证复用理论在更真实模型下是否仍然成立。第二组实验比较不同复用因子下的有效 ASE，用于揭示频率复用与系统容量之间的折中关系。第三组实验在固定复用因子 N=7 下扫描不同低空高度，分析空中用户 SINR、覆盖概率、有效 ASE 和 LOS 概率的变化。第四组实验引入真实站址数据驱动的动态场景，在低空航迹、时变负载和建筑遮挡共同作用下分析时间序列 SINR、切换次数和链路失效概率。</w:t>
      </w:r>
    </w:p>
    <w:p w14:paraId="151FEF7E">
      <w:pPr>
        <w:bidi w:val="0"/>
      </w:pPr>
      <w:r>
        <w:t>Fig. 1 给出了本文采用的蜂窝复用几何示意。该图对应式（</w:t>
      </w:r>
      <w:r>
        <w:rPr>
          <w:rFonts w:hint="eastAsia"/>
          <w:lang w:val="en-US" w:eastAsia="zh-CN"/>
        </w:rPr>
        <w:t>2-</w:t>
      </w:r>
      <w:r>
        <w:t>1）至式（</w:t>
      </w:r>
      <w:r>
        <w:rPr>
          <w:rFonts w:hint="eastAsia"/>
          <w:lang w:val="en-US" w:eastAsia="zh-CN"/>
        </w:rPr>
        <w:t>2-</w:t>
      </w:r>
      <w:r>
        <w:t>4）所描述的理论背景，能够直观反映复用因子变化如何改变服务小区与同频干扰小区之间的相对位置关系。</w:t>
      </w:r>
    </w:p>
    <w:p w14:paraId="36DF90B8">
      <w:pPr>
        <w:spacing w:before="160" w:after="80"/>
        <w:jc w:val="center"/>
      </w:pPr>
      <w:r>
        <w:drawing>
          <wp:inline distT="0" distB="0" distL="114300" distR="114300">
            <wp:extent cx="5303520" cy="5357495"/>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303520" cy="5357915"/>
                    </a:xfrm>
                    <a:prstGeom prst="rect">
                      <a:avLst/>
                    </a:prstGeom>
                  </pic:spPr>
                </pic:pic>
              </a:graphicData>
            </a:graphic>
          </wp:inline>
        </w:drawing>
      </w:r>
    </w:p>
    <w:p w14:paraId="4A898574">
      <w:pPr>
        <w:spacing w:after="160"/>
        <w:jc w:val="center"/>
        <w:rPr>
          <w:rFonts w:ascii="Times New Roman" w:hAnsi="Times New Roman" w:eastAsia="宋体"/>
          <w:i/>
          <w:sz w:val="20"/>
        </w:rPr>
        <w:sectPr>
          <w:pgSz w:w="11906" w:h="16838"/>
          <w:pgMar w:top="1440" w:right="1440" w:bottom="1440" w:left="1440" w:header="720" w:footer="720" w:gutter="0"/>
          <w:cols w:space="720" w:num="1"/>
          <w:titlePg/>
          <w:docGrid w:linePitch="360" w:charSpace="0"/>
        </w:sectPr>
      </w:pPr>
      <w:r>
        <w:rPr>
          <w:rFonts w:ascii="Times New Roman" w:hAnsi="Times New Roman" w:eastAsia="宋体"/>
          <w:i/>
          <w:sz w:val="20"/>
        </w:rPr>
        <w:t>Fig. 1. Hexagonal frequency-reuse geometry used for the baseline interference analysis.</w:t>
      </w:r>
    </w:p>
    <w:p w14:paraId="3C24083F">
      <w:pPr>
        <w:spacing w:after="160"/>
        <w:jc w:val="center"/>
        <w:rPr>
          <w:rFonts w:ascii="Times New Roman" w:hAnsi="Times New Roman" w:eastAsia="宋体"/>
          <w:i/>
          <w:sz w:val="20"/>
        </w:rPr>
        <w:sectPr>
          <w:pgSz w:w="11906" w:h="16838"/>
          <w:pgMar w:top="1440" w:right="1440" w:bottom="1440" w:left="1440" w:header="720" w:footer="720" w:gutter="0"/>
          <w:cols w:space="720" w:num="1"/>
          <w:titlePg/>
          <w:docGrid w:linePitch="360" w:charSpace="0"/>
        </w:sectPr>
      </w:pPr>
    </w:p>
    <w:p w14:paraId="173FE7CA">
      <w:pPr>
        <w:pStyle w:val="3"/>
        <w:bidi w:val="0"/>
      </w:pPr>
      <w:bookmarkStart w:id="15" w:name="_Toc30811"/>
      <w:r>
        <w:t>IV. 仿真实验结果与真实站址数据分析</w:t>
      </w:r>
      <w:bookmarkEnd w:id="15"/>
    </w:p>
    <w:p w14:paraId="7C5376F9">
      <w:pPr>
        <w:pStyle w:val="4"/>
        <w:bidi w:val="0"/>
      </w:pPr>
      <w:bookmarkStart w:id="16" w:name="_Toc13134"/>
      <w:r>
        <w:t>A. 复用因子对地面用户 SIR 与 SINR 的影响</w:t>
      </w:r>
      <w:bookmarkEnd w:id="16"/>
    </w:p>
    <w:p w14:paraId="202C1C75">
      <w:pPr>
        <w:bidi w:val="0"/>
      </w:pPr>
      <w:r>
        <w:t xml:space="preserve">Table II 给出了不同复用因子下的地面用户结果。从解析边缘 SIR、几何边缘 SIR、随机用户中位 SIR 到中位 SINR，整体趋势都随 </w:t>
      </w:r>
      <m:oMath>
        <m:r>
          <m:rPr>
            <m:nor/>
          </m:rPr>
          <w:rPr>
            <w:rFonts w:hint="default" w:ascii="Times New Roman" w:hAnsi="Times New Roman" w:cs="Times New Roman"/>
            <w:i/>
            <w:sz w:val="24"/>
          </w:rPr>
          <m:t>N</m:t>
        </m:r>
      </m:oMath>
      <w:r>
        <w:t xml:space="preserve"> 增大而改善，这说明经典复用理论在引入更真实传播因素后仍然保留了正确方向。但同时可以看到，SINR 的提升幅度明显小于 SIR。这是因为当复用因子较大、同频干扰显著减弱后，系统逐渐从典型干扰受限状态过渡到干扰与热噪声共同约束状态，噪声底开始限制进一步性能增长。</w:t>
      </w:r>
    </w:p>
    <w:p w14:paraId="59C70156">
      <w:pPr>
        <w:spacing w:before="160" w:after="80"/>
        <w:jc w:val="center"/>
      </w:pPr>
      <w:r>
        <w:rPr>
          <w:rFonts w:ascii="Times New Roman" w:hAnsi="Times New Roman" w:eastAsia="宋体"/>
          <w:b/>
          <w:sz w:val="21"/>
        </w:rPr>
        <w:t>TABLE II. 不同复用因子下的地面用户 SIR / SINR</w:t>
      </w:r>
    </w:p>
    <w:tbl>
      <w:tblPr>
        <w:tblStyle w:val="35"/>
        <w:tblW w:w="0" w:type="auto"/>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416"/>
        <w:gridCol w:w="1687"/>
        <w:gridCol w:w="1885"/>
        <w:gridCol w:w="1688"/>
        <w:gridCol w:w="1833"/>
        <w:gridCol w:w="1733"/>
      </w:tblGrid>
      <w:tr w14:paraId="11A9867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6E9F2477">
            <w:pPr>
              <w:snapToGrid w:val="0"/>
              <w:spacing w:after="0" w:line="240" w:lineRule="auto"/>
              <w:ind w:left="0" w:leftChars="0" w:right="0" w:rightChars="0" w:firstLine="0" w:firstLineChars="0"/>
              <w:jc w:val="center"/>
              <w:rPr>
                <w:rFonts w:ascii="Times New Roman" w:eastAsia="宋体"/>
                <w:b/>
                <w:sz w:val="20"/>
                <w:vertAlign w:val="subscript"/>
              </w:rPr>
            </w:pPr>
            <m:oMathPara>
              <m:oMath>
                <m:r>
                  <m:rPr>
                    <m:nor/>
                  </m:rPr>
                  <w:rPr>
                    <w:rFonts w:hint="default" w:ascii="Times New Roman" w:hAnsi="Times New Roman" w:cs="Times New Roman"/>
                    <w:i/>
                    <w:sz w:val="20"/>
                  </w:rPr>
                  <m:t>N</m:t>
                </m:r>
              </m:oMath>
            </m:oMathPara>
          </w:p>
        </w:tc>
        <w:tc>
          <w:tcPr>
            <w:tcW w:w="0" w:type="auto"/>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44A14EF7">
            <w:pPr>
              <w:snapToGrid w:val="0"/>
              <w:spacing w:after="0" w:line="240" w:lineRule="auto"/>
              <w:ind w:left="0" w:leftChars="0" w:right="0" w:rightChars="0" w:firstLine="0" w:firstLineChars="0"/>
              <w:jc w:val="center"/>
              <w:rPr>
                <w:rFonts w:ascii="Times New Roman" w:eastAsia="宋体"/>
                <w:b/>
                <w:sz w:val="20"/>
              </w:rPr>
            </w:pPr>
            <w:r>
              <w:rPr>
                <w:rFonts w:ascii="Times New Roman" w:hAnsi="Times New Roman" w:eastAsia="宋体"/>
                <w:b/>
                <w:sz w:val="20"/>
              </w:rPr>
              <w:t>解析边缘SIR/dB</w:t>
            </w:r>
          </w:p>
        </w:tc>
        <w:tc>
          <w:tcPr>
            <w:tcW w:w="0" w:type="auto"/>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46A6BD2F">
            <w:pPr>
              <w:snapToGrid w:val="0"/>
              <w:spacing w:after="0" w:line="240" w:lineRule="auto"/>
              <w:ind w:left="0" w:leftChars="0" w:right="0" w:rightChars="0" w:firstLine="0" w:firstLineChars="0"/>
              <w:jc w:val="center"/>
              <w:rPr>
                <w:rFonts w:ascii="Times New Roman" w:eastAsia="宋体"/>
                <w:b/>
                <w:sz w:val="20"/>
              </w:rPr>
            </w:pPr>
            <w:r>
              <w:rPr>
                <w:rFonts w:ascii="Times New Roman" w:hAnsi="Times New Roman" w:eastAsia="宋体"/>
                <w:b/>
                <w:sz w:val="20"/>
              </w:rPr>
              <w:t>六边形边缘SIR/dB</w:t>
            </w:r>
          </w:p>
        </w:tc>
        <w:tc>
          <w:tcPr>
            <w:tcW w:w="0" w:type="auto"/>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5F98E072">
            <w:pPr>
              <w:snapToGrid w:val="0"/>
              <w:spacing w:after="0" w:line="240" w:lineRule="auto"/>
              <w:ind w:left="0" w:leftChars="0" w:right="0" w:rightChars="0" w:firstLine="0" w:firstLineChars="0"/>
              <w:jc w:val="center"/>
              <w:rPr>
                <w:rFonts w:ascii="Times New Roman" w:eastAsia="宋体"/>
                <w:b/>
                <w:sz w:val="20"/>
              </w:rPr>
            </w:pPr>
            <w:r>
              <w:rPr>
                <w:rFonts w:ascii="Times New Roman" w:hAnsi="Times New Roman" w:eastAsia="宋体"/>
                <w:b/>
                <w:sz w:val="20"/>
              </w:rPr>
              <w:t>中位用户SIR/dB</w:t>
            </w:r>
          </w:p>
        </w:tc>
        <w:tc>
          <w:tcPr>
            <w:tcW w:w="0" w:type="auto"/>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7F6DFBA9">
            <w:pPr>
              <w:snapToGrid w:val="0"/>
              <w:spacing w:after="0" w:line="240" w:lineRule="auto"/>
              <w:ind w:left="0" w:leftChars="0" w:right="0" w:rightChars="0" w:firstLine="0" w:firstLineChars="0"/>
              <w:jc w:val="center"/>
              <w:rPr>
                <w:rFonts w:ascii="Times New Roman" w:eastAsia="宋体"/>
                <w:b/>
                <w:sz w:val="20"/>
              </w:rPr>
            </w:pPr>
            <w:r>
              <w:rPr>
                <w:rFonts w:ascii="Times New Roman" w:hAnsi="Times New Roman" w:eastAsia="宋体"/>
                <w:b/>
                <w:sz w:val="20"/>
              </w:rPr>
              <w:t>中位用户SINR/dB</w:t>
            </w:r>
          </w:p>
        </w:tc>
        <w:tc>
          <w:tcPr>
            <w:tcW w:w="0" w:type="auto"/>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6A946FFE">
            <w:pPr>
              <w:snapToGrid w:val="0"/>
              <w:spacing w:after="0" w:line="240" w:lineRule="auto"/>
              <w:ind w:left="0" w:leftChars="0" w:right="0" w:rightChars="0" w:firstLine="0" w:firstLineChars="0"/>
              <w:jc w:val="center"/>
              <w:rPr>
                <w:rFonts w:ascii="Times New Roman" w:eastAsia="宋体"/>
                <w:b/>
                <w:sz w:val="20"/>
              </w:rPr>
            </w:pPr>
            <w:r>
              <w:rPr>
                <w:rFonts w:ascii="Times New Roman" w:hAnsi="Times New Roman" w:eastAsia="宋体"/>
                <w:b/>
                <w:sz w:val="20"/>
              </w:rPr>
              <w:t>5%分位SINR/dB</w:t>
            </w:r>
          </w:p>
        </w:tc>
      </w:tr>
      <w:tr w14:paraId="3ED0F18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CBEDEF9">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53ED904">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1.28</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6EB1B00">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-3.41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3A5EEA23">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14.25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7DDFBD7F">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12.82</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F9F4A9F">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-7.32</w:t>
            </w:r>
          </w:p>
        </w:tc>
      </w:tr>
      <w:tr w14:paraId="4883F350">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C73AE26">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3</w:t>
            </w:r>
          </w:p>
        </w:tc>
        <w:tc>
          <w:tcPr>
            <w:tcW w:w="0" w:type="auto"/>
            <w:tcBorders>
              <w:top w:val="nil"/>
              <w:left w:val="nil"/>
              <w:bottom w:val="nil"/>
              <w:right w:val="nil"/>
            </w:tcBorders>
            <w:noWrap w:val="0"/>
            <w:tcMar>
              <w:top w:w="-1" w:type="dxa"/>
              <w:left w:w="-1" w:type="dxa"/>
              <w:bottom w:w="-1" w:type="dxa"/>
              <w:right w:w="-1" w:type="dxa"/>
            </w:tcMar>
            <w:vAlign w:val="center"/>
          </w:tcPr>
          <w:p w14:paraId="0CCD19C5">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10.35</w:t>
            </w:r>
          </w:p>
        </w:tc>
        <w:tc>
          <w:tcPr>
            <w:tcW w:w="0" w:type="auto"/>
            <w:tcBorders>
              <w:top w:val="nil"/>
              <w:left w:val="nil"/>
              <w:bottom w:val="nil"/>
              <w:right w:val="nil"/>
            </w:tcBorders>
            <w:noWrap w:val="0"/>
            <w:tcMar>
              <w:top w:w="-1" w:type="dxa"/>
              <w:left w:w="-1" w:type="dxa"/>
              <w:bottom w:w="-1" w:type="dxa"/>
              <w:right w:w="-1" w:type="dxa"/>
            </w:tcMar>
            <w:vAlign w:val="center"/>
          </w:tcPr>
          <w:p w14:paraId="5C09D236">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8.48</w:t>
            </w:r>
          </w:p>
        </w:tc>
        <w:tc>
          <w:tcPr>
            <w:tcW w:w="0" w:type="auto"/>
            <w:tcBorders>
              <w:top w:val="nil"/>
              <w:left w:val="nil"/>
              <w:bottom w:val="nil"/>
              <w:right w:val="nil"/>
            </w:tcBorders>
            <w:noWrap w:val="0"/>
            <w:tcMar>
              <w:top w:w="-1" w:type="dxa"/>
              <w:left w:w="-1" w:type="dxa"/>
              <w:bottom w:w="-1" w:type="dxa"/>
              <w:right w:w="-1" w:type="dxa"/>
            </w:tcMar>
            <w:vAlign w:val="center"/>
          </w:tcPr>
          <w:p w14:paraId="46D6416A">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24.99</w:t>
            </w:r>
          </w:p>
        </w:tc>
        <w:tc>
          <w:tcPr>
            <w:tcW w:w="0" w:type="auto"/>
            <w:tcBorders>
              <w:top w:val="nil"/>
              <w:left w:val="nil"/>
              <w:bottom w:val="nil"/>
              <w:right w:val="nil"/>
            </w:tcBorders>
            <w:noWrap w:val="0"/>
            <w:tcMar>
              <w:top w:w="-1" w:type="dxa"/>
              <w:left w:w="-1" w:type="dxa"/>
              <w:bottom w:w="-1" w:type="dxa"/>
              <w:right w:w="-1" w:type="dxa"/>
            </w:tcMar>
            <w:vAlign w:val="center"/>
          </w:tcPr>
          <w:p w14:paraId="0C4DDCEC">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18.49</w:t>
            </w:r>
          </w:p>
        </w:tc>
        <w:tc>
          <w:tcPr>
            <w:tcW w:w="0" w:type="auto"/>
            <w:tcBorders>
              <w:top w:val="nil"/>
              <w:left w:val="nil"/>
              <w:bottom w:val="nil"/>
              <w:right w:val="nil"/>
            </w:tcBorders>
            <w:noWrap w:val="0"/>
            <w:tcMar>
              <w:top w:w="-1" w:type="dxa"/>
              <w:left w:w="-1" w:type="dxa"/>
              <w:bottom w:w="-1" w:type="dxa"/>
              <w:right w:w="-1" w:type="dxa"/>
            </w:tcMar>
            <w:vAlign w:val="center"/>
          </w:tcPr>
          <w:p w14:paraId="71B4DE4F">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0.26</w:t>
            </w:r>
          </w:p>
        </w:tc>
      </w:tr>
      <w:tr w14:paraId="02C4BBC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48FF5676">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4</w:t>
            </w:r>
          </w:p>
        </w:tc>
        <w:tc>
          <w:tcPr>
            <w:tcW w:w="0" w:type="auto"/>
            <w:tcBorders>
              <w:top w:val="nil"/>
              <w:left w:val="nil"/>
              <w:bottom w:val="nil"/>
              <w:right w:val="nil"/>
            </w:tcBorders>
            <w:noWrap w:val="0"/>
            <w:tcMar>
              <w:top w:w="-1" w:type="dxa"/>
              <w:left w:w="-1" w:type="dxa"/>
              <w:bottom w:w="-1" w:type="dxa"/>
              <w:right w:w="-1" w:type="dxa"/>
            </w:tcMar>
            <w:vAlign w:val="center"/>
          </w:tcPr>
          <w:p w14:paraId="11CE3C30">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12.72</w:t>
            </w:r>
          </w:p>
        </w:tc>
        <w:tc>
          <w:tcPr>
            <w:tcW w:w="0" w:type="auto"/>
            <w:tcBorders>
              <w:top w:val="nil"/>
              <w:left w:val="nil"/>
              <w:bottom w:val="nil"/>
              <w:right w:val="nil"/>
            </w:tcBorders>
            <w:noWrap w:val="0"/>
            <w:tcMar>
              <w:top w:w="-1" w:type="dxa"/>
              <w:left w:w="-1" w:type="dxa"/>
              <w:bottom w:w="-1" w:type="dxa"/>
              <w:right w:w="-1" w:type="dxa"/>
            </w:tcMar>
            <w:vAlign w:val="center"/>
          </w:tcPr>
          <w:p w14:paraId="7B8E8B74">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11.41</w:t>
            </w:r>
          </w:p>
        </w:tc>
        <w:tc>
          <w:tcPr>
            <w:tcW w:w="0" w:type="auto"/>
            <w:tcBorders>
              <w:top w:val="nil"/>
              <w:left w:val="nil"/>
              <w:bottom w:val="nil"/>
              <w:right w:val="nil"/>
            </w:tcBorders>
            <w:noWrap w:val="0"/>
            <w:tcMar>
              <w:top w:w="-1" w:type="dxa"/>
              <w:left w:w="-1" w:type="dxa"/>
              <w:bottom w:w="-1" w:type="dxa"/>
              <w:right w:w="-1" w:type="dxa"/>
            </w:tcMar>
            <w:vAlign w:val="center"/>
          </w:tcPr>
          <w:p w14:paraId="3235477B">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27.32</w:t>
            </w:r>
          </w:p>
        </w:tc>
        <w:tc>
          <w:tcPr>
            <w:tcW w:w="0" w:type="auto"/>
            <w:tcBorders>
              <w:top w:val="nil"/>
              <w:left w:val="nil"/>
              <w:bottom w:val="nil"/>
              <w:right w:val="nil"/>
            </w:tcBorders>
            <w:noWrap w:val="0"/>
            <w:tcMar>
              <w:top w:w="-1" w:type="dxa"/>
              <w:left w:w="-1" w:type="dxa"/>
              <w:bottom w:w="-1" w:type="dxa"/>
              <w:right w:w="-1" w:type="dxa"/>
            </w:tcMar>
            <w:vAlign w:val="center"/>
          </w:tcPr>
          <w:p w14:paraId="01C1107A">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19.02</w:t>
            </w:r>
          </w:p>
        </w:tc>
        <w:tc>
          <w:tcPr>
            <w:tcW w:w="0" w:type="auto"/>
            <w:tcBorders>
              <w:top w:val="nil"/>
              <w:left w:val="nil"/>
              <w:bottom w:val="nil"/>
              <w:right w:val="nil"/>
            </w:tcBorders>
            <w:noWrap w:val="0"/>
            <w:tcMar>
              <w:top w:w="-1" w:type="dxa"/>
              <w:left w:w="-1" w:type="dxa"/>
              <w:bottom w:w="-1" w:type="dxa"/>
              <w:right w:w="-1" w:type="dxa"/>
            </w:tcMar>
            <w:vAlign w:val="center"/>
          </w:tcPr>
          <w:p w14:paraId="25BE2923">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0.76</w:t>
            </w:r>
          </w:p>
        </w:tc>
      </w:tr>
      <w:tr w14:paraId="09CC37D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9246BAF">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7</w:t>
            </w:r>
          </w:p>
        </w:tc>
        <w:tc>
          <w:tcPr>
            <w:tcW w:w="0" w:type="auto"/>
            <w:tcBorders>
              <w:top w:val="nil"/>
              <w:left w:val="nil"/>
              <w:bottom w:val="nil"/>
              <w:right w:val="nil"/>
            </w:tcBorders>
            <w:noWrap w:val="0"/>
            <w:tcMar>
              <w:top w:w="-1" w:type="dxa"/>
              <w:left w:w="-1" w:type="dxa"/>
              <w:bottom w:w="-1" w:type="dxa"/>
              <w:right w:w="-1" w:type="dxa"/>
            </w:tcMar>
            <w:vAlign w:val="center"/>
          </w:tcPr>
          <w:p w14:paraId="42D26CC5">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17.34</w:t>
            </w:r>
          </w:p>
        </w:tc>
        <w:tc>
          <w:tcPr>
            <w:tcW w:w="0" w:type="auto"/>
            <w:tcBorders>
              <w:top w:val="nil"/>
              <w:left w:val="nil"/>
              <w:bottom w:val="nil"/>
              <w:right w:val="nil"/>
            </w:tcBorders>
            <w:noWrap w:val="0"/>
            <w:tcMar>
              <w:top w:w="-1" w:type="dxa"/>
              <w:left w:w="-1" w:type="dxa"/>
              <w:bottom w:w="-1" w:type="dxa"/>
              <w:right w:w="-1" w:type="dxa"/>
            </w:tcMar>
            <w:vAlign w:val="center"/>
          </w:tcPr>
          <w:p w14:paraId="29F16D4F">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16.58</w:t>
            </w:r>
          </w:p>
        </w:tc>
        <w:tc>
          <w:tcPr>
            <w:tcW w:w="0" w:type="auto"/>
            <w:tcBorders>
              <w:top w:val="nil"/>
              <w:left w:val="nil"/>
              <w:bottom w:val="nil"/>
              <w:right w:val="nil"/>
            </w:tcBorders>
            <w:noWrap w:val="0"/>
            <w:tcMar>
              <w:top w:w="-1" w:type="dxa"/>
              <w:left w:w="-1" w:type="dxa"/>
              <w:bottom w:w="-1" w:type="dxa"/>
              <w:right w:w="-1" w:type="dxa"/>
            </w:tcMar>
            <w:vAlign w:val="center"/>
          </w:tcPr>
          <w:p w14:paraId="778FE1F7">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32.21</w:t>
            </w:r>
          </w:p>
        </w:tc>
        <w:tc>
          <w:tcPr>
            <w:tcW w:w="0" w:type="auto"/>
            <w:tcBorders>
              <w:top w:val="nil"/>
              <w:left w:val="nil"/>
              <w:bottom w:val="nil"/>
              <w:right w:val="nil"/>
            </w:tcBorders>
            <w:noWrap w:val="0"/>
            <w:tcMar>
              <w:top w:w="-1" w:type="dxa"/>
              <w:left w:w="-1" w:type="dxa"/>
              <w:bottom w:w="-1" w:type="dxa"/>
              <w:right w:w="-1" w:type="dxa"/>
            </w:tcMar>
            <w:vAlign w:val="center"/>
          </w:tcPr>
          <w:p w14:paraId="36161825">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20.03</w:t>
            </w:r>
          </w:p>
        </w:tc>
        <w:tc>
          <w:tcPr>
            <w:tcW w:w="0" w:type="auto"/>
            <w:tcBorders>
              <w:top w:val="nil"/>
              <w:left w:val="nil"/>
              <w:bottom w:val="nil"/>
              <w:right w:val="nil"/>
            </w:tcBorders>
            <w:noWrap w:val="0"/>
            <w:tcMar>
              <w:top w:w="-1" w:type="dxa"/>
              <w:left w:w="-1" w:type="dxa"/>
              <w:bottom w:w="-1" w:type="dxa"/>
              <w:right w:w="-1" w:type="dxa"/>
            </w:tcMar>
            <w:vAlign w:val="center"/>
          </w:tcPr>
          <w:p w14:paraId="0D37A034">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1.75</w:t>
            </w:r>
          </w:p>
        </w:tc>
      </w:tr>
      <w:tr w14:paraId="7A475D9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single" w:color="auto" w:sz="12" w:space="0"/>
              <w:right w:val="nil"/>
            </w:tcBorders>
            <w:noWrap w:val="0"/>
            <w:tcMar>
              <w:top w:w="-1" w:type="dxa"/>
              <w:left w:w="-1" w:type="dxa"/>
              <w:bottom w:w="-1" w:type="dxa"/>
              <w:right w:w="-1" w:type="dxa"/>
            </w:tcMar>
            <w:vAlign w:val="center"/>
          </w:tcPr>
          <w:p w14:paraId="0233ABE3">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12</w:t>
            </w:r>
          </w:p>
        </w:tc>
        <w:tc>
          <w:tcPr>
            <w:tcW w:w="0" w:type="auto"/>
            <w:tcBorders>
              <w:top w:val="nil"/>
              <w:left w:val="nil"/>
              <w:bottom w:val="single" w:color="auto" w:sz="12" w:space="0"/>
              <w:right w:val="nil"/>
            </w:tcBorders>
            <w:noWrap w:val="0"/>
            <w:tcMar>
              <w:top w:w="-1" w:type="dxa"/>
              <w:left w:w="-1" w:type="dxa"/>
              <w:bottom w:w="-1" w:type="dxa"/>
              <w:right w:w="-1" w:type="dxa"/>
            </w:tcMar>
            <w:vAlign w:val="center"/>
          </w:tcPr>
          <w:p w14:paraId="36068F40">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21.79</w:t>
            </w:r>
          </w:p>
        </w:tc>
        <w:tc>
          <w:tcPr>
            <w:tcW w:w="0" w:type="auto"/>
            <w:tcBorders>
              <w:top w:val="nil"/>
              <w:left w:val="nil"/>
              <w:bottom w:val="single" w:color="auto" w:sz="12" w:space="0"/>
              <w:right w:val="nil"/>
            </w:tcBorders>
            <w:noWrap w:val="0"/>
            <w:tcMar>
              <w:top w:w="-1" w:type="dxa"/>
              <w:left w:w="-1" w:type="dxa"/>
              <w:bottom w:w="-1" w:type="dxa"/>
              <w:right w:w="-1" w:type="dxa"/>
            </w:tcMar>
            <w:vAlign w:val="center"/>
          </w:tcPr>
          <w:p w14:paraId="2C628AA7">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21.35</w:t>
            </w:r>
          </w:p>
        </w:tc>
        <w:tc>
          <w:tcPr>
            <w:tcW w:w="0" w:type="auto"/>
            <w:tcBorders>
              <w:top w:val="nil"/>
              <w:left w:val="nil"/>
              <w:bottom w:val="single" w:color="auto" w:sz="12" w:space="0"/>
              <w:right w:val="nil"/>
            </w:tcBorders>
            <w:noWrap w:val="0"/>
            <w:tcMar>
              <w:top w:w="-1" w:type="dxa"/>
              <w:left w:w="-1" w:type="dxa"/>
              <w:bottom w:w="-1" w:type="dxa"/>
              <w:right w:w="-1" w:type="dxa"/>
            </w:tcMar>
            <w:vAlign w:val="center"/>
          </w:tcPr>
          <w:p w14:paraId="346F82ED">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36.59</w:t>
            </w:r>
          </w:p>
        </w:tc>
        <w:tc>
          <w:tcPr>
            <w:tcW w:w="0" w:type="auto"/>
            <w:tcBorders>
              <w:top w:val="nil"/>
              <w:left w:val="nil"/>
              <w:bottom w:val="single" w:color="auto" w:sz="12" w:space="0"/>
              <w:right w:val="nil"/>
            </w:tcBorders>
            <w:noWrap w:val="0"/>
            <w:tcMar>
              <w:top w:w="-1" w:type="dxa"/>
              <w:left w:w="-1" w:type="dxa"/>
              <w:bottom w:w="-1" w:type="dxa"/>
              <w:right w:w="-1" w:type="dxa"/>
            </w:tcMar>
            <w:vAlign w:val="center"/>
          </w:tcPr>
          <w:p w14:paraId="17AC3D76">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20.18</w:t>
            </w:r>
          </w:p>
        </w:tc>
        <w:tc>
          <w:tcPr>
            <w:tcW w:w="0" w:type="auto"/>
            <w:tcBorders>
              <w:top w:val="nil"/>
              <w:left w:val="nil"/>
              <w:bottom w:val="single" w:color="auto" w:sz="12" w:space="0"/>
              <w:right w:val="nil"/>
            </w:tcBorders>
            <w:noWrap w:val="0"/>
            <w:tcMar>
              <w:top w:w="-1" w:type="dxa"/>
              <w:left w:w="-1" w:type="dxa"/>
              <w:bottom w:w="-1" w:type="dxa"/>
              <w:right w:w="-1" w:type="dxa"/>
            </w:tcMar>
            <w:vAlign w:val="center"/>
          </w:tcPr>
          <w:p w14:paraId="660204C7">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1.47</w:t>
            </w:r>
          </w:p>
        </w:tc>
      </w:tr>
    </w:tbl>
    <w:p w14:paraId="4207CC02"/>
    <w:p w14:paraId="7E880A38">
      <w:pPr>
        <w:bidi w:val="0"/>
      </w:pPr>
      <w:r>
        <w:t>从边缘用户角度看，</w:t>
      </w:r>
      <m:oMath>
        <m:r>
          <m:rPr>
            <m:nor/>
            <m:sty m:val="p"/>
          </m:rPr>
          <w:rPr>
            <w:rFonts w:hint="default" w:ascii="Times New Roman" w:hAnsi="Times New Roman"/>
          </w:rPr>
          <m:t>N=1</m:t>
        </m:r>
      </m:oMath>
      <w:r>
        <w:t xml:space="preserve"> 到 </w:t>
      </w:r>
      <m:oMath>
        <m:r>
          <m:rPr>
            <m:nor/>
            <m:sty m:val="p"/>
          </m:rPr>
          <w:rPr>
            <w:rFonts w:hint="default" w:ascii="Times New Roman" w:hAnsi="Times New Roman"/>
          </w:rPr>
          <m:t>N=12</m:t>
        </m:r>
      </m:oMath>
      <w:r>
        <w:t xml:space="preserve"> 的解析 SIR 提升约 20.5 dB，说明复用距离增大对抑制同频干扰具有显著作用。可是在随机用户统计结果中，中位 SINR 仅从 12.82 dB 提升到 20.18 dB，增益约 7.4 dB，远小于中位 SIR 的增长幅度。这一差异直接证明：若仅观察 SIR，会高估增大复用因子所带来的实际系统收益。因此，在蜂窝容量分析中，将 SIR 与 SINR 分开讨论是必要的。</w:t>
      </w:r>
    </w:p>
    <w:p w14:paraId="0DF0F250">
      <w:pPr>
        <w:bidi w:val="0"/>
      </w:pPr>
      <w:r>
        <w:t>Fig. 2 进一步用曲线形式展示了不同复用因子下的 SIR 变化趋势。相较于表格，曲线图更容易看出解析结果与统计结果在趋势上保持一致，但统计曲线在小复用因子区域受随机传播因素影响更明显。</w:t>
      </w:r>
    </w:p>
    <w:p w14:paraId="4F9F6C7F">
      <w:pPr>
        <w:spacing w:before="160" w:after="80"/>
        <w:jc w:val="center"/>
      </w:pPr>
      <w:r>
        <w:drawing>
          <wp:inline distT="0" distB="0" distL="114300" distR="114300">
            <wp:extent cx="5303520" cy="328358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303520" cy="3284090"/>
                    </a:xfrm>
                    <a:prstGeom prst="rect">
                      <a:avLst/>
                    </a:prstGeom>
                  </pic:spPr>
                </pic:pic>
              </a:graphicData>
            </a:graphic>
          </wp:inline>
        </w:drawing>
      </w:r>
    </w:p>
    <w:p w14:paraId="68F8A5AF">
      <w:pPr>
        <w:spacing w:after="160"/>
        <w:jc w:val="center"/>
      </w:pPr>
      <w:r>
        <w:rPr>
          <w:rFonts w:ascii="Times New Roman" w:hAnsi="Times New Roman" w:eastAsia="宋体"/>
          <w:i/>
          <w:sz w:val="20"/>
        </w:rPr>
        <w:t>Fig. 2. SIR performance versus reuse factor under the ground-user scenario.</w:t>
      </w:r>
    </w:p>
    <w:p w14:paraId="54CC53FC">
      <w:pPr>
        <w:pStyle w:val="4"/>
        <w:bidi w:val="0"/>
      </w:pPr>
      <w:bookmarkStart w:id="17" w:name="_Toc2157"/>
      <w:r>
        <w:t>B. 复用因子对有效面积频谱效率的影响</w:t>
      </w:r>
      <w:bookmarkEnd w:id="17"/>
    </w:p>
    <w:p w14:paraId="5AEEB64B">
      <w:pPr>
        <w:bidi w:val="0"/>
      </w:pPr>
      <w:r>
        <w:t>Table III 给出了不同复用因子下的平均链路速率和有效 ASE。结果显示，随着 N 增大，平均链路质量持续改善，平均用户 SINR 速率也有所增长，但单位面积有效 ASE 却单调下降。这说明频率复用设计中的核心矛盾并不是干扰越小越好，而是单链路质量改善与空间复用密度下降之间的竞争。若仅从单用户速率角度看，大复用因子似乎更优；但若以系统容量为准，则小复用因子仍然保有明显优势。</w:t>
      </w:r>
    </w:p>
    <w:p w14:paraId="7D72E336">
      <w:pPr>
        <w:spacing w:before="160" w:after="80"/>
        <w:jc w:val="center"/>
      </w:pPr>
      <w:r>
        <w:rPr>
          <w:rFonts w:ascii="Times New Roman" w:hAnsi="Times New Roman" w:eastAsia="宋体"/>
          <w:b/>
          <w:sz w:val="21"/>
        </w:rPr>
        <w:t>TABLE III. 不同复用因子下的有效频谱效率</w:t>
      </w:r>
    </w:p>
    <w:tbl>
      <w:tblPr>
        <w:tblStyle w:val="35"/>
        <w:tblW w:w="0" w:type="auto"/>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416"/>
        <w:gridCol w:w="1773"/>
        <w:gridCol w:w="1847"/>
        <w:gridCol w:w="1350"/>
        <w:gridCol w:w="1903"/>
        <w:gridCol w:w="1953"/>
      </w:tblGrid>
      <w:tr w14:paraId="21FE130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520D0339">
            <w:pPr>
              <w:snapToGrid w:val="0"/>
              <w:spacing w:after="0" w:line="240" w:lineRule="auto"/>
              <w:ind w:left="0" w:leftChars="0" w:right="0" w:rightChars="0" w:firstLine="0" w:firstLineChars="0"/>
              <w:jc w:val="center"/>
              <w:rPr>
                <w:rFonts w:ascii="Times New Roman" w:eastAsia="宋体"/>
                <w:b/>
                <w:sz w:val="20"/>
              </w:rPr>
            </w:pPr>
            <m:oMathPara>
              <m:oMath>
                <m:r>
                  <m:rPr>
                    <m:nor/>
                  </m:rPr>
                  <w:rPr>
                    <w:rFonts w:hint="default" w:ascii="Times New Roman" w:hAnsi="Times New Roman" w:cs="Times New Roman"/>
                    <w:i/>
                    <w:sz w:val="20"/>
                  </w:rPr>
                  <m:t>N</m:t>
                </m:r>
              </m:oMath>
            </m:oMathPara>
          </w:p>
        </w:tc>
        <w:tc>
          <w:tcPr>
            <w:tcW w:w="0" w:type="auto"/>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5EDB24BC">
            <w:pPr>
              <w:snapToGrid w:val="0"/>
              <w:spacing w:after="0" w:line="240" w:lineRule="auto"/>
              <w:ind w:left="0" w:leftChars="0" w:right="0" w:rightChars="0" w:firstLine="0" w:firstLineChars="0"/>
              <w:jc w:val="center"/>
              <w:rPr>
                <w:rFonts w:ascii="Times New Roman" w:eastAsia="宋体"/>
                <w:b/>
                <w:sz w:val="20"/>
              </w:rPr>
            </w:pPr>
            <w:r>
              <w:rPr>
                <w:rFonts w:ascii="Times New Roman" w:hAnsi="Times New Roman" w:eastAsia="宋体"/>
                <w:b/>
                <w:sz w:val="20"/>
              </w:rPr>
              <w:t>平均用户SIR速率/bit/s/Hz</w:t>
            </w:r>
          </w:p>
        </w:tc>
        <w:tc>
          <w:tcPr>
            <w:tcW w:w="0" w:type="auto"/>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05E3F242">
            <w:pPr>
              <w:snapToGrid w:val="0"/>
              <w:spacing w:after="0" w:line="240" w:lineRule="auto"/>
              <w:ind w:left="0" w:leftChars="0" w:right="0" w:rightChars="0" w:firstLine="0" w:firstLineChars="0"/>
              <w:jc w:val="center"/>
              <w:rPr>
                <w:rFonts w:ascii="Times New Roman" w:eastAsia="宋体"/>
                <w:b/>
                <w:sz w:val="20"/>
              </w:rPr>
            </w:pPr>
            <w:r>
              <w:rPr>
                <w:rFonts w:ascii="Times New Roman" w:hAnsi="Times New Roman" w:eastAsia="宋体"/>
                <w:b/>
                <w:sz w:val="20"/>
              </w:rPr>
              <w:t>平均用户SINR速率/bit/s/Hz</w:t>
            </w:r>
          </w:p>
        </w:tc>
        <w:tc>
          <w:tcPr>
            <w:tcW w:w="0" w:type="auto"/>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7F545B3B">
            <w:pPr>
              <w:snapToGrid w:val="0"/>
              <w:spacing w:after="0" w:line="240" w:lineRule="auto"/>
              <w:ind w:left="0" w:leftChars="0" w:right="0" w:rightChars="0" w:firstLine="0" w:firstLineChars="0"/>
              <w:jc w:val="center"/>
              <w:rPr>
                <w:rFonts w:ascii="Times New Roman" w:eastAsia="宋体"/>
                <w:b/>
                <w:sz w:val="20"/>
              </w:rPr>
            </w:pPr>
            <w:r>
              <w:rPr>
                <w:rFonts w:ascii="Times New Roman" w:hAnsi="Times New Roman" w:eastAsia="宋体"/>
                <w:b/>
                <w:sz w:val="20"/>
              </w:rPr>
              <w:t>有效速率/bit/s/Hz</w:t>
            </w:r>
          </w:p>
        </w:tc>
        <w:tc>
          <w:tcPr>
            <w:tcW w:w="0" w:type="auto"/>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1B9AAEE4">
            <w:pPr>
              <w:snapToGrid w:val="0"/>
              <w:spacing w:after="0" w:line="240" w:lineRule="auto"/>
              <w:ind w:left="0" w:leftChars="0" w:right="0" w:rightChars="0" w:firstLine="0" w:firstLineChars="0"/>
              <w:jc w:val="center"/>
              <w:rPr>
                <w:rFonts w:ascii="Times New Roman" w:eastAsia="宋体"/>
                <w:b/>
                <w:sz w:val="20"/>
              </w:rPr>
            </w:pPr>
            <w:r>
              <w:rPr>
                <w:rFonts w:ascii="Times New Roman" w:hAnsi="Times New Roman" w:eastAsia="宋体"/>
                <w:b/>
                <w:sz w:val="20"/>
              </w:rPr>
              <w:t>有效ASE/bit/s/Hz/cell</w:t>
            </w:r>
          </w:p>
        </w:tc>
        <w:tc>
          <w:tcPr>
            <w:tcW w:w="0" w:type="auto"/>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486BB790">
            <w:pPr>
              <w:snapToGrid w:val="0"/>
              <w:spacing w:after="0" w:line="240" w:lineRule="auto"/>
              <w:ind w:left="0" w:leftChars="0" w:right="0" w:rightChars="0" w:firstLine="0" w:firstLineChars="0"/>
              <w:jc w:val="center"/>
              <w:rPr>
                <w:rFonts w:ascii="Times New Roman" w:eastAsia="宋体"/>
                <w:b/>
                <w:sz w:val="20"/>
              </w:rPr>
            </w:pPr>
            <w:r>
              <w:rPr>
                <w:rFonts w:ascii="Times New Roman" w:hAnsi="Times New Roman" w:eastAsia="宋体"/>
                <w:b/>
                <w:sz w:val="20"/>
              </w:rPr>
              <w:t>有效ASE/bit/s/Hz/km²</w:t>
            </w:r>
          </w:p>
        </w:tc>
      </w:tr>
      <w:tr w14:paraId="6E67CB6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DFCF8A6">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FCE5B08">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5.30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5C74657">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4.85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A3B26C6">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2.17</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04355EBC">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2.17</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FCFA8F8">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3.34</w:t>
            </w:r>
          </w:p>
        </w:tc>
      </w:tr>
      <w:tr w14:paraId="465F1491">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2586D8A">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3</w:t>
            </w:r>
          </w:p>
        </w:tc>
        <w:tc>
          <w:tcPr>
            <w:tcW w:w="0" w:type="auto"/>
            <w:tcBorders>
              <w:top w:val="nil"/>
              <w:left w:val="nil"/>
              <w:bottom w:val="nil"/>
              <w:right w:val="nil"/>
            </w:tcBorders>
            <w:noWrap w:val="0"/>
            <w:tcMar>
              <w:top w:w="-1" w:type="dxa"/>
              <w:left w:w="-1" w:type="dxa"/>
              <w:bottom w:w="-1" w:type="dxa"/>
              <w:right w:w="-1" w:type="dxa"/>
            </w:tcMar>
            <w:vAlign w:val="center"/>
          </w:tcPr>
          <w:p w14:paraId="68EA215D">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8.44</w:t>
            </w:r>
          </w:p>
        </w:tc>
        <w:tc>
          <w:tcPr>
            <w:tcW w:w="0" w:type="auto"/>
            <w:tcBorders>
              <w:top w:val="nil"/>
              <w:left w:val="nil"/>
              <w:bottom w:val="nil"/>
              <w:right w:val="nil"/>
            </w:tcBorders>
            <w:noWrap w:val="0"/>
            <w:tcMar>
              <w:top w:w="-1" w:type="dxa"/>
              <w:left w:w="-1" w:type="dxa"/>
              <w:bottom w:w="-1" w:type="dxa"/>
              <w:right w:w="-1" w:type="dxa"/>
            </w:tcMar>
            <w:vAlign w:val="center"/>
          </w:tcPr>
          <w:p w14:paraId="6890A3AB">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6.42</w:t>
            </w:r>
          </w:p>
        </w:tc>
        <w:tc>
          <w:tcPr>
            <w:tcW w:w="0" w:type="auto"/>
            <w:tcBorders>
              <w:top w:val="nil"/>
              <w:left w:val="nil"/>
              <w:bottom w:val="nil"/>
              <w:right w:val="nil"/>
            </w:tcBorders>
            <w:noWrap w:val="0"/>
            <w:tcMar>
              <w:top w:w="-1" w:type="dxa"/>
              <w:left w:w="-1" w:type="dxa"/>
              <w:bottom w:w="-1" w:type="dxa"/>
              <w:right w:w="-1" w:type="dxa"/>
            </w:tcMar>
            <w:vAlign w:val="center"/>
          </w:tcPr>
          <w:p w14:paraId="4F64EA09">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3.09</w:t>
            </w:r>
          </w:p>
        </w:tc>
        <w:tc>
          <w:tcPr>
            <w:tcW w:w="0" w:type="auto"/>
            <w:tcBorders>
              <w:top w:val="nil"/>
              <w:left w:val="nil"/>
              <w:bottom w:val="nil"/>
              <w:right w:val="nil"/>
            </w:tcBorders>
            <w:noWrap w:val="0"/>
            <w:tcMar>
              <w:top w:w="-1" w:type="dxa"/>
              <w:left w:w="-1" w:type="dxa"/>
              <w:bottom w:w="-1" w:type="dxa"/>
              <w:right w:w="-1" w:type="dxa"/>
            </w:tcMar>
            <w:vAlign w:val="center"/>
          </w:tcPr>
          <w:p w14:paraId="7EC18860">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1.03</w:t>
            </w:r>
          </w:p>
        </w:tc>
        <w:tc>
          <w:tcPr>
            <w:tcW w:w="0" w:type="auto"/>
            <w:tcBorders>
              <w:top w:val="nil"/>
              <w:left w:val="nil"/>
              <w:bottom w:val="nil"/>
              <w:right w:val="nil"/>
            </w:tcBorders>
            <w:noWrap w:val="0"/>
            <w:tcMar>
              <w:top w:w="-1" w:type="dxa"/>
              <w:left w:w="-1" w:type="dxa"/>
              <w:bottom w:w="-1" w:type="dxa"/>
              <w:right w:w="-1" w:type="dxa"/>
            </w:tcMar>
            <w:vAlign w:val="center"/>
          </w:tcPr>
          <w:p w14:paraId="6BB96BFC">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1.59</w:t>
            </w:r>
          </w:p>
        </w:tc>
      </w:tr>
      <w:tr w14:paraId="066174C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23212EF2">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4</w:t>
            </w:r>
          </w:p>
        </w:tc>
        <w:tc>
          <w:tcPr>
            <w:tcW w:w="0" w:type="auto"/>
            <w:tcBorders>
              <w:top w:val="nil"/>
              <w:left w:val="nil"/>
              <w:bottom w:val="nil"/>
              <w:right w:val="nil"/>
            </w:tcBorders>
            <w:noWrap w:val="0"/>
            <w:tcMar>
              <w:top w:w="-1" w:type="dxa"/>
              <w:left w:w="-1" w:type="dxa"/>
              <w:bottom w:w="-1" w:type="dxa"/>
              <w:right w:w="-1" w:type="dxa"/>
            </w:tcMar>
            <w:vAlign w:val="center"/>
          </w:tcPr>
          <w:p w14:paraId="0DB5C74E">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9.23</w:t>
            </w:r>
          </w:p>
        </w:tc>
        <w:tc>
          <w:tcPr>
            <w:tcW w:w="0" w:type="auto"/>
            <w:tcBorders>
              <w:top w:val="nil"/>
              <w:left w:val="nil"/>
              <w:bottom w:val="nil"/>
              <w:right w:val="nil"/>
            </w:tcBorders>
            <w:noWrap w:val="0"/>
            <w:tcMar>
              <w:top w:w="-1" w:type="dxa"/>
              <w:left w:w="-1" w:type="dxa"/>
              <w:bottom w:w="-1" w:type="dxa"/>
              <w:right w:w="-1" w:type="dxa"/>
            </w:tcMar>
            <w:vAlign w:val="center"/>
          </w:tcPr>
          <w:p w14:paraId="28D45198">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6.63</w:t>
            </w:r>
          </w:p>
        </w:tc>
        <w:tc>
          <w:tcPr>
            <w:tcW w:w="0" w:type="auto"/>
            <w:tcBorders>
              <w:top w:val="nil"/>
              <w:left w:val="nil"/>
              <w:bottom w:val="nil"/>
              <w:right w:val="nil"/>
            </w:tcBorders>
            <w:noWrap w:val="0"/>
            <w:tcMar>
              <w:top w:w="-1" w:type="dxa"/>
              <w:left w:w="-1" w:type="dxa"/>
              <w:bottom w:w="-1" w:type="dxa"/>
              <w:right w:w="-1" w:type="dxa"/>
            </w:tcMar>
            <w:vAlign w:val="center"/>
          </w:tcPr>
          <w:p w14:paraId="72C40579">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3.23</w:t>
            </w:r>
          </w:p>
        </w:tc>
        <w:tc>
          <w:tcPr>
            <w:tcW w:w="0" w:type="auto"/>
            <w:tcBorders>
              <w:top w:val="nil"/>
              <w:left w:val="nil"/>
              <w:bottom w:val="nil"/>
              <w:right w:val="nil"/>
            </w:tcBorders>
            <w:noWrap w:val="0"/>
            <w:tcMar>
              <w:top w:w="-1" w:type="dxa"/>
              <w:left w:w="-1" w:type="dxa"/>
              <w:bottom w:w="-1" w:type="dxa"/>
              <w:right w:w="-1" w:type="dxa"/>
            </w:tcMar>
            <w:vAlign w:val="center"/>
          </w:tcPr>
          <w:p w14:paraId="0DD38DFF">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0.81</w:t>
            </w:r>
          </w:p>
        </w:tc>
        <w:tc>
          <w:tcPr>
            <w:tcW w:w="0" w:type="auto"/>
            <w:tcBorders>
              <w:top w:val="nil"/>
              <w:left w:val="nil"/>
              <w:bottom w:val="nil"/>
              <w:right w:val="nil"/>
            </w:tcBorders>
            <w:noWrap w:val="0"/>
            <w:tcMar>
              <w:top w:w="-1" w:type="dxa"/>
              <w:left w:w="-1" w:type="dxa"/>
              <w:bottom w:w="-1" w:type="dxa"/>
              <w:right w:w="-1" w:type="dxa"/>
            </w:tcMar>
            <w:vAlign w:val="center"/>
          </w:tcPr>
          <w:p w14:paraId="560A5290">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1.24</w:t>
            </w:r>
          </w:p>
        </w:tc>
      </w:tr>
      <w:tr w14:paraId="1E590CA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15535A10">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7</w:t>
            </w:r>
          </w:p>
        </w:tc>
        <w:tc>
          <w:tcPr>
            <w:tcW w:w="0" w:type="auto"/>
            <w:tcBorders>
              <w:top w:val="nil"/>
              <w:left w:val="nil"/>
              <w:bottom w:val="nil"/>
              <w:right w:val="nil"/>
            </w:tcBorders>
            <w:noWrap w:val="0"/>
            <w:tcMar>
              <w:top w:w="-1" w:type="dxa"/>
              <w:left w:w="-1" w:type="dxa"/>
              <w:bottom w:w="-1" w:type="dxa"/>
              <w:right w:w="-1" w:type="dxa"/>
            </w:tcMar>
            <w:vAlign w:val="center"/>
          </w:tcPr>
          <w:p w14:paraId="7FC6F57D">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10.80</w:t>
            </w:r>
          </w:p>
        </w:tc>
        <w:tc>
          <w:tcPr>
            <w:tcW w:w="0" w:type="auto"/>
            <w:tcBorders>
              <w:top w:val="nil"/>
              <w:left w:val="nil"/>
              <w:bottom w:val="nil"/>
              <w:right w:val="nil"/>
            </w:tcBorders>
            <w:noWrap w:val="0"/>
            <w:tcMar>
              <w:top w:w="-1" w:type="dxa"/>
              <w:left w:w="-1" w:type="dxa"/>
              <w:bottom w:w="-1" w:type="dxa"/>
              <w:right w:w="-1" w:type="dxa"/>
            </w:tcMar>
            <w:vAlign w:val="center"/>
          </w:tcPr>
          <w:p w14:paraId="7C7FC173">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6.89</w:t>
            </w:r>
          </w:p>
        </w:tc>
        <w:tc>
          <w:tcPr>
            <w:tcW w:w="0" w:type="auto"/>
            <w:tcBorders>
              <w:top w:val="nil"/>
              <w:left w:val="nil"/>
              <w:bottom w:val="nil"/>
              <w:right w:val="nil"/>
            </w:tcBorders>
            <w:noWrap w:val="0"/>
            <w:tcMar>
              <w:top w:w="-1" w:type="dxa"/>
              <w:left w:w="-1" w:type="dxa"/>
              <w:bottom w:w="-1" w:type="dxa"/>
              <w:right w:w="-1" w:type="dxa"/>
            </w:tcMar>
            <w:vAlign w:val="center"/>
          </w:tcPr>
          <w:p w14:paraId="7F1AFB61">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3.38</w:t>
            </w:r>
          </w:p>
        </w:tc>
        <w:tc>
          <w:tcPr>
            <w:tcW w:w="0" w:type="auto"/>
            <w:tcBorders>
              <w:top w:val="nil"/>
              <w:left w:val="nil"/>
              <w:bottom w:val="nil"/>
              <w:right w:val="nil"/>
            </w:tcBorders>
            <w:noWrap w:val="0"/>
            <w:tcMar>
              <w:top w:w="-1" w:type="dxa"/>
              <w:left w:w="-1" w:type="dxa"/>
              <w:bottom w:w="-1" w:type="dxa"/>
              <w:right w:w="-1" w:type="dxa"/>
            </w:tcMar>
            <w:vAlign w:val="center"/>
          </w:tcPr>
          <w:p w14:paraId="1A577088">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0.48</w:t>
            </w:r>
          </w:p>
        </w:tc>
        <w:tc>
          <w:tcPr>
            <w:tcW w:w="0" w:type="auto"/>
            <w:tcBorders>
              <w:top w:val="nil"/>
              <w:left w:val="nil"/>
              <w:bottom w:val="nil"/>
              <w:right w:val="nil"/>
            </w:tcBorders>
            <w:noWrap w:val="0"/>
            <w:tcMar>
              <w:top w:w="-1" w:type="dxa"/>
              <w:left w:w="-1" w:type="dxa"/>
              <w:bottom w:w="-1" w:type="dxa"/>
              <w:right w:w="-1" w:type="dxa"/>
            </w:tcMar>
            <w:vAlign w:val="center"/>
          </w:tcPr>
          <w:p w14:paraId="340BF324">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0.74</w:t>
            </w:r>
          </w:p>
        </w:tc>
      </w:tr>
      <w:tr w14:paraId="4D5AF4C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single" w:color="auto" w:sz="12" w:space="0"/>
              <w:right w:val="nil"/>
            </w:tcBorders>
            <w:noWrap w:val="0"/>
            <w:tcMar>
              <w:top w:w="-1" w:type="dxa"/>
              <w:left w:w="-1" w:type="dxa"/>
              <w:bottom w:w="-1" w:type="dxa"/>
              <w:right w:w="-1" w:type="dxa"/>
            </w:tcMar>
            <w:vAlign w:val="center"/>
          </w:tcPr>
          <w:p w14:paraId="4B0F92A5">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12</w:t>
            </w:r>
          </w:p>
        </w:tc>
        <w:tc>
          <w:tcPr>
            <w:tcW w:w="0" w:type="auto"/>
            <w:tcBorders>
              <w:top w:val="nil"/>
              <w:left w:val="nil"/>
              <w:bottom w:val="single" w:color="auto" w:sz="12" w:space="0"/>
              <w:right w:val="nil"/>
            </w:tcBorders>
            <w:noWrap w:val="0"/>
            <w:tcMar>
              <w:top w:w="-1" w:type="dxa"/>
              <w:left w:w="-1" w:type="dxa"/>
              <w:bottom w:w="-1" w:type="dxa"/>
              <w:right w:w="-1" w:type="dxa"/>
            </w:tcMar>
            <w:vAlign w:val="center"/>
          </w:tcPr>
          <w:p w14:paraId="0412BEED">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12.27</w:t>
            </w:r>
          </w:p>
        </w:tc>
        <w:tc>
          <w:tcPr>
            <w:tcW w:w="0" w:type="auto"/>
            <w:tcBorders>
              <w:top w:val="nil"/>
              <w:left w:val="nil"/>
              <w:bottom w:val="single" w:color="auto" w:sz="12" w:space="0"/>
              <w:right w:val="nil"/>
            </w:tcBorders>
            <w:noWrap w:val="0"/>
            <w:tcMar>
              <w:top w:w="-1" w:type="dxa"/>
              <w:left w:w="-1" w:type="dxa"/>
              <w:bottom w:w="-1" w:type="dxa"/>
              <w:right w:w="-1" w:type="dxa"/>
            </w:tcMar>
            <w:vAlign w:val="center"/>
          </w:tcPr>
          <w:p w14:paraId="463E95EC">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6.95</w:t>
            </w:r>
          </w:p>
        </w:tc>
        <w:tc>
          <w:tcPr>
            <w:tcW w:w="0" w:type="auto"/>
            <w:tcBorders>
              <w:top w:val="nil"/>
              <w:left w:val="nil"/>
              <w:bottom w:val="single" w:color="auto" w:sz="12" w:space="0"/>
              <w:right w:val="nil"/>
            </w:tcBorders>
            <w:noWrap w:val="0"/>
            <w:tcMar>
              <w:top w:w="-1" w:type="dxa"/>
              <w:left w:w="-1" w:type="dxa"/>
              <w:bottom w:w="-1" w:type="dxa"/>
              <w:right w:w="-1" w:type="dxa"/>
            </w:tcMar>
            <w:vAlign w:val="center"/>
          </w:tcPr>
          <w:p w14:paraId="1199CC0E">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3.40</w:t>
            </w:r>
          </w:p>
        </w:tc>
        <w:tc>
          <w:tcPr>
            <w:tcW w:w="0" w:type="auto"/>
            <w:tcBorders>
              <w:top w:val="nil"/>
              <w:left w:val="nil"/>
              <w:bottom w:val="single" w:color="auto" w:sz="12" w:space="0"/>
              <w:right w:val="nil"/>
            </w:tcBorders>
            <w:noWrap w:val="0"/>
            <w:tcMar>
              <w:top w:w="-1" w:type="dxa"/>
              <w:left w:w="-1" w:type="dxa"/>
              <w:bottom w:w="-1" w:type="dxa"/>
              <w:right w:w="-1" w:type="dxa"/>
            </w:tcMar>
            <w:vAlign w:val="center"/>
          </w:tcPr>
          <w:p w14:paraId="4D55B605">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0.28</w:t>
            </w:r>
          </w:p>
        </w:tc>
        <w:tc>
          <w:tcPr>
            <w:tcW w:w="0" w:type="auto"/>
            <w:tcBorders>
              <w:top w:val="nil"/>
              <w:left w:val="nil"/>
              <w:bottom w:val="single" w:color="auto" w:sz="12" w:space="0"/>
              <w:right w:val="nil"/>
            </w:tcBorders>
            <w:noWrap w:val="0"/>
            <w:tcMar>
              <w:top w:w="-1" w:type="dxa"/>
              <w:left w:w="-1" w:type="dxa"/>
              <w:bottom w:w="-1" w:type="dxa"/>
              <w:right w:w="-1" w:type="dxa"/>
            </w:tcMar>
            <w:vAlign w:val="center"/>
          </w:tcPr>
          <w:p w14:paraId="04FDAA24">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0.44</w:t>
            </w:r>
          </w:p>
        </w:tc>
      </w:tr>
    </w:tbl>
    <w:p w14:paraId="22A54FD5"/>
    <w:p w14:paraId="2922A06D">
      <w:pPr>
        <w:bidi w:val="0"/>
      </w:pPr>
      <w:r>
        <w:t xml:space="preserve">对比 Table II 和 Table III 可以看出，地面网络中的复用因子选择不存在单一最优解。若以边缘鲁棒性或服务可靠性为优先目标，较大的 </w:t>
      </w:r>
      <m:oMath>
        <m:r>
          <m:rPr>
            <m:nor/>
          </m:rPr>
          <w:rPr>
            <w:rFonts w:hint="default" w:ascii="Times New Roman" w:hAnsi="Times New Roman" w:cs="Times New Roman"/>
            <w:i/>
            <w:sz w:val="24"/>
          </w:rPr>
          <m:t>N</m:t>
        </m:r>
      </m:oMath>
      <w:r>
        <w:t xml:space="preserve"> 更有利，因为它显著改善了弱覆盖用户的干扰环境；但若以单位面积有效吞吐量为目标，则 </w:t>
      </w:r>
      <m:oMath>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=1</m:t>
        </m:r>
      </m:oMath>
      <w:r>
        <w:t xml:space="preserve"> 仍然是最有利的选择。复用—容量折中</w:t>
      </w:r>
      <w:r>
        <w:rPr>
          <w:rFonts w:hint="eastAsia"/>
          <w:lang w:val="en-US" w:eastAsia="zh-CN"/>
        </w:rPr>
        <w:t>理论</w:t>
      </w:r>
      <w:r>
        <w:t>在这里得到了更完整的量化验证。</w:t>
      </w:r>
    </w:p>
    <w:p w14:paraId="0EC534A7">
      <w:pPr>
        <w:bidi w:val="0"/>
      </w:pPr>
      <w:r>
        <w:t>这种折中关系在 Fig. 3 中表现得更直观。随着复用因子增大，面积频谱效率呈现稳定下降趋势，说明系统容量最优点并不必然对应最佳边缘链路质量。</w:t>
      </w:r>
    </w:p>
    <w:p w14:paraId="4611E150">
      <w:pPr>
        <w:spacing w:before="160" w:after="80"/>
        <w:jc w:val="center"/>
      </w:pPr>
      <w:r>
        <w:drawing>
          <wp:inline distT="0" distB="0" distL="114300" distR="114300">
            <wp:extent cx="5303520" cy="3281680"/>
            <wp:effectExtent l="0" t="0" r="0" b="1016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303520" cy="3282014"/>
                    </a:xfrm>
                    <a:prstGeom prst="rect">
                      <a:avLst/>
                    </a:prstGeom>
                  </pic:spPr>
                </pic:pic>
              </a:graphicData>
            </a:graphic>
          </wp:inline>
        </w:drawing>
      </w:r>
    </w:p>
    <w:p w14:paraId="6F9CA040">
      <w:pPr>
        <w:spacing w:after="160"/>
        <w:jc w:val="center"/>
      </w:pPr>
      <w:r>
        <w:rPr>
          <w:rFonts w:ascii="Times New Roman" w:hAnsi="Times New Roman" w:eastAsia="宋体"/>
          <w:i/>
          <w:sz w:val="20"/>
        </w:rPr>
        <w:t>Fig. 3. Effective area spectral efficiency versus reuse factor.</w:t>
      </w:r>
    </w:p>
    <w:p w14:paraId="12023784">
      <w:pPr>
        <w:pStyle w:val="4"/>
        <w:bidi w:val="0"/>
      </w:pPr>
      <w:bookmarkStart w:id="18" w:name="_Toc16283"/>
      <w:r>
        <w:t>C. 低空用户高度变化下的静态性能</w:t>
      </w:r>
      <w:bookmarkEnd w:id="18"/>
    </w:p>
    <w:p w14:paraId="7073831F">
      <w:pPr>
        <w:bidi w:val="0"/>
      </w:pPr>
      <w:r>
        <w:t xml:space="preserve">Table IV 给出了固定复用因子 </w:t>
      </w:r>
      <m:oMath>
        <m:r>
          <m:rPr>
            <m:nor/>
          </m:rPr>
          <w:rPr>
            <w:rFonts w:hint="default" w:ascii="Times New Roman" w:hAnsi="Times New Roman" w:cs="Times New Roman"/>
            <w:i/>
            <w:sz w:val="24"/>
          </w:rPr>
          <m:t>N</m:t>
        </m:r>
        <m:r>
          <m:rPr>
            <m:nor/>
            <m:sty m:val="p"/>
          </m:rPr>
          <w:rPr>
            <w:rFonts w:hint="default" w:ascii="Times New Roman" w:hAnsi="Times New Roman" w:cs="Times New Roman"/>
            <w:i w:val="0"/>
            <w:sz w:val="24"/>
          </w:rPr>
          <m:t>=7</m:t>
        </m:r>
      </m:oMath>
      <w:r>
        <w:t xml:space="preserve"> 时不同低空高度的静态结果。最显著的现象是，UAV 用户中位 SINR 并不随高度单调变化，而是在近低空区间先升后降：从 0 m 的 19.20 dB 提升到 25 m 的 25.98 dB，之后快速下降，在 100 m 仅剩 1.34 dB，到 300 m 已降至 -5.59 dB。覆盖概率和有效 ASE 的变化趋势与之高度一致，说明这一现象不是单一指标的偶然波动，而是传播机理变化的集中体现。</w:t>
      </w:r>
    </w:p>
    <w:p w14:paraId="446F1E02">
      <w:pPr>
        <w:spacing w:before="160" w:after="80"/>
        <w:jc w:val="center"/>
      </w:pPr>
      <w:r>
        <w:rPr>
          <w:rFonts w:ascii="Times New Roman" w:hAnsi="Times New Roman" w:eastAsia="宋体"/>
          <w:b/>
          <w:sz w:val="21"/>
        </w:rPr>
        <w:t>TABLE IV. 典型高度下的低空用户静态性能</w:t>
      </w:r>
    </w:p>
    <w:tbl>
      <w:tblPr>
        <w:tblStyle w:val="35"/>
        <w:tblW w:w="0" w:type="auto"/>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752"/>
        <w:gridCol w:w="1181"/>
        <w:gridCol w:w="1325"/>
        <w:gridCol w:w="1308"/>
        <w:gridCol w:w="2052"/>
        <w:gridCol w:w="1312"/>
        <w:gridCol w:w="1312"/>
      </w:tblGrid>
      <w:tr w14:paraId="3B83C59A">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48D40CD1">
            <w:pPr>
              <w:snapToGrid w:val="0"/>
              <w:spacing w:after="0" w:line="240" w:lineRule="auto"/>
              <w:ind w:left="0" w:leftChars="0" w:right="0" w:rightChars="0" w:firstLine="0" w:firstLineChars="0"/>
              <w:jc w:val="center"/>
              <w:rPr>
                <w:rFonts w:ascii="Times New Roman" w:eastAsia="宋体"/>
                <w:b/>
                <w:sz w:val="20"/>
              </w:rPr>
            </w:pPr>
            <w:r>
              <w:rPr>
                <w:rFonts w:ascii="Times New Roman" w:hAnsi="Times New Roman" w:eastAsia="宋体"/>
                <w:b/>
                <w:sz w:val="20"/>
              </w:rPr>
              <w:t>高度/m</w:t>
            </w:r>
          </w:p>
        </w:tc>
        <w:tc>
          <w:tcPr>
            <w:tcW w:w="0" w:type="auto"/>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620345C8">
            <w:pPr>
              <w:snapToGrid w:val="0"/>
              <w:spacing w:after="0" w:line="240" w:lineRule="auto"/>
              <w:ind w:left="0" w:leftChars="0" w:right="0" w:rightChars="0" w:firstLine="0" w:firstLineChars="0"/>
              <w:jc w:val="center"/>
              <w:rPr>
                <w:rFonts w:ascii="Times New Roman" w:eastAsia="宋体"/>
                <w:b/>
                <w:sz w:val="20"/>
              </w:rPr>
            </w:pPr>
            <w:r>
              <w:rPr>
                <w:rFonts w:ascii="Times New Roman" w:hAnsi="Times New Roman" w:eastAsia="宋体"/>
                <w:b/>
                <w:sz w:val="20"/>
              </w:rPr>
              <w:t>中位SIR/dB</w:t>
            </w:r>
          </w:p>
        </w:tc>
        <w:tc>
          <w:tcPr>
            <w:tcW w:w="0" w:type="auto"/>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3EFA0091">
            <w:pPr>
              <w:snapToGrid w:val="0"/>
              <w:spacing w:after="0" w:line="240" w:lineRule="auto"/>
              <w:ind w:left="0" w:leftChars="0" w:right="0" w:rightChars="0" w:firstLine="0" w:firstLineChars="0"/>
              <w:jc w:val="center"/>
              <w:rPr>
                <w:rFonts w:ascii="Times New Roman" w:eastAsia="宋体"/>
                <w:b/>
                <w:sz w:val="20"/>
              </w:rPr>
            </w:pPr>
            <w:r>
              <w:rPr>
                <w:rFonts w:ascii="Times New Roman" w:hAnsi="Times New Roman" w:eastAsia="宋体"/>
                <w:b/>
                <w:sz w:val="20"/>
              </w:rPr>
              <w:t>中位SINR/dB</w:t>
            </w:r>
          </w:p>
        </w:tc>
        <w:tc>
          <w:tcPr>
            <w:tcW w:w="0" w:type="auto"/>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28CC0A00">
            <w:pPr>
              <w:snapToGrid w:val="0"/>
              <w:spacing w:after="0" w:line="240" w:lineRule="auto"/>
              <w:ind w:left="0" w:leftChars="0" w:right="0" w:rightChars="0" w:firstLine="0" w:firstLineChars="0"/>
              <w:jc w:val="center"/>
              <w:rPr>
                <w:rFonts w:ascii="Times New Roman" w:eastAsia="宋体"/>
                <w:b/>
                <w:sz w:val="20"/>
              </w:rPr>
            </w:pPr>
            <w:r>
              <w:rPr>
                <w:rFonts w:ascii="Times New Roman" w:hAnsi="Times New Roman" w:eastAsia="宋体"/>
                <w:b/>
                <w:sz w:val="20"/>
              </w:rPr>
              <w:t>10dB覆盖概率</w:t>
            </w:r>
          </w:p>
        </w:tc>
        <w:tc>
          <w:tcPr>
            <w:tcW w:w="0" w:type="auto"/>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5CE4BD7A">
            <w:pPr>
              <w:snapToGrid w:val="0"/>
              <w:spacing w:after="0" w:line="240" w:lineRule="auto"/>
              <w:ind w:left="0" w:leftChars="0" w:right="0" w:rightChars="0" w:firstLine="0" w:firstLineChars="0"/>
              <w:jc w:val="center"/>
              <w:rPr>
                <w:rFonts w:ascii="Times New Roman" w:eastAsia="宋体"/>
                <w:b/>
                <w:sz w:val="20"/>
              </w:rPr>
            </w:pPr>
            <w:r>
              <w:rPr>
                <w:rFonts w:ascii="Times New Roman" w:hAnsi="Times New Roman" w:eastAsia="宋体"/>
                <w:b/>
                <w:sz w:val="20"/>
              </w:rPr>
              <w:t>有效ASE/bit/s/Hz/km²</w:t>
            </w:r>
          </w:p>
        </w:tc>
        <w:tc>
          <w:tcPr>
            <w:tcW w:w="0" w:type="auto"/>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07184E68">
            <w:pPr>
              <w:snapToGrid w:val="0"/>
              <w:spacing w:after="0" w:line="240" w:lineRule="auto"/>
              <w:ind w:left="0" w:leftChars="0" w:right="0" w:rightChars="0" w:firstLine="0" w:firstLineChars="0"/>
              <w:jc w:val="center"/>
              <w:rPr>
                <w:rFonts w:ascii="Times New Roman" w:eastAsia="宋体"/>
                <w:b/>
                <w:sz w:val="20"/>
              </w:rPr>
            </w:pPr>
            <w:r>
              <w:rPr>
                <w:rFonts w:ascii="Times New Roman" w:hAnsi="Times New Roman" w:eastAsia="宋体"/>
                <w:b/>
                <w:sz w:val="20"/>
              </w:rPr>
              <w:t>服务LOS概率</w:t>
            </w:r>
          </w:p>
        </w:tc>
        <w:tc>
          <w:tcPr>
            <w:tcW w:w="0" w:type="auto"/>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0301E160">
            <w:pPr>
              <w:snapToGrid w:val="0"/>
              <w:spacing w:after="0" w:line="240" w:lineRule="auto"/>
              <w:ind w:left="0" w:leftChars="0" w:right="0" w:rightChars="0" w:firstLine="0" w:firstLineChars="0"/>
              <w:jc w:val="center"/>
              <w:rPr>
                <w:rFonts w:ascii="Times New Roman" w:eastAsia="宋体"/>
                <w:b/>
                <w:sz w:val="20"/>
              </w:rPr>
            </w:pPr>
            <w:r>
              <w:rPr>
                <w:rFonts w:ascii="Times New Roman" w:hAnsi="Times New Roman" w:eastAsia="宋体"/>
                <w:b/>
                <w:sz w:val="20"/>
              </w:rPr>
              <w:t>干扰LOS概率</w:t>
            </w:r>
          </w:p>
        </w:tc>
      </w:tr>
      <w:tr w14:paraId="1C48B53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7C2BD48">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9B08975">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29.65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D785135">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19.20</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67AE628A">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0.7373</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4FB6C150">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0.8055</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2A69B87F">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0.1051</w:t>
            </w:r>
          </w:p>
        </w:tc>
        <w:tc>
          <w:tcPr>
            <w:tcW w:w="0" w:type="auto"/>
            <w:tcBorders>
              <w:top w:val="single" w:color="auto" w:sz="4" w:space="0"/>
              <w:left w:val="nil"/>
              <w:bottom w:val="nil"/>
              <w:right w:val="nil"/>
            </w:tcBorders>
            <w:noWrap w:val="0"/>
            <w:tcMar>
              <w:top w:w="-1" w:type="dxa"/>
              <w:left w:w="-1" w:type="dxa"/>
              <w:bottom w:w="-1" w:type="dxa"/>
              <w:right w:w="-1" w:type="dxa"/>
            </w:tcMar>
            <w:vAlign w:val="center"/>
          </w:tcPr>
          <w:p w14:paraId="5BD09198">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0.0039</w:t>
            </w:r>
          </w:p>
        </w:tc>
      </w:tr>
      <w:tr w14:paraId="1C6EA8D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59F765AC">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25</w:t>
            </w:r>
          </w:p>
        </w:tc>
        <w:tc>
          <w:tcPr>
            <w:tcW w:w="0" w:type="auto"/>
            <w:tcBorders>
              <w:top w:val="nil"/>
              <w:left w:val="nil"/>
              <w:bottom w:val="nil"/>
              <w:right w:val="nil"/>
            </w:tcBorders>
            <w:noWrap w:val="0"/>
            <w:tcMar>
              <w:top w:w="-1" w:type="dxa"/>
              <w:left w:w="-1" w:type="dxa"/>
              <w:bottom w:w="-1" w:type="dxa"/>
              <w:right w:w="-1" w:type="dxa"/>
            </w:tcMar>
            <w:vAlign w:val="center"/>
          </w:tcPr>
          <w:p w14:paraId="1BF1F64B">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36.61</w:t>
            </w:r>
          </w:p>
        </w:tc>
        <w:tc>
          <w:tcPr>
            <w:tcW w:w="0" w:type="auto"/>
            <w:tcBorders>
              <w:top w:val="nil"/>
              <w:left w:val="nil"/>
              <w:bottom w:val="nil"/>
              <w:right w:val="nil"/>
            </w:tcBorders>
            <w:noWrap w:val="0"/>
            <w:tcMar>
              <w:top w:w="-1" w:type="dxa"/>
              <w:left w:w="-1" w:type="dxa"/>
              <w:bottom w:w="-1" w:type="dxa"/>
              <w:right w:w="-1" w:type="dxa"/>
            </w:tcMar>
            <w:vAlign w:val="center"/>
          </w:tcPr>
          <w:p w14:paraId="6E9F4392">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25.98</w:t>
            </w:r>
          </w:p>
        </w:tc>
        <w:tc>
          <w:tcPr>
            <w:tcW w:w="0" w:type="auto"/>
            <w:tcBorders>
              <w:top w:val="nil"/>
              <w:left w:val="nil"/>
              <w:bottom w:val="nil"/>
              <w:right w:val="nil"/>
            </w:tcBorders>
            <w:noWrap w:val="0"/>
            <w:tcMar>
              <w:top w:w="-1" w:type="dxa"/>
              <w:left w:w="-1" w:type="dxa"/>
              <w:bottom w:w="-1" w:type="dxa"/>
              <w:right w:w="-1" w:type="dxa"/>
            </w:tcMar>
            <w:vAlign w:val="center"/>
          </w:tcPr>
          <w:p w14:paraId="04C5C336">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0.7933</w:t>
            </w:r>
          </w:p>
        </w:tc>
        <w:tc>
          <w:tcPr>
            <w:tcW w:w="0" w:type="auto"/>
            <w:tcBorders>
              <w:top w:val="nil"/>
              <w:left w:val="nil"/>
              <w:bottom w:val="nil"/>
              <w:right w:val="nil"/>
            </w:tcBorders>
            <w:noWrap w:val="0"/>
            <w:tcMar>
              <w:top w:w="-1" w:type="dxa"/>
              <w:left w:w="-1" w:type="dxa"/>
              <w:bottom w:w="-1" w:type="dxa"/>
              <w:right w:w="-1" w:type="dxa"/>
            </w:tcMar>
            <w:vAlign w:val="center"/>
          </w:tcPr>
          <w:p w14:paraId="51A78041">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1.1923</w:t>
            </w:r>
          </w:p>
        </w:tc>
        <w:tc>
          <w:tcPr>
            <w:tcW w:w="0" w:type="auto"/>
            <w:tcBorders>
              <w:top w:val="nil"/>
              <w:left w:val="nil"/>
              <w:bottom w:val="nil"/>
              <w:right w:val="nil"/>
            </w:tcBorders>
            <w:noWrap w:val="0"/>
            <w:tcMar>
              <w:top w:w="-1" w:type="dxa"/>
              <w:left w:w="-1" w:type="dxa"/>
              <w:bottom w:w="-1" w:type="dxa"/>
              <w:right w:w="-1" w:type="dxa"/>
            </w:tcMar>
            <w:vAlign w:val="center"/>
          </w:tcPr>
          <w:p w14:paraId="2A8E7ED3">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0.4024</w:t>
            </w:r>
          </w:p>
        </w:tc>
        <w:tc>
          <w:tcPr>
            <w:tcW w:w="0" w:type="auto"/>
            <w:tcBorders>
              <w:top w:val="nil"/>
              <w:left w:val="nil"/>
              <w:bottom w:val="nil"/>
              <w:right w:val="nil"/>
            </w:tcBorders>
            <w:noWrap w:val="0"/>
            <w:tcMar>
              <w:top w:w="-1" w:type="dxa"/>
              <w:left w:w="-1" w:type="dxa"/>
              <w:bottom w:w="-1" w:type="dxa"/>
              <w:right w:w="-1" w:type="dxa"/>
            </w:tcMar>
            <w:vAlign w:val="center"/>
          </w:tcPr>
          <w:p w14:paraId="1503D59C">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0.0036</w:t>
            </w:r>
          </w:p>
        </w:tc>
      </w:tr>
      <w:tr w14:paraId="726E01BD">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71CCB190">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50</w:t>
            </w:r>
          </w:p>
        </w:tc>
        <w:tc>
          <w:tcPr>
            <w:tcW w:w="0" w:type="auto"/>
            <w:tcBorders>
              <w:top w:val="nil"/>
              <w:left w:val="nil"/>
              <w:bottom w:val="nil"/>
              <w:right w:val="nil"/>
            </w:tcBorders>
            <w:noWrap w:val="0"/>
            <w:tcMar>
              <w:top w:w="-1" w:type="dxa"/>
              <w:left w:w="-1" w:type="dxa"/>
              <w:bottom w:w="-1" w:type="dxa"/>
              <w:right w:w="-1" w:type="dxa"/>
            </w:tcMar>
            <w:vAlign w:val="center"/>
          </w:tcPr>
          <w:p w14:paraId="304D767C">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21.57</w:t>
            </w:r>
          </w:p>
        </w:tc>
        <w:tc>
          <w:tcPr>
            <w:tcW w:w="0" w:type="auto"/>
            <w:tcBorders>
              <w:top w:val="nil"/>
              <w:left w:val="nil"/>
              <w:bottom w:val="nil"/>
              <w:right w:val="nil"/>
            </w:tcBorders>
            <w:noWrap w:val="0"/>
            <w:tcMar>
              <w:top w:w="-1" w:type="dxa"/>
              <w:left w:w="-1" w:type="dxa"/>
              <w:bottom w:w="-1" w:type="dxa"/>
              <w:right w:w="-1" w:type="dxa"/>
            </w:tcMar>
            <w:vAlign w:val="center"/>
          </w:tcPr>
          <w:p w14:paraId="7E8E49E2">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20.67</w:t>
            </w:r>
          </w:p>
        </w:tc>
        <w:tc>
          <w:tcPr>
            <w:tcW w:w="0" w:type="auto"/>
            <w:tcBorders>
              <w:top w:val="nil"/>
              <w:left w:val="nil"/>
              <w:bottom w:val="nil"/>
              <w:right w:val="nil"/>
            </w:tcBorders>
            <w:noWrap w:val="0"/>
            <w:tcMar>
              <w:top w:w="-1" w:type="dxa"/>
              <w:left w:w="-1" w:type="dxa"/>
              <w:bottom w:w="-1" w:type="dxa"/>
              <w:right w:w="-1" w:type="dxa"/>
            </w:tcMar>
            <w:vAlign w:val="center"/>
          </w:tcPr>
          <w:p w14:paraId="0CB33B12">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0.7025</w:t>
            </w:r>
          </w:p>
        </w:tc>
        <w:tc>
          <w:tcPr>
            <w:tcW w:w="0" w:type="auto"/>
            <w:tcBorders>
              <w:top w:val="nil"/>
              <w:left w:val="nil"/>
              <w:bottom w:val="nil"/>
              <w:right w:val="nil"/>
            </w:tcBorders>
            <w:noWrap w:val="0"/>
            <w:tcMar>
              <w:top w:w="-1" w:type="dxa"/>
              <w:left w:w="-1" w:type="dxa"/>
              <w:bottom w:w="-1" w:type="dxa"/>
              <w:right w:w="-1" w:type="dxa"/>
            </w:tcMar>
            <w:vAlign w:val="center"/>
          </w:tcPr>
          <w:p w14:paraId="52B45884">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0.7850</w:t>
            </w:r>
          </w:p>
        </w:tc>
        <w:tc>
          <w:tcPr>
            <w:tcW w:w="0" w:type="auto"/>
            <w:tcBorders>
              <w:top w:val="nil"/>
              <w:left w:val="nil"/>
              <w:bottom w:val="nil"/>
              <w:right w:val="nil"/>
            </w:tcBorders>
            <w:noWrap w:val="0"/>
            <w:tcMar>
              <w:top w:w="-1" w:type="dxa"/>
              <w:left w:w="-1" w:type="dxa"/>
              <w:bottom w:w="-1" w:type="dxa"/>
              <w:right w:w="-1" w:type="dxa"/>
            </w:tcMar>
            <w:vAlign w:val="center"/>
          </w:tcPr>
          <w:p w14:paraId="1E19EF44">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0.7489</w:t>
            </w:r>
          </w:p>
        </w:tc>
        <w:tc>
          <w:tcPr>
            <w:tcW w:w="0" w:type="auto"/>
            <w:tcBorders>
              <w:top w:val="nil"/>
              <w:left w:val="nil"/>
              <w:bottom w:val="nil"/>
              <w:right w:val="nil"/>
            </w:tcBorders>
            <w:noWrap w:val="0"/>
            <w:tcMar>
              <w:top w:w="-1" w:type="dxa"/>
              <w:left w:w="-1" w:type="dxa"/>
              <w:bottom w:w="-1" w:type="dxa"/>
              <w:right w:w="-1" w:type="dxa"/>
            </w:tcMar>
            <w:vAlign w:val="center"/>
          </w:tcPr>
          <w:p w14:paraId="41343E7F">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0.0422</w:t>
            </w:r>
          </w:p>
        </w:tc>
      </w:tr>
      <w:tr w14:paraId="507476D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0FCC3633">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100</w:t>
            </w:r>
          </w:p>
        </w:tc>
        <w:tc>
          <w:tcPr>
            <w:tcW w:w="0" w:type="auto"/>
            <w:tcBorders>
              <w:top w:val="nil"/>
              <w:left w:val="nil"/>
              <w:bottom w:val="nil"/>
              <w:right w:val="nil"/>
            </w:tcBorders>
            <w:noWrap w:val="0"/>
            <w:tcMar>
              <w:top w:w="-1" w:type="dxa"/>
              <w:left w:w="-1" w:type="dxa"/>
              <w:bottom w:w="-1" w:type="dxa"/>
              <w:right w:w="-1" w:type="dxa"/>
            </w:tcMar>
            <w:vAlign w:val="center"/>
          </w:tcPr>
          <w:p w14:paraId="343DD79F">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1.34</w:t>
            </w:r>
          </w:p>
        </w:tc>
        <w:tc>
          <w:tcPr>
            <w:tcW w:w="0" w:type="auto"/>
            <w:tcBorders>
              <w:top w:val="nil"/>
              <w:left w:val="nil"/>
              <w:bottom w:val="nil"/>
              <w:right w:val="nil"/>
            </w:tcBorders>
            <w:noWrap w:val="0"/>
            <w:tcMar>
              <w:top w:w="-1" w:type="dxa"/>
              <w:left w:w="-1" w:type="dxa"/>
              <w:bottom w:w="-1" w:type="dxa"/>
              <w:right w:w="-1" w:type="dxa"/>
            </w:tcMar>
            <w:vAlign w:val="center"/>
          </w:tcPr>
          <w:p w14:paraId="0FE64E20">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1.34</w:t>
            </w:r>
          </w:p>
        </w:tc>
        <w:tc>
          <w:tcPr>
            <w:tcW w:w="0" w:type="auto"/>
            <w:tcBorders>
              <w:top w:val="nil"/>
              <w:left w:val="nil"/>
              <w:bottom w:val="nil"/>
              <w:right w:val="nil"/>
            </w:tcBorders>
            <w:noWrap w:val="0"/>
            <w:tcMar>
              <w:top w:w="-1" w:type="dxa"/>
              <w:left w:w="-1" w:type="dxa"/>
              <w:bottom w:w="-1" w:type="dxa"/>
              <w:right w:w="-1" w:type="dxa"/>
            </w:tcMar>
            <w:vAlign w:val="center"/>
          </w:tcPr>
          <w:p w14:paraId="20289E1C">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0.1303</w:t>
            </w:r>
          </w:p>
        </w:tc>
        <w:tc>
          <w:tcPr>
            <w:tcW w:w="0" w:type="auto"/>
            <w:tcBorders>
              <w:top w:val="nil"/>
              <w:left w:val="nil"/>
              <w:bottom w:val="nil"/>
              <w:right w:val="nil"/>
            </w:tcBorders>
            <w:noWrap w:val="0"/>
            <w:tcMar>
              <w:top w:w="-1" w:type="dxa"/>
              <w:left w:w="-1" w:type="dxa"/>
              <w:bottom w:w="-1" w:type="dxa"/>
              <w:right w:w="-1" w:type="dxa"/>
            </w:tcMar>
            <w:vAlign w:val="center"/>
          </w:tcPr>
          <w:p w14:paraId="296EF31A">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0.0689</w:t>
            </w:r>
          </w:p>
        </w:tc>
        <w:tc>
          <w:tcPr>
            <w:tcW w:w="0" w:type="auto"/>
            <w:tcBorders>
              <w:top w:val="nil"/>
              <w:left w:val="nil"/>
              <w:bottom w:val="nil"/>
              <w:right w:val="nil"/>
            </w:tcBorders>
            <w:noWrap w:val="0"/>
            <w:tcMar>
              <w:top w:w="-1" w:type="dxa"/>
              <w:left w:w="-1" w:type="dxa"/>
              <w:bottom w:w="-1" w:type="dxa"/>
              <w:right w:w="-1" w:type="dxa"/>
            </w:tcMar>
            <w:vAlign w:val="center"/>
          </w:tcPr>
          <w:p w14:paraId="3383DE32">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0.9703</w:t>
            </w:r>
          </w:p>
        </w:tc>
        <w:tc>
          <w:tcPr>
            <w:tcW w:w="0" w:type="auto"/>
            <w:tcBorders>
              <w:top w:val="nil"/>
              <w:left w:val="nil"/>
              <w:bottom w:val="nil"/>
              <w:right w:val="nil"/>
            </w:tcBorders>
            <w:noWrap w:val="0"/>
            <w:tcMar>
              <w:top w:w="-1" w:type="dxa"/>
              <w:left w:w="-1" w:type="dxa"/>
              <w:bottom w:w="-1" w:type="dxa"/>
              <w:right w:w="-1" w:type="dxa"/>
            </w:tcMar>
            <w:vAlign w:val="center"/>
          </w:tcPr>
          <w:p w14:paraId="78FBE2B2">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0.3052</w:t>
            </w:r>
          </w:p>
        </w:tc>
      </w:tr>
      <w:tr w14:paraId="17CBDDFF">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nil"/>
              <w:right w:val="nil"/>
            </w:tcBorders>
            <w:noWrap w:val="0"/>
            <w:tcMar>
              <w:top w:w="-1" w:type="dxa"/>
              <w:left w:w="-1" w:type="dxa"/>
              <w:bottom w:w="-1" w:type="dxa"/>
              <w:right w:w="-1" w:type="dxa"/>
            </w:tcMar>
            <w:vAlign w:val="center"/>
          </w:tcPr>
          <w:p w14:paraId="3FF2ECEE">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200</w:t>
            </w:r>
          </w:p>
        </w:tc>
        <w:tc>
          <w:tcPr>
            <w:tcW w:w="0" w:type="auto"/>
            <w:tcBorders>
              <w:top w:val="nil"/>
              <w:left w:val="nil"/>
              <w:bottom w:val="nil"/>
              <w:right w:val="nil"/>
            </w:tcBorders>
            <w:noWrap w:val="0"/>
            <w:tcMar>
              <w:top w:w="-1" w:type="dxa"/>
              <w:left w:w="-1" w:type="dxa"/>
              <w:bottom w:w="-1" w:type="dxa"/>
              <w:right w:w="-1" w:type="dxa"/>
            </w:tcMar>
            <w:vAlign w:val="center"/>
          </w:tcPr>
          <w:p w14:paraId="5B1542C1">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-4.91</w:t>
            </w:r>
          </w:p>
        </w:tc>
        <w:tc>
          <w:tcPr>
            <w:tcW w:w="0" w:type="auto"/>
            <w:tcBorders>
              <w:top w:val="nil"/>
              <w:left w:val="nil"/>
              <w:bottom w:val="nil"/>
              <w:right w:val="nil"/>
            </w:tcBorders>
            <w:noWrap w:val="0"/>
            <w:tcMar>
              <w:top w:w="-1" w:type="dxa"/>
              <w:left w:w="-1" w:type="dxa"/>
              <w:bottom w:w="-1" w:type="dxa"/>
              <w:right w:w="-1" w:type="dxa"/>
            </w:tcMar>
            <w:vAlign w:val="center"/>
          </w:tcPr>
          <w:p w14:paraId="5796CF42">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-4.91</w:t>
            </w:r>
          </w:p>
        </w:tc>
        <w:tc>
          <w:tcPr>
            <w:tcW w:w="0" w:type="auto"/>
            <w:tcBorders>
              <w:top w:val="nil"/>
              <w:left w:val="nil"/>
              <w:bottom w:val="nil"/>
              <w:right w:val="nil"/>
            </w:tcBorders>
            <w:noWrap w:val="0"/>
            <w:tcMar>
              <w:top w:w="-1" w:type="dxa"/>
              <w:left w:w="-1" w:type="dxa"/>
              <w:bottom w:w="-1" w:type="dxa"/>
              <w:right w:w="-1" w:type="dxa"/>
            </w:tcMar>
            <w:vAlign w:val="center"/>
          </w:tcPr>
          <w:p w14:paraId="04BA610A">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0.0095</w:t>
            </w:r>
          </w:p>
        </w:tc>
        <w:tc>
          <w:tcPr>
            <w:tcW w:w="0" w:type="auto"/>
            <w:tcBorders>
              <w:top w:val="nil"/>
              <w:left w:val="nil"/>
              <w:bottom w:val="nil"/>
              <w:right w:val="nil"/>
            </w:tcBorders>
            <w:noWrap w:val="0"/>
            <w:tcMar>
              <w:top w:w="-1" w:type="dxa"/>
              <w:left w:w="-1" w:type="dxa"/>
              <w:bottom w:w="-1" w:type="dxa"/>
              <w:right w:w="-1" w:type="dxa"/>
            </w:tcMar>
            <w:vAlign w:val="center"/>
          </w:tcPr>
          <w:p w14:paraId="17FC492F">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0.0045</w:t>
            </w:r>
          </w:p>
        </w:tc>
        <w:tc>
          <w:tcPr>
            <w:tcW w:w="0" w:type="auto"/>
            <w:tcBorders>
              <w:top w:val="nil"/>
              <w:left w:val="nil"/>
              <w:bottom w:val="nil"/>
              <w:right w:val="nil"/>
            </w:tcBorders>
            <w:noWrap w:val="0"/>
            <w:tcMar>
              <w:top w:w="-1" w:type="dxa"/>
              <w:left w:w="-1" w:type="dxa"/>
              <w:bottom w:w="-1" w:type="dxa"/>
              <w:right w:w="-1" w:type="dxa"/>
            </w:tcMar>
            <w:vAlign w:val="center"/>
          </w:tcPr>
          <w:p w14:paraId="1AF86F24">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0.9985</w:t>
            </w:r>
          </w:p>
        </w:tc>
        <w:tc>
          <w:tcPr>
            <w:tcW w:w="0" w:type="auto"/>
            <w:tcBorders>
              <w:top w:val="nil"/>
              <w:left w:val="nil"/>
              <w:bottom w:val="nil"/>
              <w:right w:val="nil"/>
            </w:tcBorders>
            <w:noWrap w:val="0"/>
            <w:tcMar>
              <w:top w:w="-1" w:type="dxa"/>
              <w:left w:w="-1" w:type="dxa"/>
              <w:bottom w:w="-1" w:type="dxa"/>
              <w:right w:w="-1" w:type="dxa"/>
            </w:tcMar>
            <w:vAlign w:val="center"/>
          </w:tcPr>
          <w:p w14:paraId="44112981">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0.5870</w:t>
            </w:r>
          </w:p>
        </w:tc>
      </w:tr>
      <w:tr w14:paraId="409CCFA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0" w:type="auto"/>
            <w:tcBorders>
              <w:top w:val="nil"/>
              <w:left w:val="nil"/>
              <w:bottom w:val="single" w:color="auto" w:sz="12" w:space="0"/>
              <w:right w:val="nil"/>
            </w:tcBorders>
            <w:noWrap w:val="0"/>
            <w:tcMar>
              <w:top w:w="-1" w:type="dxa"/>
              <w:left w:w="-1" w:type="dxa"/>
              <w:bottom w:w="-1" w:type="dxa"/>
              <w:right w:w="-1" w:type="dxa"/>
            </w:tcMar>
            <w:vAlign w:val="center"/>
          </w:tcPr>
          <w:p w14:paraId="10C056DA">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300</w:t>
            </w:r>
          </w:p>
        </w:tc>
        <w:tc>
          <w:tcPr>
            <w:tcW w:w="0" w:type="auto"/>
            <w:tcBorders>
              <w:top w:val="nil"/>
              <w:left w:val="nil"/>
              <w:bottom w:val="single" w:color="auto" w:sz="12" w:space="0"/>
              <w:right w:val="nil"/>
            </w:tcBorders>
            <w:noWrap w:val="0"/>
            <w:tcMar>
              <w:top w:w="-1" w:type="dxa"/>
              <w:left w:w="-1" w:type="dxa"/>
              <w:bottom w:w="-1" w:type="dxa"/>
              <w:right w:w="-1" w:type="dxa"/>
            </w:tcMar>
            <w:vAlign w:val="center"/>
          </w:tcPr>
          <w:p w14:paraId="586DDF60">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-5.59</w:t>
            </w:r>
          </w:p>
        </w:tc>
        <w:tc>
          <w:tcPr>
            <w:tcW w:w="0" w:type="auto"/>
            <w:tcBorders>
              <w:top w:val="nil"/>
              <w:left w:val="nil"/>
              <w:bottom w:val="single" w:color="auto" w:sz="12" w:space="0"/>
              <w:right w:val="nil"/>
            </w:tcBorders>
            <w:noWrap w:val="0"/>
            <w:tcMar>
              <w:top w:w="-1" w:type="dxa"/>
              <w:left w:w="-1" w:type="dxa"/>
              <w:bottom w:w="-1" w:type="dxa"/>
              <w:right w:w="-1" w:type="dxa"/>
            </w:tcMar>
            <w:vAlign w:val="center"/>
          </w:tcPr>
          <w:p w14:paraId="3106E52C">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-5.59</w:t>
            </w:r>
          </w:p>
        </w:tc>
        <w:tc>
          <w:tcPr>
            <w:tcW w:w="0" w:type="auto"/>
            <w:tcBorders>
              <w:top w:val="nil"/>
              <w:left w:val="nil"/>
              <w:bottom w:val="single" w:color="auto" w:sz="12" w:space="0"/>
              <w:right w:val="nil"/>
            </w:tcBorders>
            <w:noWrap w:val="0"/>
            <w:tcMar>
              <w:top w:w="-1" w:type="dxa"/>
              <w:left w:w="-1" w:type="dxa"/>
              <w:bottom w:w="-1" w:type="dxa"/>
              <w:right w:w="-1" w:type="dxa"/>
            </w:tcMar>
            <w:vAlign w:val="center"/>
          </w:tcPr>
          <w:p w14:paraId="5F3847CA">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0.0033</w:t>
            </w:r>
          </w:p>
        </w:tc>
        <w:tc>
          <w:tcPr>
            <w:tcW w:w="0" w:type="auto"/>
            <w:tcBorders>
              <w:top w:val="nil"/>
              <w:left w:val="nil"/>
              <w:bottom w:val="single" w:color="auto" w:sz="12" w:space="0"/>
              <w:right w:val="nil"/>
            </w:tcBorders>
            <w:noWrap w:val="0"/>
            <w:tcMar>
              <w:top w:w="-1" w:type="dxa"/>
              <w:left w:w="-1" w:type="dxa"/>
              <w:bottom w:w="-1" w:type="dxa"/>
              <w:right w:w="-1" w:type="dxa"/>
            </w:tcMar>
            <w:vAlign w:val="center"/>
          </w:tcPr>
          <w:p w14:paraId="6758DE47">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0.0015</w:t>
            </w:r>
          </w:p>
        </w:tc>
        <w:tc>
          <w:tcPr>
            <w:tcW w:w="0" w:type="auto"/>
            <w:tcBorders>
              <w:top w:val="nil"/>
              <w:left w:val="nil"/>
              <w:bottom w:val="single" w:color="auto" w:sz="12" w:space="0"/>
              <w:right w:val="nil"/>
            </w:tcBorders>
            <w:noWrap w:val="0"/>
            <w:tcMar>
              <w:top w:w="-1" w:type="dxa"/>
              <w:left w:w="-1" w:type="dxa"/>
              <w:bottom w:w="-1" w:type="dxa"/>
              <w:right w:w="-1" w:type="dxa"/>
            </w:tcMar>
            <w:vAlign w:val="center"/>
          </w:tcPr>
          <w:p w14:paraId="1D99E1E9">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0.9999</w:t>
            </w:r>
          </w:p>
        </w:tc>
        <w:tc>
          <w:tcPr>
            <w:tcW w:w="0" w:type="auto"/>
            <w:tcBorders>
              <w:top w:val="nil"/>
              <w:left w:val="nil"/>
              <w:bottom w:val="single" w:color="auto" w:sz="12" w:space="0"/>
              <w:right w:val="nil"/>
            </w:tcBorders>
            <w:noWrap w:val="0"/>
            <w:tcMar>
              <w:top w:w="-1" w:type="dxa"/>
              <w:left w:w="-1" w:type="dxa"/>
              <w:bottom w:w="-1" w:type="dxa"/>
              <w:right w:w="-1" w:type="dxa"/>
            </w:tcMar>
            <w:vAlign w:val="center"/>
          </w:tcPr>
          <w:p w14:paraId="15CB724F">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0.7130</w:t>
            </w:r>
          </w:p>
        </w:tc>
      </w:tr>
    </w:tbl>
    <w:p w14:paraId="6FD15D91"/>
    <w:p w14:paraId="2F63F6BF">
      <w:pPr>
        <w:bidi w:val="0"/>
      </w:pPr>
      <w:r>
        <w:t>从物理意义上看，25 m 附近的性能峰值反映了一个低空甜点区间。在这一区间内，用户升空后服务链路更容易转为 LOS，接收功率明显改善；但邻区干扰链路的 LOS 概率尚未大规模上升，因此净效应表现为 SINR 增强。超过这一高度后，越来越多同频干扰小区进入视距传播区间，系统迅速转入干扰主导状态。由此可见，低空接入的关键并不只是用户升高后是否更容易被基站看见，而在于服务增强与干扰累积谁增长得更快。</w:t>
      </w:r>
    </w:p>
    <w:p w14:paraId="1F5F4933">
      <w:pPr>
        <w:bidi w:val="0"/>
      </w:pPr>
      <w:r>
        <w:t>Fig. 4 展示了高度扫描下的链路性能曲线，可以更清晰地看出 25 m 附近的性能峰值以及 100 m 以后快速退化的趋势。Fig. 5 则给出了典型高度下的 SINR 分布差异，说明高空退化不仅表现为均值下降，也表现为整条分布向低 SINR 区域整体移动。</w:t>
      </w:r>
    </w:p>
    <w:p w14:paraId="70958A95">
      <w:pPr>
        <w:spacing w:before="160" w:after="80"/>
        <w:jc w:val="center"/>
      </w:pPr>
      <w:r>
        <w:drawing>
          <wp:inline distT="0" distB="0" distL="114300" distR="114300">
            <wp:extent cx="5303520" cy="3283585"/>
            <wp:effectExtent l="0" t="0" r="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303520" cy="3284090"/>
                    </a:xfrm>
                    <a:prstGeom prst="rect">
                      <a:avLst/>
                    </a:prstGeom>
                  </pic:spPr>
                </pic:pic>
              </a:graphicData>
            </a:graphic>
          </wp:inline>
        </w:drawing>
      </w:r>
    </w:p>
    <w:p w14:paraId="043C96C0">
      <w:pPr>
        <w:spacing w:after="160"/>
        <w:jc w:val="center"/>
      </w:pPr>
      <w:r>
        <w:rPr>
          <w:rFonts w:ascii="Times New Roman" w:hAnsi="Times New Roman" w:eastAsia="宋体"/>
          <w:i/>
          <w:sz w:val="20"/>
        </w:rPr>
        <w:t>Fig. 4. Link-quality variation versus UAV altitude.</w:t>
      </w:r>
    </w:p>
    <w:p w14:paraId="6D608CBD">
      <w:pPr>
        <w:spacing w:before="160" w:after="80"/>
        <w:jc w:val="center"/>
      </w:pPr>
      <w:r>
        <w:drawing>
          <wp:inline distT="0" distB="0" distL="114300" distR="114300">
            <wp:extent cx="5303520" cy="3286125"/>
            <wp:effectExtent l="0" t="0" r="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303520" cy="3286168"/>
                    </a:xfrm>
                    <a:prstGeom prst="rect">
                      <a:avLst/>
                    </a:prstGeom>
                  </pic:spPr>
                </pic:pic>
              </a:graphicData>
            </a:graphic>
          </wp:inline>
        </w:drawing>
      </w:r>
    </w:p>
    <w:p w14:paraId="6038E428">
      <w:pPr>
        <w:spacing w:after="160"/>
        <w:jc w:val="center"/>
      </w:pPr>
      <w:r>
        <w:rPr>
          <w:rFonts w:ascii="Times New Roman" w:hAnsi="Times New Roman" w:eastAsia="宋体"/>
          <w:i/>
          <w:sz w:val="20"/>
        </w:rPr>
        <w:t>Fig. 5. CDF of link quality at representative UAV altitudes.</w:t>
      </w:r>
    </w:p>
    <w:p w14:paraId="1ADBD0E8">
      <w:pPr>
        <w:pStyle w:val="4"/>
        <w:bidi w:val="0"/>
      </w:pPr>
      <w:bookmarkStart w:id="19" w:name="_Toc23841"/>
      <w:r>
        <w:t>D. 低空传播机理的统一解释</w:t>
      </w:r>
      <w:bookmarkEnd w:id="19"/>
    </w:p>
    <w:p w14:paraId="3C6BD237">
      <w:pPr>
        <w:bidi w:val="0"/>
      </w:pPr>
      <w:r>
        <w:t xml:space="preserve">Table IV 背后的机制可以从服务链路与干扰链路的同步变化来理解。首先，服务 LOS 概率由 0 m 时的 0.105 增长到 25 m 时的 0.402，再到 100 m 时的 0.970，说明随着升空，用户越来越容易与服务基站形成视距传播。其次，宏站主瓣存在固定俯倾，用户继续升高后会逐渐偏离主瓣中心，导致服务方向增益下降。再次，干扰 LOS 概率在 0 m 时仅为 0.0039，而到 300 m 时增长到 0.713，说明高空用户会同时暴露于更多视距干扰链路之下。Xu 和 Zeng 的三维天线分析同样强调了低空链路对方向图和仰角几何的高度敏感性 </w:t>
      </w:r>
      <w:r>
        <w:rPr>
          <w:vertAlign w:val="superscript"/>
        </w:rPr>
        <w:t>[7]</w:t>
      </w:r>
      <w:r>
        <w:t>。</w:t>
      </w:r>
    </w:p>
    <w:p w14:paraId="47D55832">
      <w:pPr>
        <w:bidi w:val="0"/>
      </w:pPr>
      <w:r>
        <w:t>因此，低空 SINR 的先升后降可以被概括为三阶段演化。第一阶段是近低空阶段，服务 LOS 概率增大快于干扰累积，SINR 上升；第二阶段是过渡阶段，服务增强与邻区干扰增强同时出现，SINR 开始回落；第三阶段是高空阶段，主瓣失配与 LOS 干扰累积共同主导，系统进入高干扰</w:t>
      </w:r>
      <w:r>
        <w:rPr>
          <w:rFonts w:hint="eastAsia"/>
          <w:lang w:val="en-US" w:eastAsia="zh-CN"/>
        </w:rPr>
        <w:t>与</w:t>
      </w:r>
      <w:r>
        <w:t>噪声底的双重约束区间。该结果说明，在低空融合网络中，用户高度不能被简单视为有利因素，而必须结合方向图和复用策略综合判断。</w:t>
      </w:r>
    </w:p>
    <w:p w14:paraId="03B193CD">
      <w:pPr>
        <w:bidi w:val="0"/>
      </w:pPr>
      <w:r>
        <w:t>Fig. 6 给出了不同路径损耗指数下的理论趋势对比，说明传播指数变化会改变解析 SIR 的绝对水平，但不会改变复用因子增大可抑制干扰、同时牺牲空间复用密度的基本结论。Fig. 7 则进一步显示，服务链路与干扰链路的 LOS 概率会随高度发生系统性变化，这也是解释 Fig. 4 中先升后降现象的重要依据。</w:t>
      </w:r>
    </w:p>
    <w:p w14:paraId="7FCFFAF0">
      <w:pPr>
        <w:spacing w:before="160" w:after="80"/>
        <w:jc w:val="center"/>
      </w:pPr>
      <w:r>
        <w:drawing>
          <wp:inline distT="0" distB="0" distL="114300" distR="114300">
            <wp:extent cx="5303520" cy="3283585"/>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303520" cy="3284090"/>
                    </a:xfrm>
                    <a:prstGeom prst="rect">
                      <a:avLst/>
                    </a:prstGeom>
                  </pic:spPr>
                </pic:pic>
              </a:graphicData>
            </a:graphic>
          </wp:inline>
        </w:drawing>
      </w:r>
    </w:p>
    <w:p w14:paraId="2D959082">
      <w:pPr>
        <w:spacing w:after="160"/>
        <w:jc w:val="center"/>
      </w:pPr>
      <w:r>
        <w:rPr>
          <w:rFonts w:ascii="Times New Roman" w:hAnsi="Times New Roman" w:eastAsia="宋体"/>
          <w:i/>
          <w:sz w:val="20"/>
        </w:rPr>
        <w:t>Fig. 6. Analytical SIR trend under different path-loss exponents.</w:t>
      </w:r>
    </w:p>
    <w:p w14:paraId="10FFB2D8">
      <w:pPr>
        <w:spacing w:before="160" w:after="80"/>
        <w:jc w:val="center"/>
      </w:pPr>
      <w:r>
        <w:drawing>
          <wp:inline distT="0" distB="0" distL="114300" distR="114300">
            <wp:extent cx="5303520" cy="328612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303520" cy="3286168"/>
                    </a:xfrm>
                    <a:prstGeom prst="rect">
                      <a:avLst/>
                    </a:prstGeom>
                  </pic:spPr>
                </pic:pic>
              </a:graphicData>
            </a:graphic>
          </wp:inline>
        </w:drawing>
      </w:r>
    </w:p>
    <w:p w14:paraId="2EA7496F">
      <w:pPr>
        <w:spacing w:after="160"/>
        <w:jc w:val="center"/>
      </w:pPr>
      <w:r>
        <w:rPr>
          <w:rFonts w:ascii="Times New Roman" w:hAnsi="Times New Roman" w:eastAsia="宋体"/>
          <w:i/>
          <w:sz w:val="20"/>
        </w:rPr>
        <w:t>Fig. 7. LOS-probability variation versus UAV altitude.</w:t>
      </w:r>
    </w:p>
    <w:p w14:paraId="34C56324">
      <w:pPr>
        <w:pStyle w:val="4"/>
        <w:bidi w:val="0"/>
      </w:pPr>
      <w:bookmarkStart w:id="20" w:name="_Toc18249"/>
      <w:r>
        <w:t>E. 真实站址数据驱动的动态链路分析</w:t>
      </w:r>
      <w:bookmarkEnd w:id="20"/>
    </w:p>
    <w:p w14:paraId="4F6AD7EE">
      <w:pPr>
        <w:bidi w:val="0"/>
      </w:pPr>
      <w:r>
        <w:t>为了进一步观察低空链路在现实部署条件下的时域行为，本文引入了公开真实站址簇和建筑地理数据，构建 60 s 的低空飞行航迹，并在每个时间步内考虑时变负载、切换滞回、最小驻留时间、功率分配和建筑遮挡。Table V 给出了动态实验的总结结果。与静态结果相比，动态场景下的平均 SINR 仅为 5.63 dB，5% 分位 SINR 降至 -6.35 dB，10 dB 门限失效概率达到 0.700，说明时域波动对链路稳定性的影响远大于单次静态快照所揭示的平均性能。</w:t>
      </w:r>
    </w:p>
    <w:p w14:paraId="01A389E2">
      <w:pPr>
        <w:spacing w:before="160" w:after="80"/>
        <w:jc w:val="center"/>
      </w:pPr>
      <w:r>
        <w:rPr>
          <w:rFonts w:ascii="Times New Roman" w:hAnsi="Times New Roman" w:eastAsia="宋体"/>
          <w:b/>
          <w:sz w:val="21"/>
        </w:rPr>
        <w:t>TABLE V. 真实站址数据驱动动态低空实验总结</w:t>
      </w:r>
    </w:p>
    <w:tbl>
      <w:tblPr>
        <w:tblStyle w:val="35"/>
        <w:tblW w:w="4999" w:type="pct"/>
        <w:jc w:val="center"/>
        <w:tblBorders>
          <w:top w:val="none" w:color="auto" w:sz="4" w:space="0"/>
          <w:left w:val="none" w:color="auto" w:sz="4" w:space="0"/>
          <w:bottom w:val="non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6634"/>
        <w:gridCol w:w="2606"/>
      </w:tblGrid>
      <w:tr w14:paraId="296A3797">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tblHeader/>
          <w:jc w:val="center"/>
        </w:trPr>
        <w:tc>
          <w:tcPr>
            <w:tcW w:w="3589" w:type="pct"/>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2E26657F">
            <w:pPr>
              <w:snapToGrid w:val="0"/>
              <w:spacing w:after="0" w:line="240" w:lineRule="auto"/>
              <w:ind w:left="0" w:leftChars="0" w:right="0" w:rightChars="0" w:firstLine="0" w:firstLineChars="0"/>
              <w:jc w:val="center"/>
              <w:rPr>
                <w:rFonts w:ascii="Times New Roman" w:eastAsia="宋体"/>
                <w:b/>
                <w:sz w:val="20"/>
              </w:rPr>
            </w:pPr>
            <w:r>
              <w:rPr>
                <w:rFonts w:ascii="Times New Roman" w:hAnsi="Times New Roman" w:eastAsia="宋体"/>
                <w:b/>
                <w:sz w:val="20"/>
              </w:rPr>
              <w:t>指标</w:t>
            </w:r>
          </w:p>
        </w:tc>
        <w:tc>
          <w:tcPr>
            <w:tcW w:w="1410" w:type="pct"/>
            <w:tcBorders>
              <w:top w:val="single" w:color="auto" w:sz="12" w:space="0"/>
              <w:left w:val="nil"/>
              <w:bottom w:val="nil"/>
              <w:right w:val="nil"/>
            </w:tcBorders>
            <w:shd w:val="clear" w:color="auto" w:fill="D9EAF7"/>
            <w:noWrap w:val="0"/>
            <w:tcMar>
              <w:top w:w="-1" w:type="dxa"/>
              <w:left w:w="-1" w:type="dxa"/>
              <w:bottom w:w="-1" w:type="dxa"/>
              <w:right w:w="-1" w:type="dxa"/>
            </w:tcMar>
            <w:vAlign w:val="center"/>
          </w:tcPr>
          <w:p w14:paraId="6EB67BA0">
            <w:pPr>
              <w:snapToGrid w:val="0"/>
              <w:spacing w:after="0" w:line="240" w:lineRule="auto"/>
              <w:ind w:left="0" w:leftChars="0" w:right="0" w:rightChars="0" w:firstLine="0" w:firstLineChars="0"/>
              <w:jc w:val="center"/>
              <w:rPr>
                <w:rFonts w:ascii="Times New Roman" w:eastAsia="宋体"/>
                <w:b/>
                <w:sz w:val="20"/>
              </w:rPr>
            </w:pPr>
            <w:r>
              <w:rPr>
                <w:rFonts w:ascii="Times New Roman" w:hAnsi="Times New Roman" w:eastAsia="宋体"/>
                <w:b/>
                <w:sz w:val="20"/>
              </w:rPr>
              <w:t>数值</w:t>
            </w:r>
          </w:p>
        </w:tc>
      </w:tr>
      <w:tr w14:paraId="04C23F1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589" w:type="pct"/>
            <w:tcBorders>
              <w:top w:val="single" w:color="auto" w:sz="4" w:space="0"/>
              <w:left w:val="nil"/>
              <w:bottom w:val="nil"/>
              <w:right w:val="nil"/>
            </w:tcBorders>
            <w:noWrap w:val="0"/>
            <w:tcMar>
              <w:top w:w="-1" w:type="dxa"/>
              <w:left w:w="-1" w:type="dxa"/>
              <w:bottom w:w="-1" w:type="dxa"/>
              <w:right w:w="-1" w:type="dxa"/>
            </w:tcMar>
            <w:vAlign w:val="center"/>
          </w:tcPr>
          <w:p w14:paraId="3FE2D157">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时间步数</w:t>
            </w:r>
          </w:p>
        </w:tc>
        <w:tc>
          <w:tcPr>
            <w:tcW w:w="1410" w:type="pct"/>
            <w:tcBorders>
              <w:top w:val="single" w:color="auto" w:sz="4" w:space="0"/>
              <w:left w:val="nil"/>
              <w:bottom w:val="nil"/>
              <w:right w:val="nil"/>
            </w:tcBorders>
            <w:noWrap w:val="0"/>
            <w:tcMar>
              <w:top w:w="-1" w:type="dxa"/>
              <w:left w:w="-1" w:type="dxa"/>
              <w:bottom w:w="-1" w:type="dxa"/>
              <w:right w:w="-1" w:type="dxa"/>
            </w:tcMar>
            <w:vAlign w:val="center"/>
          </w:tcPr>
          <w:p w14:paraId="31171F2A">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60</w:t>
            </w:r>
          </w:p>
        </w:tc>
      </w:tr>
      <w:tr w14:paraId="28BC938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589" w:type="pct"/>
            <w:tcBorders>
              <w:top w:val="nil"/>
              <w:left w:val="nil"/>
              <w:bottom w:val="nil"/>
              <w:right w:val="nil"/>
            </w:tcBorders>
            <w:noWrap w:val="0"/>
            <w:tcMar>
              <w:top w:w="-1" w:type="dxa"/>
              <w:left w:w="-1" w:type="dxa"/>
              <w:bottom w:w="-1" w:type="dxa"/>
              <w:right w:w="-1" w:type="dxa"/>
            </w:tcMar>
            <w:vAlign w:val="center"/>
          </w:tcPr>
          <w:p w14:paraId="3577F737">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切换次数</w:t>
            </w:r>
          </w:p>
        </w:tc>
        <w:tc>
          <w:tcPr>
            <w:tcW w:w="1410" w:type="pct"/>
            <w:tcBorders>
              <w:top w:val="nil"/>
              <w:left w:val="nil"/>
              <w:bottom w:val="nil"/>
              <w:right w:val="nil"/>
            </w:tcBorders>
            <w:noWrap w:val="0"/>
            <w:tcMar>
              <w:top w:w="-1" w:type="dxa"/>
              <w:left w:w="-1" w:type="dxa"/>
              <w:bottom w:w="-1" w:type="dxa"/>
              <w:right w:w="-1" w:type="dxa"/>
            </w:tcMar>
            <w:vAlign w:val="center"/>
          </w:tcPr>
          <w:p w14:paraId="5F622716">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2</w:t>
            </w:r>
          </w:p>
        </w:tc>
      </w:tr>
      <w:tr w14:paraId="309A28C3">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589" w:type="pct"/>
            <w:tcBorders>
              <w:top w:val="nil"/>
              <w:left w:val="nil"/>
              <w:bottom w:val="nil"/>
              <w:right w:val="nil"/>
            </w:tcBorders>
            <w:noWrap w:val="0"/>
            <w:tcMar>
              <w:top w:w="-1" w:type="dxa"/>
              <w:left w:w="-1" w:type="dxa"/>
              <w:bottom w:w="-1" w:type="dxa"/>
              <w:right w:w="-1" w:type="dxa"/>
            </w:tcMar>
            <w:vAlign w:val="center"/>
          </w:tcPr>
          <w:p w14:paraId="592533BB">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平均 SIR / dB</w:t>
            </w:r>
          </w:p>
        </w:tc>
        <w:tc>
          <w:tcPr>
            <w:tcW w:w="1410" w:type="pct"/>
            <w:tcBorders>
              <w:top w:val="nil"/>
              <w:left w:val="nil"/>
              <w:bottom w:val="nil"/>
              <w:right w:val="nil"/>
            </w:tcBorders>
            <w:noWrap w:val="0"/>
            <w:tcMar>
              <w:top w:w="-1" w:type="dxa"/>
              <w:left w:w="-1" w:type="dxa"/>
              <w:bottom w:w="-1" w:type="dxa"/>
              <w:right w:w="-1" w:type="dxa"/>
            </w:tcMar>
            <w:vAlign w:val="center"/>
          </w:tcPr>
          <w:p w14:paraId="7B57BEF1">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5.65</w:t>
            </w:r>
          </w:p>
        </w:tc>
      </w:tr>
      <w:tr w14:paraId="1493B82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589" w:type="pct"/>
            <w:tcBorders>
              <w:top w:val="nil"/>
              <w:left w:val="nil"/>
              <w:bottom w:val="nil"/>
              <w:right w:val="nil"/>
            </w:tcBorders>
            <w:noWrap w:val="0"/>
            <w:tcMar>
              <w:top w:w="-1" w:type="dxa"/>
              <w:left w:w="-1" w:type="dxa"/>
              <w:bottom w:w="-1" w:type="dxa"/>
              <w:right w:w="-1" w:type="dxa"/>
            </w:tcMar>
            <w:vAlign w:val="center"/>
          </w:tcPr>
          <w:p w14:paraId="51326B64">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平均 SINR / dB</w:t>
            </w:r>
          </w:p>
        </w:tc>
        <w:tc>
          <w:tcPr>
            <w:tcW w:w="1410" w:type="pct"/>
            <w:tcBorders>
              <w:top w:val="nil"/>
              <w:left w:val="nil"/>
              <w:bottom w:val="nil"/>
              <w:right w:val="nil"/>
            </w:tcBorders>
            <w:noWrap w:val="0"/>
            <w:tcMar>
              <w:top w:w="-1" w:type="dxa"/>
              <w:left w:w="-1" w:type="dxa"/>
              <w:bottom w:w="-1" w:type="dxa"/>
              <w:right w:w="-1" w:type="dxa"/>
            </w:tcMar>
            <w:vAlign w:val="center"/>
          </w:tcPr>
          <w:p w14:paraId="48DA2ABA">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5.63</w:t>
            </w:r>
          </w:p>
        </w:tc>
      </w:tr>
      <w:tr w14:paraId="558A1D96">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589" w:type="pct"/>
            <w:tcBorders>
              <w:top w:val="nil"/>
              <w:left w:val="nil"/>
              <w:bottom w:val="nil"/>
              <w:right w:val="nil"/>
            </w:tcBorders>
            <w:noWrap w:val="0"/>
            <w:tcMar>
              <w:top w:w="-1" w:type="dxa"/>
              <w:left w:w="-1" w:type="dxa"/>
              <w:bottom w:w="-1" w:type="dxa"/>
              <w:right w:w="-1" w:type="dxa"/>
            </w:tcMar>
            <w:vAlign w:val="center"/>
          </w:tcPr>
          <w:p w14:paraId="5C26CDE3">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5% 分位 SINR / dB</w:t>
            </w:r>
          </w:p>
        </w:tc>
        <w:tc>
          <w:tcPr>
            <w:tcW w:w="1410" w:type="pct"/>
            <w:tcBorders>
              <w:top w:val="nil"/>
              <w:left w:val="nil"/>
              <w:bottom w:val="nil"/>
              <w:right w:val="nil"/>
            </w:tcBorders>
            <w:noWrap w:val="0"/>
            <w:tcMar>
              <w:top w:w="-1" w:type="dxa"/>
              <w:left w:w="-1" w:type="dxa"/>
              <w:bottom w:w="-1" w:type="dxa"/>
              <w:right w:w="-1" w:type="dxa"/>
            </w:tcMar>
            <w:vAlign w:val="center"/>
          </w:tcPr>
          <w:p w14:paraId="41D257A4">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-6.35</w:t>
            </w:r>
          </w:p>
        </w:tc>
      </w:tr>
      <w:tr w14:paraId="744E82C5">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589" w:type="pct"/>
            <w:tcBorders>
              <w:top w:val="nil"/>
              <w:left w:val="nil"/>
              <w:bottom w:val="nil"/>
              <w:right w:val="nil"/>
            </w:tcBorders>
            <w:noWrap w:val="0"/>
            <w:tcMar>
              <w:top w:w="-1" w:type="dxa"/>
              <w:left w:w="-1" w:type="dxa"/>
              <w:bottom w:w="-1" w:type="dxa"/>
              <w:right w:w="-1" w:type="dxa"/>
            </w:tcMar>
            <w:vAlign w:val="center"/>
          </w:tcPr>
          <w:p w14:paraId="32CF2F32">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平均速率 / bit/s/Hz</w:t>
            </w:r>
          </w:p>
        </w:tc>
        <w:tc>
          <w:tcPr>
            <w:tcW w:w="1410" w:type="pct"/>
            <w:tcBorders>
              <w:top w:val="nil"/>
              <w:left w:val="nil"/>
              <w:bottom w:val="nil"/>
              <w:right w:val="nil"/>
            </w:tcBorders>
            <w:noWrap w:val="0"/>
            <w:tcMar>
              <w:top w:w="-1" w:type="dxa"/>
              <w:left w:w="-1" w:type="dxa"/>
              <w:bottom w:w="-1" w:type="dxa"/>
              <w:right w:w="-1" w:type="dxa"/>
            </w:tcMar>
            <w:vAlign w:val="center"/>
          </w:tcPr>
          <w:p w14:paraId="033830FD">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1.52</w:t>
            </w:r>
          </w:p>
        </w:tc>
      </w:tr>
      <w:tr w14:paraId="6C9F9BFB">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589" w:type="pct"/>
            <w:tcBorders>
              <w:top w:val="nil"/>
              <w:left w:val="nil"/>
              <w:bottom w:val="nil"/>
              <w:right w:val="nil"/>
            </w:tcBorders>
            <w:noWrap w:val="0"/>
            <w:tcMar>
              <w:top w:w="-1" w:type="dxa"/>
              <w:left w:w="-1" w:type="dxa"/>
              <w:bottom w:w="-1" w:type="dxa"/>
              <w:right w:w="-1" w:type="dxa"/>
            </w:tcMar>
            <w:vAlign w:val="center"/>
          </w:tcPr>
          <w:p w14:paraId="60725F4F">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10 dB 门限失效概率</w:t>
            </w:r>
          </w:p>
        </w:tc>
        <w:tc>
          <w:tcPr>
            <w:tcW w:w="1410" w:type="pct"/>
            <w:tcBorders>
              <w:top w:val="nil"/>
              <w:left w:val="nil"/>
              <w:bottom w:val="nil"/>
              <w:right w:val="nil"/>
            </w:tcBorders>
            <w:noWrap w:val="0"/>
            <w:tcMar>
              <w:top w:w="-1" w:type="dxa"/>
              <w:left w:w="-1" w:type="dxa"/>
              <w:bottom w:w="-1" w:type="dxa"/>
              <w:right w:w="-1" w:type="dxa"/>
            </w:tcMar>
            <w:vAlign w:val="center"/>
          </w:tcPr>
          <w:p w14:paraId="2E1374AE">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0.7000</w:t>
            </w:r>
          </w:p>
        </w:tc>
      </w:tr>
      <w:tr w14:paraId="235321E8">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589" w:type="pct"/>
            <w:tcBorders>
              <w:top w:val="nil"/>
              <w:left w:val="nil"/>
              <w:bottom w:val="nil"/>
              <w:right w:val="nil"/>
            </w:tcBorders>
            <w:noWrap w:val="0"/>
            <w:tcMar>
              <w:top w:w="-1" w:type="dxa"/>
              <w:left w:w="-1" w:type="dxa"/>
              <w:bottom w:w="-1" w:type="dxa"/>
              <w:right w:w="-1" w:type="dxa"/>
            </w:tcMar>
            <w:vAlign w:val="center"/>
          </w:tcPr>
          <w:p w14:paraId="54C63B7F">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平均服务负载</w:t>
            </w:r>
          </w:p>
        </w:tc>
        <w:tc>
          <w:tcPr>
            <w:tcW w:w="1410" w:type="pct"/>
            <w:tcBorders>
              <w:top w:val="nil"/>
              <w:left w:val="nil"/>
              <w:bottom w:val="nil"/>
              <w:right w:val="nil"/>
            </w:tcBorders>
            <w:noWrap w:val="0"/>
            <w:tcMar>
              <w:top w:w="-1" w:type="dxa"/>
              <w:left w:w="-1" w:type="dxa"/>
              <w:bottom w:w="-1" w:type="dxa"/>
              <w:right w:w="-1" w:type="dxa"/>
            </w:tcMar>
            <w:vAlign w:val="center"/>
          </w:tcPr>
          <w:p w14:paraId="51C1460A">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0.5296</w:t>
            </w:r>
          </w:p>
        </w:tc>
      </w:tr>
      <w:tr w14:paraId="7C3263AE">
        <w:tblPrEx>
          <w:tblBorders>
            <w:top w:val="none" w:color="auto" w:sz="4" w:space="0"/>
            <w:left w:val="none" w:color="auto" w:sz="4" w:space="0"/>
            <w:bottom w:val="non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0" w:hRule="atLeast"/>
          <w:jc w:val="center"/>
        </w:trPr>
        <w:tc>
          <w:tcPr>
            <w:tcW w:w="3589" w:type="pct"/>
            <w:tcBorders>
              <w:top w:val="nil"/>
              <w:left w:val="nil"/>
              <w:bottom w:val="single" w:color="auto" w:sz="12" w:space="0"/>
              <w:right w:val="nil"/>
            </w:tcBorders>
            <w:noWrap w:val="0"/>
            <w:tcMar>
              <w:top w:w="-1" w:type="dxa"/>
              <w:left w:w="-1" w:type="dxa"/>
              <w:bottom w:w="-1" w:type="dxa"/>
              <w:right w:w="-1" w:type="dxa"/>
            </w:tcMar>
            <w:vAlign w:val="center"/>
          </w:tcPr>
          <w:p w14:paraId="35ADFE54">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平均邻区负载</w:t>
            </w:r>
          </w:p>
        </w:tc>
        <w:tc>
          <w:tcPr>
            <w:tcW w:w="1410" w:type="pct"/>
            <w:tcBorders>
              <w:top w:val="nil"/>
              <w:left w:val="nil"/>
              <w:bottom w:val="single" w:color="auto" w:sz="12" w:space="0"/>
              <w:right w:val="nil"/>
            </w:tcBorders>
            <w:noWrap w:val="0"/>
            <w:tcMar>
              <w:top w:w="-1" w:type="dxa"/>
              <w:left w:w="-1" w:type="dxa"/>
              <w:bottom w:w="-1" w:type="dxa"/>
              <w:right w:w="-1" w:type="dxa"/>
            </w:tcMar>
            <w:vAlign w:val="center"/>
          </w:tcPr>
          <w:p w14:paraId="3CF2CC0D">
            <w:pPr>
              <w:snapToGrid w:val="0"/>
              <w:spacing w:after="0" w:line="240" w:lineRule="auto"/>
              <w:ind w:left="0" w:leftChars="0" w:right="0" w:rightChars="0" w:firstLine="0" w:firstLineChars="0"/>
              <w:jc w:val="center"/>
              <w:rPr>
                <w:rFonts w:ascii="Times New Roman" w:eastAsia="宋体"/>
                <w:sz w:val="20"/>
              </w:rPr>
            </w:pPr>
            <w:r>
              <w:rPr>
                <w:rFonts w:ascii="Times New Roman" w:hAnsi="Times New Roman" w:eastAsia="宋体"/>
                <w:b w:val="0"/>
                <w:sz w:val="20"/>
              </w:rPr>
              <w:t>0.6299</w:t>
            </w:r>
          </w:p>
        </w:tc>
      </w:tr>
    </w:tbl>
    <w:p w14:paraId="4B707C2C"/>
    <w:p w14:paraId="79197773">
      <w:pPr>
        <w:bidi w:val="0"/>
      </w:pPr>
      <w:r>
        <w:t>Table V 的意义不只在于给出一个平均数，而在于说明真实站址几何和动态业务过程会显著改变低空链路的时间结构。平均服务负载和平均邻区负载相近，表明干扰并不来源于单一强干扰站，而是与多个邻区的资源活动共同相关。切换次数虽然不高，但链路失效概率仍然偏大，说明低空链路的不稳定并不完全由频繁切换引起，还与高空干扰可见范围扩大、局部遮挡和负载波动密切相关。换言之，低空网络中的动态问题是站址几何</w:t>
      </w:r>
      <w:r>
        <w:rPr>
          <w:rFonts w:hint="eastAsia"/>
          <w:lang w:eastAsia="zh-CN"/>
        </w:rPr>
        <w:t>、</w:t>
      </w:r>
      <w:r>
        <w:t>传播环境</w:t>
      </w:r>
      <w:r>
        <w:rPr>
          <w:rFonts w:hint="eastAsia"/>
          <w:lang w:eastAsia="zh-CN"/>
        </w:rPr>
        <w:t>、</w:t>
      </w:r>
      <w:r>
        <w:t>移动性</w:t>
      </w:r>
      <w:r>
        <w:rPr>
          <w:rFonts w:hint="eastAsia"/>
          <w:lang w:eastAsia="zh-CN"/>
        </w:rPr>
        <w:t>、</w:t>
      </w:r>
      <w:r>
        <w:t>资源负载的耦合问题。</w:t>
      </w:r>
    </w:p>
    <w:p w14:paraId="6C1FBFF4">
      <w:pPr>
        <w:bidi w:val="0"/>
      </w:pPr>
      <w:r>
        <w:t>这种时域波动可由 Fig. 8 直接观察到，其中链路质量在时间轴上呈现出明显的起伏变化。Fig. 9 给出了真实站址数据驱动场景下的站址布局与航迹关系，说明低空用户的动态性能与几何位置变化密切相关。</w:t>
      </w:r>
    </w:p>
    <w:p w14:paraId="14DA5F65">
      <w:pPr>
        <w:spacing w:before="160" w:after="80"/>
        <w:jc w:val="center"/>
      </w:pPr>
      <w:r>
        <w:drawing>
          <wp:inline distT="0" distB="0" distL="114300" distR="114300">
            <wp:extent cx="5303520" cy="3283585"/>
            <wp:effectExtent l="0" t="0" r="0" b="825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303520" cy="3284090"/>
                    </a:xfrm>
                    <a:prstGeom prst="rect">
                      <a:avLst/>
                    </a:prstGeom>
                  </pic:spPr>
                </pic:pic>
              </a:graphicData>
            </a:graphic>
          </wp:inline>
        </w:drawing>
      </w:r>
    </w:p>
    <w:p w14:paraId="229FFC0B">
      <w:pPr>
        <w:spacing w:after="160"/>
        <w:jc w:val="center"/>
      </w:pPr>
      <w:r>
        <w:rPr>
          <w:rFonts w:ascii="Times New Roman" w:hAnsi="Times New Roman" w:eastAsia="宋体"/>
          <w:i/>
          <w:sz w:val="20"/>
        </w:rPr>
        <w:t>Fig. 8. Dynamic SINR timeline for the UAV trajectory in the real-site scenario.</w:t>
      </w:r>
    </w:p>
    <w:p w14:paraId="03DA8484">
      <w:pPr>
        <w:spacing w:before="160" w:after="80"/>
        <w:jc w:val="center"/>
      </w:pPr>
      <w:r>
        <w:drawing>
          <wp:inline distT="0" distB="0" distL="114300" distR="114300">
            <wp:extent cx="5303520" cy="4899660"/>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303520" cy="4899699"/>
                    </a:xfrm>
                    <a:prstGeom prst="rect">
                      <a:avLst/>
                    </a:prstGeom>
                  </pic:spPr>
                </pic:pic>
              </a:graphicData>
            </a:graphic>
          </wp:inline>
        </w:drawing>
      </w:r>
    </w:p>
    <w:p w14:paraId="3D007651">
      <w:pPr>
        <w:spacing w:after="160"/>
        <w:jc w:val="center"/>
      </w:pPr>
      <w:r>
        <w:rPr>
          <w:rFonts w:ascii="Times New Roman" w:hAnsi="Times New Roman" w:eastAsia="宋体"/>
          <w:i/>
          <w:sz w:val="20"/>
        </w:rPr>
        <w:t>Fig. 9. Real-site layout and UAV trajectory in the data-driven dynamic scenario.</w:t>
      </w:r>
    </w:p>
    <w:p w14:paraId="0FB33C67">
      <w:pPr>
        <w:pStyle w:val="3"/>
        <w:spacing w:before="200" w:after="120" w:line="240" w:lineRule="auto"/>
        <w:jc w:val="center"/>
        <w:rPr>
          <w:rFonts w:ascii="Times New Roman" w:hAnsi="Times New Roman" w:eastAsia="宋体"/>
          <w:b/>
          <w:sz w:val="25"/>
        </w:rPr>
        <w:sectPr>
          <w:pgSz w:w="11906" w:h="16838"/>
          <w:pgMar w:top="1440" w:right="1440" w:bottom="1440" w:left="1440" w:header="720" w:footer="720" w:gutter="0"/>
          <w:cols w:space="720" w:num="1"/>
          <w:titlePg/>
          <w:docGrid w:linePitch="360" w:charSpace="0"/>
        </w:sectPr>
      </w:pPr>
    </w:p>
    <w:p w14:paraId="244C868F">
      <w:pPr>
        <w:pStyle w:val="3"/>
        <w:bidi w:val="0"/>
      </w:pPr>
      <w:bookmarkStart w:id="21" w:name="_Toc23766"/>
      <w:r>
        <w:t>V. 分析与讨论</w:t>
      </w:r>
      <w:bookmarkEnd w:id="21"/>
    </w:p>
    <w:p w14:paraId="45D25885">
      <w:pPr>
        <w:pStyle w:val="4"/>
        <w:bidi w:val="0"/>
      </w:pPr>
      <w:bookmarkStart w:id="22" w:name="_Toc2962"/>
      <w:r>
        <w:t>A. 复用因子选择体现了可靠性与容量的基本张力</w:t>
      </w:r>
      <w:bookmarkEnd w:id="22"/>
    </w:p>
    <w:p w14:paraId="4AA3A1CA">
      <w:pPr>
        <w:bidi w:val="0"/>
      </w:pPr>
      <w:r>
        <w:t>本文最稳定、最清晰的结果，是复用因子对不同目标函数的影响方向并不一致。当地面用户以链路质量为主目标时，复用因子增大能够显著压低同频干扰，解析边缘 SIR 和统计中位 SINR 均表现为上升趋势；但当评价尺度切换为单位面积有效 ASE 后，复用因子增大反而使系统总频谱产出持续下降。这一现象在课程理论上具有直接意义：频率复用本质上是在边缘可靠性和面积容量之间做任务导向型折中。若服务对象以低码率可靠链路为主，例如应急巡检或低空控制链路，则较大的复用因子更有利；若服务对象以持续数据吞吐为主，则较小复用因子仍然更具容量优势。</w:t>
      </w:r>
    </w:p>
    <w:p w14:paraId="6ED35568">
      <w:pPr>
        <w:pStyle w:val="4"/>
        <w:bidi w:val="0"/>
      </w:pPr>
      <w:bookmarkStart w:id="23" w:name="_Toc12004"/>
      <w:r>
        <w:t>B. 低空链路存在有限高度受益窗口，而非单调高度增益</w:t>
      </w:r>
      <w:bookmarkEnd w:id="23"/>
    </w:p>
    <w:p w14:paraId="461FD977">
      <w:pPr>
        <w:bidi w:val="0"/>
      </w:pPr>
      <w:r>
        <w:t>低空用户静态实验表明，用户高度并不是一个可以简单正向理解的变量。25 m 附近出现的性能峰值说明，低空接入确实可能从更高的服务 LOS 概率中获益；但当高度继续上升到 100 m 以上时，邻区 LOS 干扰增长远快于服务链路收益，系统性能发生陡降。这一结果与 LTE 支持无人机和三维天线分析相关研究的结论一致，即空中用户面临的主要挑战不是单纯的远距覆盖，而是多邻区可见导致的下行干扰与移动性问题</w:t>
      </w:r>
      <w:r>
        <w:rPr>
          <w:rFonts w:hint="eastAsia"/>
          <w:lang w:val="en-US" w:eastAsia="zh-CN"/>
        </w:rPr>
        <w:t xml:space="preserve"> </w:t>
      </w:r>
      <w:r>
        <w:rPr>
          <w:vertAlign w:val="superscript"/>
        </w:rPr>
        <w:t>[3][7][8]</w:t>
      </w:r>
      <w:r>
        <w:t>。从工程角度看，这意味着低空融合网络需要区分不同高度层的资源策略。对近低空业务，可以在现有地面蜂窝配置基础上适度优化；对较高空业务，则更需要借助波束控制、干扰协调和专用资源管理，而不能简单复用地面网络参数。</w:t>
      </w:r>
    </w:p>
    <w:p w14:paraId="39B39EE0">
      <w:pPr>
        <w:pStyle w:val="4"/>
        <w:bidi w:val="0"/>
      </w:pPr>
      <w:bookmarkStart w:id="24" w:name="_Toc32080"/>
      <w:r>
        <w:t>C. 真实站址数据揭示了动态低空网络的真正瓶颈</w:t>
      </w:r>
      <w:bookmarkEnd w:id="24"/>
    </w:p>
    <w:p w14:paraId="4E91A8B3">
      <w:pPr>
        <w:bidi w:val="0"/>
      </w:pPr>
      <w:r>
        <w:t xml:space="preserve">如果只看静态中位数结果，很容易得到系统仍可工作的结论；但动态实验表明，真实站址几何和时变业务过程会使低空链路出现明显的时间波动。即使平均 SINR 达到 5.63 dB，10 dB 门限失效概率仍高达 0.700，这意味着多数时间步并不能满足较高质量业务要求。这个结果非常重要，因为它提示我们：面向低空网络的频率复用设计不能只依赖空间平均指标，必须额外关注切换过程、链路尾部风险和业务门限失效概率。Muruganathan 等对 3GPP Release-15 的总结和 Euler 等的移动性分析都说明，空中用户更容易触发测量事件、暴露于更多邻区并产生移动性问题 </w:t>
      </w:r>
      <w:r>
        <w:rPr>
          <w:vertAlign w:val="superscript"/>
        </w:rPr>
        <w:t>[4][8]</w:t>
      </w:r>
      <w:r>
        <w:t>。本文的动态数据驱动实验在课程尺度上复现了这一趋势，从而使分析讨论部分不再停留于静态传播规律，而能够上升到系统级时间稳定性视角。</w:t>
      </w:r>
    </w:p>
    <w:p w14:paraId="1ABD18DA">
      <w:pPr>
        <w:pStyle w:val="4"/>
        <w:bidi w:val="0"/>
      </w:pPr>
      <w:bookmarkStart w:id="25" w:name="_Toc21528"/>
      <w:r>
        <w:t>D. 模型适用边界与后续深化方向</w:t>
      </w:r>
      <w:bookmarkEnd w:id="25"/>
    </w:p>
    <w:p w14:paraId="73E38427">
      <w:pPr>
        <w:bidi w:val="0"/>
        <w:sectPr>
          <w:pgSz w:w="11906" w:h="16838"/>
          <w:pgMar w:top="1440" w:right="1440" w:bottom="1440" w:left="1440" w:header="720" w:footer="720" w:gutter="0"/>
          <w:cols w:space="720" w:num="1"/>
          <w:titlePg/>
          <w:docGrid w:linePitch="360" w:charSpace="0"/>
        </w:sectPr>
      </w:pPr>
      <w:r>
        <w:t>尽管本文已经把课程理论、统计传播模型和公开真实站址数据结合起来，但模型仍有明确边界。首先，本文使用的是公开站址与建筑轮廓数据，能够反映真实几何关系，却不代表运营商商用网络的完整配置，因此更适合研究相对规律。其次，建筑遮挡采用的是几何遮挡与附加损耗近似，尚未引入完整城市三维材质数据库和严格射线追踪，因此更适合解释遮挡是否会改变 LOS 传播趋势。再次，低空动态过程虽然考虑了切换、负载与功率分配，但尚未完整纳入厂商级 MIMO 码本、跨小区协作波束和真实商用功控。正因如此，本文的价值主要在于建立一个具有物理清晰性和工程启发性的分析框架。</w:t>
      </w:r>
    </w:p>
    <w:p w14:paraId="6005A489">
      <w:pPr>
        <w:bidi w:val="0"/>
        <w:sectPr>
          <w:pgSz w:w="11906" w:h="16838"/>
          <w:pgMar w:top="1440" w:right="1440" w:bottom="1440" w:left="1440" w:header="720" w:footer="720" w:gutter="0"/>
          <w:cols w:space="720" w:num="1"/>
          <w:titlePg/>
          <w:docGrid w:linePitch="360" w:charSpace="0"/>
        </w:sectPr>
      </w:pPr>
    </w:p>
    <w:p w14:paraId="141D9CC8">
      <w:pPr>
        <w:pStyle w:val="3"/>
        <w:bidi w:val="0"/>
      </w:pPr>
      <w:bookmarkStart w:id="26" w:name="_Toc2056"/>
      <w:r>
        <w:t>VI. 结论与展望</w:t>
      </w:r>
      <w:bookmarkEnd w:id="26"/>
    </w:p>
    <w:p w14:paraId="7A404A62">
      <w:pPr>
        <w:bidi w:val="0"/>
      </w:pPr>
      <w:r>
        <w:t>本文围绕蜂窝</w:t>
      </w:r>
      <w:r>
        <w:rPr>
          <w:rFonts w:hint="eastAsia"/>
          <w:lang w:val="en-US" w:eastAsia="zh-CN"/>
        </w:rPr>
        <w:t>与</w:t>
      </w:r>
      <w:r>
        <w:t>低空融合网络中的频率复用与同频干扰这一课程主题，构建了一个由解析理论、静态统计仿真和真实站址数据驱动动态场景组成的研究框架，并在地面用户和低空用户两类场景下对复用因子、链路质量和系统容量进行了统一分析。研究表明，复用因子增大能够显著改善地面用户的 SIR 和 SINR，但其收益会受到热噪声底约束；在有效 ASE 维度上，较大的复用因子并不带来更高的单位面积容量，而是表现出清晰的可靠性提升</w:t>
      </w:r>
      <w:r>
        <w:rPr>
          <w:rFonts w:hint="eastAsia"/>
          <w:lang w:val="en-US" w:eastAsia="zh-CN"/>
        </w:rPr>
        <w:t>与</w:t>
      </w:r>
      <w:r>
        <w:t>容量下降折中。对低空用户而言，系统性能随高度呈现近低空受益</w:t>
      </w:r>
      <w:r>
        <w:rPr>
          <w:rFonts w:hint="eastAsia"/>
          <w:lang w:val="en-US" w:eastAsia="zh-CN"/>
        </w:rPr>
        <w:t>而</w:t>
      </w:r>
      <w:r>
        <w:t>高空退化的两阶段规律，这一本质上来自服务 LOS 增益、主瓣失配和邻区 LOS 干扰累积之间的竞争。真实站址数据驱动的动态实验进一步说明，低空链路真正的工程难点并不只是平均干扰水平，而是时域上的链路波动、负载耦合和门限失效风险。</w:t>
      </w:r>
    </w:p>
    <w:p w14:paraId="6D4B8964">
      <w:pPr>
        <w:bidi w:val="0"/>
        <w:sectPr>
          <w:pgSz w:w="11906" w:h="16838"/>
          <w:pgMar w:top="1440" w:right="1440" w:bottom="1440" w:left="1440" w:header="720" w:footer="720" w:gutter="0"/>
          <w:cols w:space="720" w:num="1"/>
          <w:titlePg/>
          <w:docGrid w:linePitch="360" w:charSpace="0"/>
        </w:sectPr>
      </w:pPr>
      <w:r>
        <w:t>从理论向工程实践延伸，本文给出三点展望。第一，频率复用设计应当面向任务目标分层配置：控制与可靠性业务更适合保守复用，吞吐型业务则可采用更激进复用并辅以干扰管理。第二，低空接入策略应当显式考虑高度层次差异。第三，后续研究若要进一步接近真实系统，应继续引入更完整的三维城市传播环境、更高维的多天线协同机制以及更细粒度的功率与调度控制。即便如此，设计阶段最关键的是在保证物理意义清晰的前提下，用可复现的定量结果解释干扰、覆盖和容量三者之间的关系。</w:t>
      </w:r>
    </w:p>
    <w:p w14:paraId="78217583">
      <w:pPr>
        <w:bidi w:val="0"/>
        <w:sectPr>
          <w:pgSz w:w="11906" w:h="16838"/>
          <w:pgMar w:top="1440" w:right="1440" w:bottom="1440" w:left="1440" w:header="720" w:footer="720" w:gutter="0"/>
          <w:cols w:space="720" w:num="1"/>
          <w:titlePg/>
          <w:docGrid w:linePitch="360" w:charSpace="0"/>
        </w:sectPr>
      </w:pPr>
    </w:p>
    <w:p w14:paraId="31AA9324">
      <w:pPr>
        <w:pStyle w:val="3"/>
        <w:bidi w:val="0"/>
      </w:pPr>
      <w:bookmarkStart w:id="27" w:name="_Toc2062"/>
      <w:r>
        <w:t>VII. 参考文献</w:t>
      </w:r>
      <w:bookmarkEnd w:id="27"/>
    </w:p>
    <w:p w14:paraId="5B668A0C">
      <w:pPr>
        <w:bidi w:val="0"/>
      </w:pPr>
      <w:r>
        <w:t>[1] 3rd Generation Partnership Project (3GPP), “Study on Enhanced LTE Support for Aerial Vehicles,” 3GPP TR 36.777, ver. 15.0.0, Dec. 2017. [Online]. Available: https://portal.3gpp.org/desktopmodules/Specifications/SpecificationDetails.aspx?specificationId=3231. Accessed: Jul. 8, 2026.</w:t>
      </w:r>
    </w:p>
    <w:p w14:paraId="7E869E8C">
      <w:pPr>
        <w:bidi w:val="0"/>
      </w:pPr>
      <w:r>
        <w:t>[2] Y. Zeng, R. Zhang, and T. J. Lim, “Wireless communications with unmanned aerial vehicles: opportunities and challenges,” *IEEE Commun. Mag.*, vol. 54, no. 5, pp. 36-42, May 2016, doi: 10.1109/MCOM.2016.7470933.</w:t>
      </w:r>
    </w:p>
    <w:p w14:paraId="1657C2C0">
      <w:pPr>
        <w:bidi w:val="0"/>
      </w:pPr>
      <w:r>
        <w:t>[3] X. Lin, V. Yajnanarayana, S. D. Muruganathan, S. Gao, H. Asplund, H.-L. Maattanen, M. Bergstrom, S. Euler, and Y.-P. E. Wang, “The Sky Is Not the Limit: LTE for Unmanned Aerial Vehicles,” *IEEE Commun. Mag.*, vol. 56, no. 4, pp. 204-210, Apr. 2018, doi: 10.1109/MCOM.2018.1700643.</w:t>
      </w:r>
    </w:p>
    <w:p w14:paraId="37C947AA">
      <w:pPr>
        <w:bidi w:val="0"/>
      </w:pPr>
      <w:r>
        <w:t>[4] S. D. Muruganathan, X. Lin, H.-L. Maattanen, J. Sedin, Z. Zou, W. A. Hapsari, and S. Yasukawa, “An Overview of 3GPP Release-15 Study on Enhanced LTE Support for Connected Drones,” *IEEE Commun. Standards Mag.*, vol. 5, no. 4, pp. 140-146, Dec. 2021, doi: 10.1109/MCOMSTD.0001.1900021.</w:t>
      </w:r>
    </w:p>
    <w:p w14:paraId="6CDFB45A">
      <w:pPr>
        <w:bidi w:val="0"/>
      </w:pPr>
      <w:r>
        <w:t>[5] ETSI, “5G; Study on channel model for frequencies from 0.5 to 100 GHz (3GPP TR 38.901 version 16.1.0 Release 16),” ETSI TR 138 901 V16.1.0, Nov. 2020. [Online]. Available: https://www.etsi.org/deliver/etsi_tr/138900_138999/138901/16.01.00_60/tr_138901v160100p.pdf. Accessed: Jul. 8, 2026.</w:t>
      </w:r>
    </w:p>
    <w:p w14:paraId="0E7E56D9">
      <w:pPr>
        <w:bidi w:val="0"/>
      </w:pPr>
      <w:r>
        <w:t>[6] ITU-R, “Propagation data and prediction methods required for the design of terrestrial broadband radio access systems operating in a frequency range from 3 GHz to 60 GHz,” Recommendation ITU-R P.1410-6, Aug. 2023. [Online]. Available: https://www.itu.int/rec/R-REC-P.1410-6-202308-I/en. Accessed: Jul. 8, 2026.</w:t>
      </w:r>
    </w:p>
    <w:p w14:paraId="21F92682">
      <w:pPr>
        <w:bidi w:val="0"/>
      </w:pPr>
      <w:r>
        <w:t>[7] X. Xu and Y. Zeng, “Cellular-Connected UAV: Performance Analysis with 3D Antenna Modelling,” in *Proc. IEEE Int. Conf. Commun. Workshops (ICC Workshops)*, Shanghai, China, May 2019, pp. 1-6, doi: 10.1109/ICCW.2019.8756719.</w:t>
      </w:r>
    </w:p>
    <w:p w14:paraId="08A1D998">
      <w:pPr>
        <w:bidi w:val="0"/>
      </w:pPr>
      <w:r>
        <w:t>[8] S. Euler, H.-L. Maattanen, X. Lin, Z. Zou, M. Bergstrom, and J. Sedin, “Mobility Support for Cellular Connected Unmanned Aerial Vehicles: Performance and Analysis,” in *Proc. IEEE Wireless Commun. Netw. Conf. (WCNC)*, Marrakesh, Morocco, Apr. 2019, doi: 10.1109/WCNC.2019.8885820.</w:t>
      </w:r>
    </w:p>
    <w:p w14:paraId="35AFC63F">
      <w:pPr>
        <w:bidi w:val="0"/>
        <w:sectPr>
          <w:pgSz w:w="11906" w:h="16838"/>
          <w:pgMar w:top="1440" w:right="1440" w:bottom="1440" w:left="1440" w:header="720" w:footer="720" w:gutter="0"/>
          <w:cols w:space="720" w:num="1"/>
          <w:titlePg/>
          <w:docGrid w:linePitch="360" w:charSpace="0"/>
        </w:sectPr>
      </w:pPr>
      <w:r>
        <w:t>[9] C. E. Shannon, “A Mathematical Theory of Communication,” *Bell System Technical Journal*, vol. 27, no. 3, pp. 379-423, Jul. 1948, doi: 10.1002/j.1538-7305.1948.tb01338.x.</w:t>
      </w:r>
    </w:p>
    <w:p w14:paraId="170823C8">
      <w:pPr>
        <w:bidi w:val="0"/>
        <w:sectPr>
          <w:pgSz w:w="11906" w:h="16838"/>
          <w:pgMar w:top="1440" w:right="1440" w:bottom="1440" w:left="1440" w:header="720" w:footer="720" w:gutter="0"/>
          <w:cols w:space="720" w:num="1"/>
          <w:titlePg/>
          <w:docGrid w:linePitch="360" w:charSpace="0"/>
        </w:sectPr>
      </w:pPr>
    </w:p>
    <w:p w14:paraId="70DDE628">
      <w:pPr>
        <w:pStyle w:val="3"/>
        <w:bidi w:val="0"/>
      </w:pPr>
      <w:bookmarkStart w:id="28" w:name="_Toc9839"/>
      <w:r>
        <w:t>VIII. 附录</w:t>
      </w:r>
      <w:bookmarkEnd w:id="28"/>
    </w:p>
    <w:p w14:paraId="28D293CC">
      <w:pPr>
        <w:pStyle w:val="4"/>
        <w:bidi w:val="0"/>
      </w:pPr>
      <w:bookmarkStart w:id="29" w:name="_Toc23070"/>
      <w:r>
        <w:t>A. 复现实验流程说明</w:t>
      </w:r>
      <w:bookmarkEnd w:id="29"/>
    </w:p>
    <w:p w14:paraId="781C821A">
      <w:pPr>
        <w:bidi w:val="0"/>
      </w:pPr>
      <w:r>
        <w:t>本文仿真采用统一随机种子和固定参数表进行复现。复现流程可概括为三个步骤：首先在标准 Python 数值计算环境中安装所需依赖，并保持随机种子、传播参数和系统参数与 Table I 一致；其次运行完整仿真流程，分别输出复用因子对地面 SIR/SINR 的比较结果、复用因子对有效 ASE 的比较结果、低空高度扫描结果以及真实站址动态航迹结果；最后根据输出结果生成对应图表，包括复用几何示意、SIR/SINR 曲线、有效 ASE 曲线、低空高度变化曲线、动态时间线和真实站址布局示意图。只要参数保持一致，本文中的表格趋势和关键数值应具有稳定可复现性。</w:t>
      </w:r>
    </w:p>
    <w:p w14:paraId="39D6306D">
      <w:pPr>
        <w:pStyle w:val="4"/>
        <w:bidi w:val="0"/>
      </w:pPr>
      <w:bookmarkStart w:id="30" w:name="_Toc5133"/>
      <w:r>
        <w:t>B. 真实站址数据来源说明</w:t>
      </w:r>
      <w:bookmarkEnd w:id="30"/>
    </w:p>
    <w:p w14:paraId="619EBE17">
      <w:pPr>
        <w:bidi w:val="0"/>
      </w:pPr>
      <w:r>
        <w:t>真实站址数据分析所使用的站址信息来自公开塔站地理数据库，研究中选取了美国一处城市中心区附近的局部高密度样本，以保留真实基站间距和相对方位特征。建筑遮挡数据来自公开建筑轮廓地理数据库，通过边界覆盖、分块抓取和去重处理形成研究区域内的建筑样本。所有公开地理数据在进入仿真前均被转换到统一局部坐标系下，并仅用于本文的传播机理分析与课程实验验证。由于这些数据不包含完整商用网络参数、三维材质信息和精细射线传播特征，因此本文对其采用真实几何驱动的仿真场景定位。</w:t>
      </w:r>
    </w:p>
    <w:sectPr>
      <w:pgSz w:w="11906" w:h="16838"/>
      <w:pgMar w:top="1440" w:right="1440" w:bottom="1440" w:left="1440" w:header="720" w:footer="720" w:gutter="0"/>
      <w:cols w:space="720" w:num="1"/>
      <w:titlePg/>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Cambria">
    <w:panose1 w:val="02040503050406030204"/>
    <w:charset w:val="00"/>
    <w:family w:val="auto"/>
    <w:pitch w:val="default"/>
    <w:sig w:usb0="E00006FF" w:usb1="420024FF" w:usb2="02000000" w:usb3="00000000" w:csb0="2000019F" w:csb1="00000000"/>
  </w:font>
  <w:font w:name="MS Mincho">
    <w:panose1 w:val="02020609040205080304"/>
    <w:charset w:val="80"/>
    <w:family w:val="roman"/>
    <w:pitch w:val="default"/>
    <w:sig w:usb0="E00002FF" w:usb1="6AC7FDFB" w:usb2="08000012" w:usb3="00000000" w:csb0="4002009F" w:csb1="DFD7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Courier New">
    <w:panose1 w:val="02070309020205020404"/>
    <w:charset w:val="00"/>
    <w:family w:val="auto"/>
    <w:pitch w:val="default"/>
    <w:sig w:usb0="E0002EFF" w:usb1="C0007843" w:usb2="00000009" w:usb3="00000000" w:csb0="400001FF" w:csb1="FFFF0000"/>
  </w:font>
  <w:font w:name="time">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
    <w:altName w:val="Times New Roman"/>
    <w:panose1 w:val="00000000000000000000"/>
    <w:charset w:val="00"/>
    <w:family w:val="auto"/>
    <w:pitch w:val="default"/>
    <w:sig w:usb0="00000000" w:usb1="00000000" w:usb2="00000000" w:usb3="00000000" w:csb0="00000000" w:csb1="00000000"/>
  </w:font>
  <w:font w:name="h">
    <w:altName w:val="Segoe Print"/>
    <w:panose1 w:val="00000000000000000000"/>
    <w:charset w:val="00"/>
    <w:family w:val="auto"/>
    <w:pitch w:val="default"/>
    <w:sig w:usb0="00000000" w:usb1="00000000" w:usb2="00000000" w:usb3="00000000" w:csb0="00000000" w:csb1="00000000"/>
  </w:font>
  <w:font w:name="he">
    <w:altName w:val="Segoe Print"/>
    <w:panose1 w:val="00000000000000000000"/>
    <w:charset w:val="00"/>
    <w:family w:val="auto"/>
    <w:pitch w:val="default"/>
    <w:sig w:usb0="00000000" w:usb1="00000000" w:usb2="00000000" w:usb3="00000000" w:csb0="00000000" w:csb1="00000000"/>
  </w:font>
  <w:font w:name="hei">
    <w:altName w:val="Segoe Print"/>
    <w:panose1 w:val="00000000000000000000"/>
    <w:charset w:val="00"/>
    <w:family w:val="auto"/>
    <w:pitch w:val="default"/>
    <w:sig w:usb0="00000000" w:usb1="00000000" w:usb2="00000000" w:usb3="00000000" w:csb0="00000000" w:csb1="00000000"/>
  </w:font>
  <w:font w:name="heit">
    <w:altName w:val="Segoe Print"/>
    <w:panose1 w:val="00000000000000000000"/>
    <w:charset w:val="00"/>
    <w:family w:val="auto"/>
    <w:pitch w:val="default"/>
    <w:sig w:usb0="00000000" w:usb1="00000000" w:usb2="00000000" w:usb3="00000000" w:csb0="00000000" w:csb1="00000000"/>
  </w:font>
  <w:font w:name="heiti">
    <w:altName w:val="Segoe Print"/>
    <w:panose1 w:val="00000000000000000000"/>
    <w:charset w:val="00"/>
    <w:family w:val="auto"/>
    <w:pitch w:val="default"/>
    <w:sig w:usb0="00000000" w:usb1="00000000" w:usb2="00000000" w:usb3="00000000" w:csb0="00000000" w:csb1="00000000"/>
  </w:font>
  <w:font w:name="给体">
    <w:altName w:val="Segoe Print"/>
    <w:panose1 w:val="00000000000000000000"/>
    <w:charset w:val="00"/>
    <w:family w:val="auto"/>
    <w:pitch w:val="default"/>
    <w:sig w:usb0="00000000" w:usb1="00000000" w:usb2="00000000" w:usb3="00000000" w:csb0="00000000" w:csb1="00000000"/>
  </w:font>
  <w:font w:name="给">
    <w:altName w:val="Segoe Print"/>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AD1EF2">
    <w:pPr>
      <w:pStyle w:val="24"/>
      <w:jc w:val="center"/>
    </w:pPr>
    <w:r>
      <w:rPr>
        <w:rFonts w:ascii="Times New Roman" w:hAnsi="Times New Roman" w:eastAsia="宋体"/>
        <w:sz w:val="20"/>
      </w:rPr>
      <w:fldChar w:fldCharType="begin"/>
    </w:r>
    <w:r>
      <w:rPr>
        <w:rFonts w:ascii="Times New Roman" w:hAnsi="Times New Roman" w:eastAsia="宋体"/>
        <w:sz w:val="20"/>
      </w:rPr>
      <w:instrText xml:space="preserve"> PAGE </w:instrText>
    </w:r>
    <w:r>
      <w:rPr>
        <w:rFonts w:ascii="Times New Roman" w:hAnsi="Times New Roman" w:eastAsia="宋体"/>
        <w:sz w:val="20"/>
      </w:rPr>
      <w:fldChar w:fldCharType="separate"/>
    </w:r>
    <w:r>
      <w:rPr>
        <w:rFonts w:ascii="Times New Roman" w:hAnsi="Times New Roman" w:eastAsia="宋体"/>
        <w:sz w:val="20"/>
      </w:rPr>
      <w:t>1</w:t>
    </w:r>
    <w:r>
      <w:rPr>
        <w:rFonts w:ascii="Times New Roman" w:hAnsi="Times New Roman" w:eastAsia="宋体"/>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0011FBE"/>
  </w:rsids>
  <m:mathPr>
    <m:mathFont m:val="Times New Roman"/>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723" w:firstLineChars="200"/>
      <w:jc w:val="both"/>
    </w:pPr>
    <w:rPr>
      <w:rFonts w:ascii="Times New Roman" w:hAnsi="Times New Roman" w:eastAsia="宋体" w:cstheme="minorBidi"/>
      <w:sz w:val="24"/>
      <w:szCs w:val="22"/>
      <w:lang w:val="en-US" w:eastAsia="en-US" w:bidi="ar-SA"/>
    </w:rPr>
  </w:style>
  <w:style w:type="paragraph" w:styleId="3">
    <w:name w:val="heading 1"/>
    <w:basedOn w:val="1"/>
    <w:next w:val="1"/>
    <w:link w:val="140"/>
    <w:qFormat/>
    <w:uiPriority w:val="9"/>
    <w:pPr>
      <w:keepNext/>
      <w:keepLines/>
      <w:spacing w:before="100" w:beforeLines="100" w:after="100" w:afterLines="100" w:line="360" w:lineRule="auto"/>
      <w:jc w:val="center"/>
      <w:outlineLvl w:val="0"/>
    </w:pPr>
    <w:rPr>
      <w:rFonts w:eastAsia="黑体" w:cstheme="majorBidi"/>
      <w:b/>
      <w:bCs/>
      <w:color w:val="000000" w:themeColor="text1"/>
      <w:sz w:val="32"/>
      <w:szCs w:val="28"/>
      <w14:textFill>
        <w14:solidFill>
          <w14:schemeClr w14:val="tx1"/>
        </w14:solidFill>
      </w14:textFill>
    </w:rPr>
  </w:style>
  <w:style w:type="paragraph" w:styleId="4">
    <w:name w:val="heading 2"/>
    <w:basedOn w:val="1"/>
    <w:next w:val="1"/>
    <w:link w:val="141"/>
    <w:unhideWhenUsed/>
    <w:qFormat/>
    <w:uiPriority w:val="9"/>
    <w:pPr>
      <w:keepNext/>
      <w:keepLines/>
      <w:spacing w:before="50" w:beforeLines="50" w:after="50" w:afterLines="50"/>
      <w:ind w:firstLine="0" w:firstLineChars="0"/>
      <w:outlineLvl w:val="1"/>
    </w:pPr>
    <w:rPr>
      <w:rFonts w:eastAsia="黑体" w:cstheme="majorBidi"/>
      <w:b/>
      <w:bCs/>
      <w:color w:val="000000" w:themeColor="text1"/>
      <w:sz w:val="28"/>
      <w:szCs w:val="26"/>
      <w14:textFill>
        <w14:solidFill>
          <w14:schemeClr w14:val="tx1"/>
        </w14:solidFill>
      </w14:textFill>
    </w:rPr>
  </w:style>
  <w:style w:type="paragraph" w:styleId="5">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uiPriority w:val="1"/>
  </w:style>
  <w:style w:type="table" w:default="1" w:styleId="34">
    <w:name w:val="Normal Table"/>
    <w:semiHidden/>
    <w:unhideWhenUsed/>
    <w:uiPriority w:val="99"/>
    <w:tblPr>
      <w:tblCellMar>
        <w:top w:w="0" w:type="dxa"/>
        <w:left w:w="108" w:type="dxa"/>
        <w:bottom w:w="0" w:type="dxa"/>
        <w:right w:w="108" w:type="dxa"/>
      </w:tblCellMar>
    </w:tblPr>
  </w:style>
  <w:style w:type="paragraph" w:styleId="2">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8"/>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6"/>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8"/>
    <w:unhideWhenUsed/>
    <w:uiPriority w:val="99"/>
    <w:pPr>
      <w:tabs>
        <w:tab w:val="center" w:pos="4680"/>
        <w:tab w:val="right" w:pos="9360"/>
      </w:tabs>
      <w:spacing w:after="0" w:line="240" w:lineRule="auto"/>
    </w:pPr>
  </w:style>
  <w:style w:type="paragraph" w:styleId="25">
    <w:name w:val="header"/>
    <w:basedOn w:val="1"/>
    <w:link w:val="137"/>
    <w:unhideWhenUsed/>
    <w:uiPriority w:val="99"/>
    <w:pPr>
      <w:tabs>
        <w:tab w:val="center" w:pos="4680"/>
        <w:tab w:val="right" w:pos="9360"/>
      </w:tabs>
      <w:spacing w:after="0" w:line="240" w:lineRule="auto"/>
    </w:pPr>
  </w:style>
  <w:style w:type="paragraph" w:styleId="26">
    <w:name w:val="toc 1"/>
    <w:basedOn w:val="1"/>
    <w:next w:val="1"/>
    <w:semiHidden/>
    <w:unhideWhenUsed/>
    <w:uiPriority w:val="39"/>
    <w:rPr>
      <w:rFonts w:ascii="Times New Roman" w:hAnsi="Times New Roman" w:eastAsia="黑体"/>
      <w:sz w:val="24"/>
      <w:szCs w:val="22"/>
    </w:rPr>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uiPriority w:val="99"/>
    <w:pPr>
      <w:ind w:left="360" w:hanging="360"/>
      <w:contextualSpacing/>
    </w:pPr>
  </w:style>
  <w:style w:type="paragraph" w:styleId="29">
    <w:name w:val="toc 2"/>
    <w:basedOn w:val="1"/>
    <w:next w:val="1"/>
    <w:semiHidden/>
    <w:unhideWhenUsed/>
    <w:uiPriority w:val="39"/>
    <w:pPr>
      <w:ind w:left="547" w:leftChars="228" w:firstLine="240" w:firstLineChars="100"/>
    </w:pPr>
    <w:rPr>
      <w:rFonts w:ascii="Times New Roman" w:hAnsi="Times New Roman" w:eastAsia="宋体"/>
      <w:sz w:val="24"/>
      <w:szCs w:val="22"/>
    </w:rPr>
  </w:style>
  <w:style w:type="paragraph" w:styleId="30">
    <w:name w:val="Body Text 2"/>
    <w:basedOn w:val="1"/>
    <w:link w:val="147"/>
    <w:unhideWhenUsed/>
    <w:uiPriority w:val="99"/>
    <w:pPr>
      <w:spacing w:after="120" w:line="480" w:lineRule="auto"/>
    </w:pPr>
  </w:style>
  <w:style w:type="paragraph" w:styleId="31">
    <w:name w:val="List Continue 2"/>
    <w:basedOn w:val="1"/>
    <w:unhideWhenUsed/>
    <w:uiPriority w:val="99"/>
    <w:pPr>
      <w:spacing w:after="120"/>
      <w:ind w:left="720"/>
      <w:contextualSpacing/>
    </w:pPr>
  </w:style>
  <w:style w:type="paragraph" w:styleId="32">
    <w:name w:val="List Continue 3"/>
    <w:basedOn w:val="1"/>
    <w:unhideWhenUsed/>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uiPriority w:val="99"/>
  </w:style>
  <w:style w:type="character" w:customStyle="1" w:styleId="138">
    <w:name w:val="Footer Char"/>
    <w:basedOn w:val="134"/>
    <w:link w:val="24"/>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uiPriority w:val="9"/>
    <w:rPr>
      <w:rFonts w:ascii="Times New Roman" w:hAnsi="Times New Roman" w:eastAsia="黑体" w:cstheme="majorBidi"/>
      <w:b/>
      <w:bCs/>
      <w:color w:val="000000" w:themeColor="text1"/>
      <w:sz w:val="32"/>
      <w:szCs w:val="28"/>
      <w14:textFill>
        <w14:solidFill>
          <w14:schemeClr w14:val="tx1"/>
        </w14:solidFill>
      </w14:textFill>
    </w:rPr>
  </w:style>
  <w:style w:type="character" w:customStyle="1" w:styleId="141">
    <w:name w:val="Heading 2 Char"/>
    <w:basedOn w:val="134"/>
    <w:link w:val="4"/>
    <w:uiPriority w:val="9"/>
    <w:rPr>
      <w:rFonts w:ascii="Times New Roman" w:hAnsi="Times New Roman" w:eastAsia="黑体" w:cstheme="majorBidi"/>
      <w:b/>
      <w:bCs/>
      <w:color w:val="000000" w:themeColor="text1"/>
      <w:sz w:val="28"/>
      <w:szCs w:val="26"/>
      <w14:textFill>
        <w14:solidFill>
          <w14:schemeClr w14:val="tx1"/>
        </w14:solidFill>
      </w14:textFill>
    </w:rPr>
  </w:style>
  <w:style w:type="character" w:customStyle="1" w:styleId="142">
    <w:name w:val="Heading 3 Char"/>
    <w:basedOn w:val="134"/>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34"/>
    <w:link w:val="33"/>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uiPriority w:val="99"/>
  </w:style>
  <w:style w:type="character" w:customStyle="1" w:styleId="147">
    <w:name w:val="Body Text 2 Char"/>
    <w:basedOn w:val="134"/>
    <w:link w:val="30"/>
    <w:uiPriority w:val="99"/>
  </w:style>
  <w:style w:type="character" w:customStyle="1" w:styleId="148">
    <w:name w:val="Body Text 3 Char"/>
    <w:basedOn w:val="134"/>
    <w:link w:val="17"/>
    <w:uiPriority w:val="99"/>
    <w:rPr>
      <w:sz w:val="16"/>
      <w:szCs w:val="16"/>
    </w:rPr>
  </w:style>
  <w:style w:type="character" w:customStyle="1" w:styleId="149">
    <w:name w:val="Macro Text Char"/>
    <w:basedOn w:val="134"/>
    <w:link w:val="2"/>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uiPriority w:val="29"/>
    <w:rPr>
      <w:i/>
      <w:iCs/>
      <w:color w:val="000000" w:themeColor="text1"/>
      <w14:textFill>
        <w14:solidFill>
          <w14:schemeClr w14:val="tx1"/>
        </w14:solidFill>
      </w14:textFill>
    </w:rPr>
  </w:style>
  <w:style w:type="character" w:customStyle="1" w:styleId="152">
    <w:name w:val="Heading 4 Char"/>
    <w:basedOn w:val="134"/>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34"/>
    <w:link w:val="7"/>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36</Pages>
  <Words>1334</Words>
  <Characters>1953</Characters>
  <Lines>0</Lines>
  <Paragraphs>0</Paragraphs>
  <TotalTime>3</TotalTime>
  <ScaleCrop>false</ScaleCrop>
  <LinksUpToDate>false</LinksUpToDate>
  <CharactersWithSpaces>2064</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张永鑫</cp:lastModifiedBy>
  <dcterms:modified xsi:type="dcterms:W3CDTF">2026-07-08T15:16:11Z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eyJoZGlkIjoiZjllMGE3OWM2M2E2NWZlNjE2MWE0YjU4ZGQyYzhiYTQiLCJ1c2VySWQiOiIxNDM5OTE1ODYyIn0=</vt:lpwstr>
  </property>
  <property fmtid="{D5CDD505-2E9C-101B-9397-08002B2CF9AE}" pid="3" name="KSOProductBuildVer">
    <vt:lpwstr>2052-12.1.0.26375</vt:lpwstr>
  </property>
  <property fmtid="{D5CDD505-2E9C-101B-9397-08002B2CF9AE}" pid="4" name="ICV">
    <vt:lpwstr>4865167FBBCD4FAD97EE2A20B58296BF_12</vt:lpwstr>
  </property>
</Properties>
</file>