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C9A84C"/>
          <w:sz w:val="20"/>
          <w:szCs w:val="20"/>
        </w:rPr>
        <w:t xml:space="preserve">BOURSE DE CASABLANCA</w:t>
      </w:r>
    </w:p>
    <w:p>
      <w:pPr>
        <w:spacing w:before="0" w:after="80"/>
        <w:jc w:val="center"/>
      </w:pPr>
      <w:r>
        <w:rPr>
          <w:rFonts w:ascii="Arial" w:cs="Arial" w:eastAsia="Arial" w:hAnsi="Arial"/>
          <w:color w:val="999999"/>
          <w:sz w:val="18"/>
          <w:szCs w:val="18"/>
        </w:rPr>
        <w:t xml:space="preserve">Rapport d'Analyse Quantitative</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9A84C" w:sz="16"/>
              <w:left w:val="single" w:color="C9A84C" w:sz="6"/>
              <w:bottom w:val="single" w:color="C9A84C" w:sz="16"/>
              <w:right w:val="single" w:color="C9A84C" w:sz="6"/>
            </w:tcBorders>
            <w:shd w:fill="1A3A5C" w:val="clear"/>
            <w:tcMar>
              <w:top w:type="dxa" w:w="400"/>
              <w:left w:type="dxa" w:w="400"/>
              <w:bottom w:type="dxa" w:w="400"/>
              <w:right w:type="dxa" w:w="400"/>
            </w:tcMar>
          </w:tcPr>
          <w:p>
            <w:pPr>
              <w:spacing w:before="200" w:after="200"/>
              <w:jc w:val="center"/>
            </w:pPr>
            <w:r>
              <w:rPr>
                <w:rFonts w:ascii="Arial" w:cs="Arial" w:eastAsia="Arial" w:hAnsi="Arial"/>
                <w:b/>
                <w:bCs/>
                <w:color w:val="FFFFFF"/>
                <w:sz w:val="52"/>
                <w:szCs w:val="52"/>
              </w:rPr>
              <w:t xml:space="preserve">PRÉDICTION DE LA VOLATILITÉ</w:t>
            </w:r>
          </w:p>
          <w:p>
            <w:pPr>
              <w:spacing w:before="0" w:after="200"/>
              <w:jc w:val="center"/>
            </w:pPr>
            <w:r>
              <w:rPr>
                <w:rFonts w:ascii="Arial" w:cs="Arial" w:eastAsia="Arial" w:hAnsi="Arial"/>
                <w:b/>
                <w:bCs/>
                <w:color w:val="C9A84C"/>
                <w:sz w:val="52"/>
                <w:szCs w:val="52"/>
              </w:rPr>
              <w:t xml:space="preserve">DES ACTIONS COTÉES</w:t>
            </w:r>
          </w:p>
          <w:p>
            <w:pPr>
              <w:spacing w:before="80" w:after="160"/>
              <w:jc w:val="center"/>
            </w:pPr>
            <w:r>
              <w:rPr>
                <w:rFonts w:ascii="Arial" w:cs="Arial" w:eastAsia="Arial" w:hAnsi="Arial"/>
                <w:color w:val="AAAAAA"/>
                <w:sz w:val="26"/>
                <w:szCs w:val="26"/>
              </w:rPr>
              <w:t xml:space="preserve">Variable cible : Volatilité Réalisée sur 30 Jours</w:t>
            </w:r>
          </w:p>
        </w:tc>
      </w:tr>
    </w:tbl>
    <w:p>
      <w:pPr>
        <w:spacing w:before="80" w:after="80"/>
      </w:pPr>
      <w:r>
        <w:t xml:space="preserve"/>
      </w:r>
    </w:p>
    <w:p>
      <w:pPr>
        <w:spacing w:before="80" w:after="40"/>
        <w:jc w:val="center"/>
      </w:pPr>
      <w:r>
        <w:rPr>
          <w:rFonts w:ascii="Arial" w:cs="Arial" w:eastAsia="Arial" w:hAnsi="Arial"/>
          <w:color w:val="C9A84C"/>
          <w:sz w:val="20"/>
          <w:szCs w:val="20"/>
        </w:rPr>
        <w:t xml:space="preserve">Feature Engineering Temporel  •  Gestion de Portefeuille  •  Risque de Marché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70"/>
        <w:gridCol w:w="3168"/>
      </w:tblGrid>
      <w:tr>
        <w:tc>
          <w:tcPr>
            <w:tcW w:type="dxa" w:w="3168"/>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Destinataires</w:t>
            </w:r>
          </w:p>
          <w:p>
            <w:pPr>
              <w:jc w:val="center"/>
            </w:pPr>
            <w:r>
              <w:rPr>
                <w:rFonts w:ascii="Arial" w:cs="Arial" w:eastAsia="Arial" w:hAnsi="Arial"/>
                <w:sz w:val="19"/>
                <w:szCs w:val="19"/>
              </w:rPr>
              <w:t xml:space="preserve">Data Scientists, Analystes, Gérants</w:t>
            </w:r>
          </w:p>
        </w:tc>
        <w:tc>
          <w:tcPr>
            <w:tcW w:type="dxa" w:w="317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Source des Données</w:t>
            </w:r>
          </w:p>
          <w:p>
            <w:pPr>
              <w:jc w:val="center"/>
            </w:pPr>
            <w:r>
              <w:rPr>
                <w:rFonts w:ascii="Arial" w:cs="Arial" w:eastAsia="Arial" w:hAnsi="Arial"/>
                <w:sz w:val="19"/>
                <w:szCs w:val="19"/>
              </w:rPr>
              <w:t xml:space="preserve">Bourse de Casablanca (BVC)</w:t>
            </w:r>
          </w:p>
        </w:tc>
        <w:tc>
          <w:tcPr>
            <w:tcW w:type="dxa" w:w="3168"/>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Horizon Prédictif</w:t>
            </w:r>
          </w:p>
          <w:p>
            <w:pPr>
              <w:jc w:val="center"/>
            </w:pPr>
            <w:r>
              <w:rPr>
                <w:rFonts w:ascii="Arial" w:cs="Arial" w:eastAsia="Arial" w:hAnsi="Arial"/>
                <w:sz w:val="19"/>
                <w:szCs w:val="19"/>
              </w:rPr>
              <w:t xml:space="preserve">30 jours calendaires</w:t>
            </w:r>
          </w:p>
        </w:tc>
      </w:tr>
    </w:tbl>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Résumé Exécutif</w:t>
      </w:r>
    </w:p>
    <w:p>
      <w:pPr>
        <w:spacing w:before="80" w:after="80" w:line="320"/>
        <w:jc w:val="both"/>
      </w:pPr>
      <w:r>
        <w:rPr>
          <w:rFonts w:ascii="Arial" w:cs="Arial" w:eastAsia="Arial" w:hAnsi="Arial"/>
          <w:color w:val="2D2D2D"/>
          <w:sz w:val="22"/>
          <w:szCs w:val="22"/>
        </w:rPr>
        <w:t xml:space="preserve">Ce rapport présente une démarche complète de modélisation prédictive de la volatilité des actions cotées à la Bourse de Casablanca (BVC). La variable cible retenue est la volatilité réalisée sur une fenêtre glissante de 30 jours calendaires, mesure de référence en finance quantitative pour appréhender le risque de marché à court terme.</w:t>
      </w:r>
    </w:p>
    <w:p>
      <w:pPr>
        <w:spacing w:before="80" w:after="80"/>
      </w:pPr>
      <w:r>
        <w:t xml:space="preserve"/>
      </w:r>
    </w:p>
    <w:p>
      <w:pPr>
        <w:spacing w:before="80" w:after="80" w:line="320"/>
        <w:jc w:val="both"/>
      </w:pPr>
      <w:r>
        <w:rPr>
          <w:rFonts w:ascii="Arial" w:cs="Arial" w:eastAsia="Arial" w:hAnsi="Arial"/>
          <w:color w:val="2D2D2D"/>
          <w:sz w:val="22"/>
          <w:szCs w:val="22"/>
        </w:rPr>
        <w:t xml:space="preserve">L'objectif est double : d'une part pédagogique, en introduisant les notions fondamentales de la volatilité, du risque de marché et du feature engineering temporel ; d'autre part opérationnel, en fournissant un cadre méthodologique reproductible applicable à la gestion de portefeuille et au contrôle des risques.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A3A5C"/>
                <w:sz w:val="22"/>
                <w:szCs w:val="22"/>
              </w:rPr>
              <w:t xml:space="preserve">Points clés du rapport</w:t>
            </w:r>
          </w:p>
          <w:p>
            <w:r>
              <w:rPr>
                <w:rFonts w:ascii="Arial" w:cs="Arial" w:eastAsia="Arial" w:hAnsi="Arial"/>
                <w:color w:val="2D2D2D"/>
                <w:sz w:val="21"/>
                <w:szCs w:val="21"/>
              </w:rPr>
              <w:t xml:space="preserve">• Construction de la variable cible (volatilité réalisée 30J) à partir des données BVC  • Feature engineering avancé sur séries temporelles financières  • Modélisation comparative (GARCH, Random Forest, LSTM)  • Application directe en gestion de portefeuille et surveillance des risques</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I — Contexte &amp; Enjeux Pédagogiques</w:t>
      </w:r>
    </w:p>
    <w:p>
      <w:pPr>
        <w:pStyle w:val="Heading2"/>
        <w:spacing w:before="280" w:after="120"/>
      </w:pPr>
      <w:r>
        <w:rPr>
          <w:rFonts w:ascii="Arial" w:cs="Arial" w:eastAsia="Arial" w:hAnsi="Arial"/>
          <w:b/>
          <w:bCs/>
          <w:color w:val="2E75B6"/>
          <w:sz w:val="26"/>
          <w:szCs w:val="26"/>
        </w:rPr>
        <w:t xml:space="preserve">1.1  La Bourse de Casablanca : panorama des données</w:t>
      </w:r>
    </w:p>
    <w:p>
      <w:pPr>
        <w:spacing w:before="80" w:after="80" w:line="320"/>
        <w:jc w:val="both"/>
      </w:pPr>
      <w:r>
        <w:rPr>
          <w:rFonts w:ascii="Arial" w:cs="Arial" w:eastAsia="Arial" w:hAnsi="Arial"/>
          <w:color w:val="2D2D2D"/>
          <w:sz w:val="22"/>
          <w:szCs w:val="22"/>
        </w:rPr>
        <w:t xml:space="preserve">La Bourse de Casablanca (BVC), créée en 1929 et réformée en 1993, est la principale place boursière d'Afrique francophone. Elle regroupe aujourd'hui plus de 70 sociétés cotées réparties dans les secteurs des télécommunications, des banques, des matériaux de construction, de l'immobilier et de l'agroalimentaire.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Indice / Secteur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Exemples de Titres</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Capitalisation</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Liquidité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MASI (All Shares)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Attijariwafa, Maroc Telecom, CIH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~700 Mds MAD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Élevée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MADEX (20 titres)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IAM, BCP, Lafarge Maroc</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~550 Mds MAD</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Très élevée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Banques &amp; Assurances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Attijariwafa, BMCE, Wafa Assurance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 Mds MAD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Élevée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Matériaux &amp; Bâtiment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LafargeHolcim, CimMorocco</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~120 Mds MAD</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Modérée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Télécommunications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Maroc Telecom (IAM)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~150 Mds MAD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Élevée</w:t>
            </w:r>
          </w:p>
        </w:tc>
      </w:tr>
    </w:tbl>
    <w:p>
      <w:pPr>
        <w:spacing w:before="80" w:after="80"/>
      </w:pPr>
      <w:r>
        <w:t xml:space="preserve"/>
      </w:r>
    </w:p>
    <w:p>
      <w:pPr>
        <w:spacing w:before="80" w:after="80" w:line="320"/>
        <w:jc w:val="both"/>
      </w:pPr>
      <w:r>
        <w:rPr>
          <w:rFonts w:ascii="Arial" w:cs="Arial" w:eastAsia="Arial" w:hAnsi="Arial"/>
          <w:color w:val="2D2D2D"/>
          <w:sz w:val="22"/>
          <w:szCs w:val="22"/>
        </w:rPr>
        <w:t xml:space="preserve">Les données disponibles comprennent les cours de clôture ajustés (dividendes et splits), les volumes échangés, les cours bid/ask, ainsi que les indices sectoriels. La fréquence principale est journalière, avec des historiques remontant pour certains titres à plus de 20 ans.</w:t>
      </w:r>
    </w:p>
    <w:p>
      <w:pPr>
        <w:pStyle w:val="Heading2"/>
        <w:spacing w:before="280" w:after="120"/>
      </w:pPr>
      <w:r>
        <w:rPr>
          <w:rFonts w:ascii="Arial" w:cs="Arial" w:eastAsia="Arial" w:hAnsi="Arial"/>
          <w:b/>
          <w:bCs/>
          <w:color w:val="2E75B6"/>
          <w:sz w:val="26"/>
          <w:szCs w:val="26"/>
        </w:rPr>
        <w:t xml:space="preserve">1.2  Pourquoi prédire la volatilité ? Enjeux pédagogiques</w:t>
      </w:r>
    </w:p>
    <w:p>
      <w:pPr>
        <w:spacing w:before="80" w:after="80" w:line="320"/>
        <w:jc w:val="both"/>
      </w:pPr>
      <w:r>
        <w:rPr>
          <w:rFonts w:ascii="Arial" w:cs="Arial" w:eastAsia="Arial" w:hAnsi="Arial"/>
          <w:color w:val="2D2D2D"/>
          <w:sz w:val="22"/>
          <w:szCs w:val="22"/>
        </w:rPr>
        <w:t xml:space="preserve">La volatilité est au cœur de l'enseignement de la finance moderne. Son étude permet d'aborder simultanément plusieurs piliers fondamentaux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Apport pédagogique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Statistiques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Distributions de probabilité, moments statistiques, hétéroscédasticité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Séries temporelles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Stationnarité, autocorrélation, effets ARCH/GARCH, saisonnalité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Machine Learning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Feature engineering, validation croisée temporelle, régression, LSTM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Finance de marché</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Risque de marché, VaR, CVaR, théorie des portefeuilles de Markowitz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Gestion des risques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Stress testing, Value at Risk, limites de position, margining</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II — Notions de Risque de Marché</w:t>
      </w:r>
    </w:p>
    <w:p>
      <w:pPr>
        <w:pStyle w:val="Heading2"/>
        <w:spacing w:before="280" w:after="120"/>
      </w:pPr>
      <w:r>
        <w:rPr>
          <w:rFonts w:ascii="Arial" w:cs="Arial" w:eastAsia="Arial" w:hAnsi="Arial"/>
          <w:b/>
          <w:bCs/>
          <w:color w:val="2E75B6"/>
          <w:sz w:val="26"/>
          <w:szCs w:val="26"/>
        </w:rPr>
        <w:t xml:space="preserve">2.1  Définition et taxonomie du risque de marché</w:t>
      </w:r>
    </w:p>
    <w:p>
      <w:pPr>
        <w:spacing w:before="80" w:after="80" w:line="320"/>
        <w:jc w:val="both"/>
      </w:pPr>
      <w:r>
        <w:rPr>
          <w:rFonts w:ascii="Arial" w:cs="Arial" w:eastAsia="Arial" w:hAnsi="Arial"/>
          <w:color w:val="2D2D2D"/>
          <w:sz w:val="22"/>
          <w:szCs w:val="22"/>
        </w:rPr>
        <w:t xml:space="preserve">Le risque de marché désigne la perte potentielle résultant d'une variation défavorable des prix de marché : actions, taux d'intérêt, devises ou matières premières. Pour un investisseur exposé aux actions de la BVC, ce risque se matérialise principalement par la volatilité des cours.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Risque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associée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Risque de prix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Variation des cours boursiers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réalisée, Bêta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Risque de liquidité</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Absence de contrepartie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Bid-ask spread,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Risque de corrélation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Co-mouvement entre actifs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Matrice de corrélation, DCC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Risque systémique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Effets de contagion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SRISK, CoVaR, 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Risque de modèle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Inadéquation du modèle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Backtesting P&amp;L, Kupiec test</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2.2  La volatilité réalisée : définition formelle</w:t>
      </w:r>
    </w:p>
    <w:p>
      <w:pPr>
        <w:spacing w:before="80" w:after="80" w:line="320"/>
        <w:jc w:val="both"/>
      </w:pPr>
      <w:r>
        <w:rPr>
          <w:rFonts w:ascii="Arial" w:cs="Arial" w:eastAsia="Arial" w:hAnsi="Arial"/>
          <w:color w:val="2D2D2D"/>
          <w:sz w:val="22"/>
          <w:szCs w:val="22"/>
        </w:rPr>
        <w:t xml:space="preserve">La volatilité réalisée sur 30 jours est calculée à partir des rendements logarithmiques journaliers. Soit P(t) le cours de clôture ajusté du titre à la date t. Le rendement logarithmique journalier est défini par :</w:t>
      </w:r>
    </w:p>
    <w:p>
      <w:pPr>
        <w:spacing w:before="80" w:after="80"/>
      </w:pPr>
      <w:r>
        <w:t xml:space="preserve"/>
      </w:r>
    </w:p>
    <w:p>
      <w:pPr>
        <w:spacing w:before="100" w:after="100"/>
        <w:jc w:val="center"/>
      </w:pPr>
      <w:r>
        <w:rPr>
          <w:rFonts w:ascii="Courier New" w:cs="Courier New" w:eastAsia="Courier New" w:hAnsi="Courier New"/>
          <w:b/>
          <w:bCs/>
          <w:color w:val="1A3A5C"/>
          <w:sz w:val="26"/>
          <w:szCs w:val="26"/>
        </w:rPr>
        <w:t xml:space="preserve">r(t) = ln [ P(t) / P(t-1) ]</w:t>
      </w:r>
    </w:p>
    <w:p>
      <w:pPr>
        <w:spacing w:before="80" w:after="80"/>
      </w:pPr>
      <w:r>
        <w:t xml:space="preserve"/>
      </w:r>
    </w:p>
    <w:p>
      <w:pPr>
        <w:spacing w:before="80" w:after="80" w:line="320"/>
        <w:jc w:val="both"/>
      </w:pPr>
      <w:r>
        <w:rPr>
          <w:rFonts w:ascii="Arial" w:cs="Arial" w:eastAsia="Arial" w:hAnsi="Arial"/>
          <w:color w:val="2D2D2D"/>
          <w:sz w:val="22"/>
          <w:szCs w:val="22"/>
        </w:rPr>
        <w:t xml:space="preserve">La volatilité réalisée sur une fenêtre glissante de N = 22 jours ouvrables (≈ 30 jours calendaires) est alors :</w:t>
      </w:r>
    </w:p>
    <w:p>
      <w:pPr>
        <w:spacing w:before="80" w:after="80"/>
      </w:pPr>
      <w:r>
        <w:t xml:space="preserve"/>
      </w:r>
    </w:p>
    <w:p>
      <w:pPr>
        <w:spacing w:before="100" w:after="100"/>
        <w:jc w:val="center"/>
      </w:pPr>
      <w:r>
        <w:rPr>
          <w:rFonts w:ascii="Courier New" w:cs="Courier New" w:eastAsia="Courier New" w:hAnsi="Courier New"/>
          <w:b/>
          <w:bCs/>
          <w:color w:val="1A3A5C"/>
          <w:sz w:val="26"/>
          <w:szCs w:val="26"/>
        </w:rPr>
        <w:t xml:space="preserve">RV(t, N) = √( (252/N) × Σᵢ₌₁ᴺ r²(t−i+1) )</w:t>
      </w:r>
    </w:p>
    <w:p>
      <w:pPr>
        <w:spacing w:before="80" w:after="80"/>
      </w:pPr>
      <w:r>
        <w:t xml:space="preserve"/>
      </w:r>
    </w:p>
    <w:p>
      <w:pPr>
        <w:spacing w:before="80" w:after="80" w:line="320"/>
        <w:jc w:val="both"/>
      </w:pPr>
      <w:r>
        <w:rPr>
          <w:rFonts w:ascii="Arial" w:cs="Arial" w:eastAsia="Arial" w:hAnsi="Arial"/>
          <w:color w:val="2D2D2D"/>
          <w:sz w:val="22"/>
          <w:szCs w:val="22"/>
        </w:rPr>
        <w:t xml:space="preserve">Le facteur 252 correspond au nombre de jours de bourse annuels conventionnels, permettant d'exprimer la volatilité en base annuelle. Cette normalisation est indispensable pour la comparaison inter-actifs et inter-marchés.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A3A5C"/>
                <w:sz w:val="22"/>
                <w:szCs w:val="22"/>
              </w:rPr>
              <w:t xml:space="preserve">Remarque pédagogique — Choix de la fenêtre 30 jours</w:t>
            </w:r>
          </w:p>
          <w:p>
            <w:r>
              <w:rPr>
                <w:rFonts w:ascii="Arial" w:cs="Arial" w:eastAsia="Arial" w:hAnsi="Arial"/>
                <w:color w:val="2D2D2D"/>
                <w:sz w:val="21"/>
                <w:szCs w:val="21"/>
              </w:rPr>
              <w:t xml:space="preserve">La fenêtre de 30 jours représente un compromis optimal : assez longue pour lisser le bruit microstructural, assez courte pour capter les régimes de volatilité changeants. Elle est également cohérente avec les pratiques réglementaires (Bâle III utilise des fenêtres similaires pour le calcul de la VaR).</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2.3  Propriétés empiriques de la volatilité (Stylized Facts)</w:t>
      </w:r>
    </w:p>
    <w:p>
      <w:pPr>
        <w:spacing w:before="80" w:after="80" w:line="320"/>
        <w:jc w:val="both"/>
      </w:pPr>
      <w:r>
        <w:rPr>
          <w:rFonts w:ascii="Arial" w:cs="Arial" w:eastAsia="Arial" w:hAnsi="Arial"/>
          <w:color w:val="2D2D2D"/>
          <w:sz w:val="22"/>
          <w:szCs w:val="22"/>
        </w:rPr>
        <w:t xml:space="preserve">Les séries de volatilité réalisée présentent des propriétés empiriques universelles, observables sur les titres BVC comme sur l'ensemble des marchés développés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Clustering de volatilité : les périodes de forte volatilité se regroupent (l'agitation appelle l'agitation), formellement capturé par le modèle GARCH.</w:t>
      </w:r>
    </w:p>
    <w:p>
      <w:pPr>
        <w:pStyle w:val="ListParagraph"/>
        <w:numPr>
          <w:ilvl w:val="0"/>
          <w:numId w:val="2"/>
        </w:numPr>
        <w:spacing w:before="60" w:after="60"/>
      </w:pPr>
      <w:r>
        <w:rPr>
          <w:rFonts w:ascii="Arial" w:cs="Arial" w:eastAsia="Arial" w:hAnsi="Arial"/>
          <w:color w:val="2D2D2D"/>
          <w:sz w:val="22"/>
          <w:szCs w:val="22"/>
        </w:rPr>
        <w:t xml:space="preserve">Asymétrie (Leverage Effect) : les baisses de cours génèrent plus de volatilité que les hausses de même amplitude — phénomène particulièrement marqué sur les valeurs financières marocaines.</w:t>
      </w:r>
    </w:p>
    <w:p>
      <w:pPr>
        <w:pStyle w:val="ListParagraph"/>
        <w:numPr>
          <w:ilvl w:val="0"/>
          <w:numId w:val="2"/>
        </w:numPr>
        <w:spacing w:before="60" w:after="60"/>
      </w:pPr>
      <w:r>
        <w:rPr>
          <w:rFonts w:ascii="Arial" w:cs="Arial" w:eastAsia="Arial" w:hAnsi="Arial"/>
          <w:color w:val="2D2D2D"/>
          <w:sz w:val="22"/>
          <w:szCs w:val="22"/>
        </w:rPr>
        <w:t xml:space="preserve">Mean-reversion : la volatilité tend à revenir vers sa moyenne de long terme, propriété exploitable pour la prévision.</w:t>
      </w:r>
    </w:p>
    <w:p>
      <w:pPr>
        <w:pStyle w:val="ListParagraph"/>
        <w:numPr>
          <w:ilvl w:val="0"/>
          <w:numId w:val="2"/>
        </w:numPr>
        <w:spacing w:before="60" w:after="60"/>
      </w:pPr>
      <w:r>
        <w:rPr>
          <w:rFonts w:ascii="Arial" w:cs="Arial" w:eastAsia="Arial" w:hAnsi="Arial"/>
          <w:color w:val="2D2D2D"/>
          <w:sz w:val="22"/>
          <w:szCs w:val="22"/>
        </w:rPr>
        <w:t xml:space="preserve">Persistance de longue mémoire : l'autocorrélation de la volatilité réalisée décroît lentement (modèles FIGARCH, HAR).</w:t>
      </w:r>
    </w:p>
    <w:p>
      <w:pPr>
        <w:pStyle w:val="ListParagraph"/>
        <w:numPr>
          <w:ilvl w:val="0"/>
          <w:numId w:val="2"/>
        </w:numPr>
        <w:spacing w:before="60" w:after="60"/>
      </w:pPr>
      <w:r>
        <w:rPr>
          <w:rFonts w:ascii="Arial" w:cs="Arial" w:eastAsia="Arial" w:hAnsi="Arial"/>
          <w:color w:val="2D2D2D"/>
          <w:sz w:val="22"/>
          <w:szCs w:val="22"/>
        </w:rPr>
        <w:t xml:space="preserve">Distribution à queue épaisse : les rendements boursiers suivent une distribution leptokurtique, non-gaussienne (Kurtosis &gt; 3).</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2.4  Mesures de risque dérivées de la volatilité</w:t>
      </w:r>
    </w:p>
    <w:p>
      <w:pPr>
        <w:spacing w:before="80" w:after="80" w:line="320"/>
        <w:jc w:val="both"/>
      </w:pPr>
      <w:r>
        <w:rPr>
          <w:rFonts w:ascii="Arial" w:cs="Arial" w:eastAsia="Arial" w:hAnsi="Arial"/>
          <w:color w:val="2D2D2D"/>
          <w:sz w:val="22"/>
          <w:szCs w:val="22"/>
        </w:rPr>
        <w:t xml:space="preserve">La prévision de la volatilité constitue un input fondamental pour le calcul de plusieurs mesures de risque réglementaires et internes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 (99%)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Perte max sur 1 jour, non dépassée avec 99% de prob.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Exigences réglementaires Bâle III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CVaR / 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Espérance de perte au-delà de la VaR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FRTB, gestion interne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Tracking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Écart-type des rendements actif vs benchmark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Gestion indicielle &amp; active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Beta ajusté</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Sensibilité au marché en période de stress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Construction de portefeuille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Sharpe 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Rendement/Volatilité ajusté du taux sans risque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Évaluation de performance</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III — Feature Engineering Temporel</w:t>
      </w:r>
    </w:p>
    <w:p>
      <w:pPr>
        <w:pStyle w:val="Heading2"/>
        <w:spacing w:before="280" w:after="120"/>
      </w:pPr>
      <w:r>
        <w:rPr>
          <w:rFonts w:ascii="Arial" w:cs="Arial" w:eastAsia="Arial" w:hAnsi="Arial"/>
          <w:b/>
          <w:bCs/>
          <w:color w:val="2E75B6"/>
          <w:sz w:val="26"/>
          <w:szCs w:val="26"/>
        </w:rPr>
        <w:t xml:space="preserve">3.1  Philosophie du feature engineering sur données financières</w:t>
      </w:r>
    </w:p>
    <w:p>
      <w:pPr>
        <w:spacing w:before="80" w:after="80" w:line="320"/>
        <w:jc w:val="both"/>
      </w:pPr>
      <w:r>
        <w:rPr>
          <w:rFonts w:ascii="Arial" w:cs="Arial" w:eastAsia="Arial" w:hAnsi="Arial"/>
          <w:color w:val="2D2D2D"/>
          <w:sz w:val="22"/>
          <w:szCs w:val="22"/>
        </w:rPr>
        <w:t xml:space="preserve">Le feature engineering est l'art de transformer les données brutes en variables explicatives (features) porteuses d'information prédictive. Sur des séries temporelles financières, cette étape est particulièrement critique : un modèle sophisticated avec de mauvais features sera systématiquement surpassé par un modèle simple avec de bons features.</w:t>
      </w:r>
    </w:p>
    <w:p>
      <w:pPr>
        <w:spacing w:before="80" w:after="80"/>
      </w:pPr>
      <w:r>
        <w:t xml:space="preserve"/>
      </w:r>
    </w:p>
    <w:p>
      <w:pPr>
        <w:spacing w:before="80" w:after="80" w:line="320"/>
        <w:jc w:val="both"/>
      </w:pPr>
      <w:r>
        <w:rPr>
          <w:rFonts w:ascii="Arial" w:cs="Arial" w:eastAsia="Arial" w:hAnsi="Arial"/>
          <w:color w:val="2D2D2D"/>
          <w:sz w:val="22"/>
          <w:szCs w:val="22"/>
        </w:rPr>
        <w:t xml:space="preserve">La règle fondamentale est l'absence de fuite de données (data leakage) : toute feature calculée à la date t ne doit utiliser que des informations disponibles à t, jamais des informations futures. Dans un contexte boursier, cela signifie utiliser exclusivement des données de clôture, et calculer les fenêtres glissantes avec un décalage (lag) approprié.</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3.2  Construction de la variable cible</w:t>
      </w:r>
    </w:p>
    <w:p>
      <w:pPr>
        <w:spacing w:before="80" w:after="80" w:line="320"/>
        <w:jc w:val="both"/>
      </w:pPr>
      <w:r>
        <w:rPr>
          <w:rFonts w:ascii="Arial" w:cs="Arial" w:eastAsia="Arial" w:hAnsi="Arial"/>
          <w:color w:val="2D2D2D"/>
          <w:sz w:val="22"/>
          <w:szCs w:val="22"/>
        </w:rPr>
        <w:t xml:space="preserve">Avant de construire les features, il est essentiel de définir précisément la cible. Deux formulations sont possibles selon l'horizon de prédiction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recommandé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RV(t, 22) — historique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des 22 derniers jours depuis 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Features / explication du passé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RV(t+22, 22) — forward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Volatilité des 22 prochains jours depuis 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Variable CIBLE de prédiction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log(RV) transformée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Logarithme de la vol. réalisée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Normalisation, meilleure régression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3.3  Catalogue de features temporels</w:t>
      </w:r>
    </w:p>
    <w:p>
      <w:pPr>
        <w:pStyle w:val="Heading3"/>
        <w:spacing w:before="200" w:after="100"/>
      </w:pPr>
      <w:r>
        <w:rPr>
          <w:rFonts w:ascii="Arial" w:cs="Arial" w:eastAsia="Arial" w:hAnsi="Arial"/>
          <w:b/>
          <w:bCs/>
          <w:color w:val="C9A84C"/>
          <w:sz w:val="24"/>
          <w:szCs w:val="24"/>
        </w:rPr>
        <w:t xml:space="preserve">3.3.1  Features de volatilité historique (endogènes)</w:t>
      </w:r>
    </w:p>
    <w:p>
      <w:pPr>
        <w:spacing w:before="80" w:after="80" w:line="320"/>
        <w:jc w:val="both"/>
      </w:pPr>
      <w:r>
        <w:rPr>
          <w:rFonts w:ascii="Arial" w:cs="Arial" w:eastAsia="Arial" w:hAnsi="Arial"/>
          <w:color w:val="2D2D2D"/>
          <w:sz w:val="22"/>
          <w:szCs w:val="22"/>
        </w:rPr>
        <w:t xml:space="preserve">Ces features capturent la mémoire de la série de volatilité elle-même, exploitant les propriétés de clustering et de persistance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 / 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 capturée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RV_5d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réalisée sur 5 jours (1 semaine)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Tendance court terme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RV_22d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Volatilité réalisée sur 22 jours (1 mois)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Tendance mensuelle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RV_66d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réalisée sur 66 jours (3 mois)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Tendance trimestrielle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RV_ratio_5_22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RV_5d / RV_22d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Accélération de la volatilité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RV_lag_1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RV_22d décalée de 1 jour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Effet d'inertie AR(1)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RV_lag_5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RV_22d décalée de 5 jours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Dépendance hebdomadaire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RV_expanding_mean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Moyenne historique depuis le début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Niveau de long terme (μ)</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RV_z_score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 - μ_252) / σ_252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Anomalie de volatilité</w:t>
            </w:r>
          </w:p>
        </w:tc>
      </w:tr>
    </w:tbl>
    <w:p>
      <w:pPr>
        <w:spacing w:before="80" w:after="80"/>
      </w:pPr>
      <w:r>
        <w:t xml:space="preserve"/>
      </w:r>
    </w:p>
    <w:p>
      <w:pPr>
        <w:pStyle w:val="Heading3"/>
        <w:spacing w:before="200" w:after="100"/>
      </w:pPr>
      <w:r>
        <w:rPr>
          <w:rFonts w:ascii="Arial" w:cs="Arial" w:eastAsia="Arial" w:hAnsi="Arial"/>
          <w:b/>
          <w:bCs/>
          <w:color w:val="C9A84C"/>
          <w:sz w:val="24"/>
          <w:szCs w:val="24"/>
        </w:rPr>
        <w:t xml:space="preserve">3.3.2  Features de rendement et microstructure</w:t>
      </w:r>
    </w:p>
    <w:p>
      <w:pPr>
        <w:spacing w:before="80" w:after="80" w:line="320"/>
        <w:jc w:val="both"/>
      </w:pPr>
      <w:r>
        <w:rPr>
          <w:rFonts w:ascii="Arial" w:cs="Arial" w:eastAsia="Arial" w:hAnsi="Arial"/>
          <w:color w:val="2D2D2D"/>
          <w:sz w:val="22"/>
          <w:szCs w:val="22"/>
        </w:rPr>
        <w:t xml:space="preserve">Les caractéristiques des rendements et la microstructure du marché (volumes, spread) enrichissent considérablement le pouvoir prédictif du modèle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Rendements absolus (|r(t)|) : proxy direct de la volatilité instantanée, très corrélé avec la volatilité future.</w:t>
      </w:r>
    </w:p>
    <w:p>
      <w:pPr>
        <w:pStyle w:val="ListParagraph"/>
        <w:numPr>
          <w:ilvl w:val="0"/>
          <w:numId w:val="2"/>
        </w:numPr>
        <w:spacing w:before="60" w:after="60"/>
      </w:pPr>
      <w:r>
        <w:rPr>
          <w:rFonts w:ascii="Arial" w:cs="Arial" w:eastAsia="Arial" w:hAnsi="Arial"/>
          <w:color w:val="2D2D2D"/>
          <w:sz w:val="22"/>
          <w:szCs w:val="22"/>
        </w:rPr>
        <w:t xml:space="preserve">Rendements au carré (r²(t)) : mesure de la variance réalisée sur 1 jour, building block de la volatilité réalisée.</w:t>
      </w:r>
    </w:p>
    <w:p>
      <w:pPr>
        <w:pStyle w:val="ListParagraph"/>
        <w:numPr>
          <w:ilvl w:val="0"/>
          <w:numId w:val="2"/>
        </w:numPr>
        <w:spacing w:before="60" w:after="60"/>
      </w:pPr>
      <w:r>
        <w:rPr>
          <w:rFonts w:ascii="Arial" w:cs="Arial" w:eastAsia="Arial" w:hAnsi="Arial"/>
          <w:color w:val="2D2D2D"/>
          <w:sz w:val="22"/>
          <w:szCs w:val="22"/>
        </w:rPr>
        <w:t xml:space="preserve">Return positif / négatif (effet levier) : séparation des rendements positifs et négatifs pour capturer l'asymétrie.</w:t>
      </w:r>
    </w:p>
    <w:p>
      <w:pPr>
        <w:pStyle w:val="ListParagraph"/>
        <w:numPr>
          <w:ilvl w:val="0"/>
          <w:numId w:val="2"/>
        </w:numPr>
        <w:spacing w:before="60" w:after="60"/>
      </w:pPr>
      <w:r>
        <w:rPr>
          <w:rFonts w:ascii="Arial" w:cs="Arial" w:eastAsia="Arial" w:hAnsi="Arial"/>
          <w:color w:val="2D2D2D"/>
          <w:sz w:val="22"/>
          <w:szCs w:val="22"/>
        </w:rPr>
        <w:t xml:space="preserve">Volume normalisé (V(t) / V_bar_20) : l'activité de trading est un prédicteur avancé de la volatilité future.</w:t>
      </w:r>
    </w:p>
    <w:p>
      <w:pPr>
        <w:pStyle w:val="ListParagraph"/>
        <w:numPr>
          <w:ilvl w:val="0"/>
          <w:numId w:val="2"/>
        </w:numPr>
        <w:spacing w:before="60" w:after="60"/>
      </w:pPr>
      <w:r>
        <w:rPr>
          <w:rFonts w:ascii="Arial" w:cs="Arial" w:eastAsia="Arial" w:hAnsi="Arial"/>
          <w:color w:val="2D2D2D"/>
          <w:sz w:val="22"/>
          <w:szCs w:val="22"/>
        </w:rPr>
        <w:t xml:space="preserve">Turnover ratio : volume × cours / capitalisation, mesure de liquidité relative.</w:t>
      </w:r>
    </w:p>
    <w:p>
      <w:pPr>
        <w:pStyle w:val="ListParagraph"/>
        <w:numPr>
          <w:ilvl w:val="0"/>
          <w:numId w:val="2"/>
        </w:numPr>
        <w:spacing w:before="60" w:after="60"/>
      </w:pPr>
      <w:r>
        <w:rPr>
          <w:rFonts w:ascii="Arial" w:cs="Arial" w:eastAsia="Arial" w:hAnsi="Arial"/>
          <w:color w:val="2D2D2D"/>
          <w:sz w:val="22"/>
          <w:szCs w:val="22"/>
        </w:rPr>
        <w:t xml:space="preserve">Range intraday (High-Low) / cours : estimateur de Parkinson, plus efficace que la volatilité clôture-à-clôture.</w:t>
      </w:r>
    </w:p>
    <w:p>
      <w:pPr>
        <w:spacing w:before="80" w:after="80"/>
      </w:pPr>
      <w:r>
        <w:t xml:space="preserve"/>
      </w:r>
    </w:p>
    <w:p>
      <w:pPr>
        <w:pStyle w:val="Heading3"/>
        <w:spacing w:before="200" w:after="100"/>
      </w:pPr>
      <w:r>
        <w:rPr>
          <w:rFonts w:ascii="Arial" w:cs="Arial" w:eastAsia="Arial" w:hAnsi="Arial"/>
          <w:b/>
          <w:bCs/>
          <w:color w:val="C9A84C"/>
          <w:sz w:val="24"/>
          <w:szCs w:val="24"/>
        </w:rPr>
        <w:t xml:space="preserve">3.3.3  Features temporels et calendaires</w:t>
      </w:r>
    </w:p>
    <w:p>
      <w:pPr>
        <w:spacing w:before="80" w:after="80" w:line="320"/>
        <w:jc w:val="both"/>
      </w:pPr>
      <w:r>
        <w:rPr>
          <w:rFonts w:ascii="Arial" w:cs="Arial" w:eastAsia="Arial" w:hAnsi="Arial"/>
          <w:color w:val="2D2D2D"/>
          <w:sz w:val="22"/>
          <w:szCs w:val="22"/>
        </w:rPr>
        <w:t xml:space="preserve">Les marchés boursiers présentent des régularités temporelles bien documentées (effets calendaires). Sur la BVC, ces effets sont amplifiés par des particularités locales (Ramadan, jours fériés marocains, clôture semestrielle des comptes bancaires)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calendaire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Encoding</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attendu sur BVC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Jour de la semaine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One-hot (lundi=0, ..., vendredi=4)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lundi &gt; autres jours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Mois de l'année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Sin/Cos encoding (cyclique)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Effets janvier, décembre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 de trimestre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Binaire (j-5 à j+5 fin trim.)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Rebalancement institutionnel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Période Ramadan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Binaire + jours restants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Baisse de liquidité, vol. réduite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Veille jour férié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Binaire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Volatilité asymétrique pré-fermeture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Saison des résultats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Binaire (fév-mars, juil-août)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Pics de volatilité idiosyncratique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A3A5C"/>
                <w:sz w:val="22"/>
                <w:szCs w:val="22"/>
              </w:rPr>
              <w:t xml:space="preserve">Note méthodologique — Encoding cyclique</w:t>
            </w:r>
          </w:p>
          <w:p>
            <w:r>
              <w:rPr>
                <w:rFonts w:ascii="Arial" w:cs="Arial" w:eastAsia="Arial" w:hAnsi="Arial"/>
                <w:color w:val="2D2D2D"/>
                <w:sz w:val="21"/>
                <w:szCs w:val="21"/>
              </w:rPr>
              <w:t xml:space="preserve">Pour les variables cycliques (mois, jour de semaine), il est crucial d'utiliser l'encodage sinus/cosinus plutôt que l'encodage ordinal. Par exemple, pour le mois m : feature_sin = sin(2π × m / 12) et feature_cos = cos(2π × m / 12). Cela préserve la continuité entre décembre et janvier, évitant l'artefact artificiel de distance maximale entre les deux mois consécutifs.</w:t>
            </w:r>
          </w:p>
        </w:tc>
      </w:tr>
    </w:tbl>
    <w:p>
      <w:pPr>
        <w:spacing w:before="80" w:after="80"/>
      </w:pPr>
      <w:r>
        <w:t xml:space="preserve"/>
      </w:r>
    </w:p>
    <w:p>
      <w:pPr>
        <w:pStyle w:val="Heading3"/>
        <w:spacing w:before="200" w:after="100"/>
      </w:pPr>
      <w:r>
        <w:rPr>
          <w:rFonts w:ascii="Arial" w:cs="Arial" w:eastAsia="Arial" w:hAnsi="Arial"/>
          <w:b/>
          <w:bCs/>
          <w:color w:val="C9A84C"/>
          <w:sz w:val="24"/>
          <w:szCs w:val="24"/>
        </w:rPr>
        <w:t xml:space="preserve">3.3.4  Features de contexte macro et de marché</w:t>
      </w:r>
    </w:p>
    <w:p>
      <w:pPr>
        <w:spacing w:before="80" w:after="80" w:line="320"/>
        <w:jc w:val="both"/>
      </w:pPr>
      <w:r>
        <w:rPr>
          <w:rFonts w:ascii="Arial" w:cs="Arial" w:eastAsia="Arial" w:hAnsi="Arial"/>
          <w:color w:val="2D2D2D"/>
          <w:sz w:val="22"/>
          <w:szCs w:val="22"/>
        </w:rPr>
        <w:t xml:space="preserve">Au-delà des données intrinsèques du titre, le contexte macroéconomique et l'environnement de marché influencent significativement la volatilité individuelle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Volatilité de l'indice MASI : la volatilité du marché global est le prédicteur systémique le plus puissant de la volatilité individuelle (Bêta).</w:t>
      </w:r>
    </w:p>
    <w:p>
      <w:pPr>
        <w:pStyle w:val="ListParagraph"/>
        <w:numPr>
          <w:ilvl w:val="0"/>
          <w:numId w:val="2"/>
        </w:numPr>
        <w:spacing w:before="60" w:after="60"/>
      </w:pPr>
      <w:r>
        <w:rPr>
          <w:rFonts w:ascii="Arial" w:cs="Arial" w:eastAsia="Arial" w:hAnsi="Arial"/>
          <w:color w:val="2D2D2D"/>
          <w:sz w:val="22"/>
          <w:szCs w:val="22"/>
        </w:rPr>
        <w:t xml:space="preserve">Corrélation glissante avec le MASI (corr_22d) : mesure du caractère systémique vs idiosyncratique du titre.</w:t>
      </w:r>
    </w:p>
    <w:p>
      <w:pPr>
        <w:pStyle w:val="ListParagraph"/>
        <w:numPr>
          <w:ilvl w:val="0"/>
          <w:numId w:val="2"/>
        </w:numPr>
        <w:spacing w:before="60" w:after="60"/>
      </w:pPr>
      <w:r>
        <w:rPr>
          <w:rFonts w:ascii="Arial" w:cs="Arial" w:eastAsia="Arial" w:hAnsi="Arial"/>
          <w:color w:val="2D2D2D"/>
          <w:sz w:val="22"/>
          <w:szCs w:val="22"/>
        </w:rPr>
        <w:t xml:space="preserve">VIX proxy BVC : indice de dispersion cross-sectionnel des rendements, proxy local de la peur du marché.</w:t>
      </w:r>
    </w:p>
    <w:p>
      <w:pPr>
        <w:pStyle w:val="ListParagraph"/>
        <w:numPr>
          <w:ilvl w:val="0"/>
          <w:numId w:val="2"/>
        </w:numPr>
        <w:spacing w:before="60" w:after="60"/>
      </w:pPr>
      <w:r>
        <w:rPr>
          <w:rFonts w:ascii="Arial" w:cs="Arial" w:eastAsia="Arial" w:hAnsi="Arial"/>
          <w:color w:val="2D2D2D"/>
          <w:sz w:val="22"/>
          <w:szCs w:val="22"/>
        </w:rPr>
        <w:t xml:space="preserve">Taux directeur Bank Al-Maghrib : impact sur le coût du capital et la valorisation des actions, notamment bancaires.</w:t>
      </w:r>
    </w:p>
    <w:p>
      <w:pPr>
        <w:pStyle w:val="ListParagraph"/>
        <w:numPr>
          <w:ilvl w:val="0"/>
          <w:numId w:val="2"/>
        </w:numPr>
        <w:spacing w:before="60" w:after="60"/>
      </w:pPr>
      <w:r>
        <w:rPr>
          <w:rFonts w:ascii="Arial" w:cs="Arial" w:eastAsia="Arial" w:hAnsi="Arial"/>
          <w:color w:val="2D2D2D"/>
          <w:sz w:val="22"/>
          <w:szCs w:val="22"/>
        </w:rPr>
        <w:t xml:space="preserve">Taux de change USD/MAD et EUR/MAD : pour les exportateurs (OCP, Maroc Telecom) et les importateurs.</w:t>
      </w:r>
    </w:p>
    <w:p>
      <w:pPr>
        <w:pStyle w:val="ListParagraph"/>
        <w:numPr>
          <w:ilvl w:val="0"/>
          <w:numId w:val="2"/>
        </w:numPr>
        <w:spacing w:before="60" w:after="60"/>
      </w:pPr>
      <w:r>
        <w:rPr>
          <w:rFonts w:ascii="Arial" w:cs="Arial" w:eastAsia="Arial" w:hAnsi="Arial"/>
          <w:color w:val="2D2D2D"/>
          <w:sz w:val="22"/>
          <w:szCs w:val="22"/>
        </w:rPr>
        <w:t xml:space="preserve">Prix du pétrole Brent : impact sur les secteurs transport, chimie (OCP) et sur l'inflation domestique.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3.4  Pipeline de feature engineering — Implémentation Python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r>
              <w:rPr>
                <w:rFonts w:ascii="Courier New" w:cs="Courier New" w:eastAsia="Courier New" w:hAnsi="Courier New"/>
                <w:color w:val="4EC9B0"/>
                <w:sz w:val="18"/>
                <w:szCs w:val="18"/>
              </w:rPr>
              <w:t xml:space="preserve">import pandas as pd</w:t>
            </w:r>
          </w:p>
          <w:p>
            <w:r>
              <w:rPr>
                <w:rFonts w:ascii="Courier New" w:cs="Courier New" w:eastAsia="Courier New" w:hAnsi="Courier New"/>
                <w:color w:val="4EC9B0"/>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color w:val="DCDCAA"/>
                <w:sz w:val="18"/>
                <w:szCs w:val="18"/>
              </w:rPr>
              <w:t xml:space="preserve">def build_features(df: pd.DataFrame) -&gt; pd.DataFrame:</w:t>
            </w:r>
          </w:p>
          <w:p>
            <w:r>
              <w:rPr>
                <w:rFonts w:ascii="Courier New" w:cs="Courier New" w:eastAsia="Courier New" w:hAnsi="Courier New"/>
                <w:color w:val="CE9178"/>
                <w:sz w:val="18"/>
                <w:szCs w:val="18"/>
              </w:rPr>
              <w:t xml:space="preserve">    """Construction des features temporels — données BVC"""</w:t>
            </w:r>
          </w:p>
          <w:p>
            <w:r>
              <w:rPr>
                <w:rFonts w:ascii="Courier New" w:cs="Courier New" w:eastAsia="Courier New" w:hAnsi="Courier New"/>
                <w:color w:val="D4D4D4"/>
                <w:sz w:val="18"/>
                <w:szCs w:val="18"/>
              </w:rPr>
              <w:t xml:space="preserve">    df = df.copy().sort_index()</w:t>
            </w:r>
          </w:p>
          <w:p>
            <w:r>
              <w:rPr>
                <w:rFonts w:ascii="Courier New" w:cs="Courier New" w:eastAsia="Courier New" w:hAnsi="Courier New"/>
                <w:color w:val="6A9955"/>
                <w:sz w:val="18"/>
                <w:szCs w:val="18"/>
              </w:rPr>
              <w:t xml:space="preserve">    # --- Rendements logarithmiques</w:t>
            </w:r>
          </w:p>
          <w:p>
            <w:r>
              <w:rPr>
                <w:rFonts w:ascii="Courier New" w:cs="Courier New" w:eastAsia="Courier New" w:hAnsi="Courier New"/>
                <w:color w:val="D4D4D4"/>
                <w:sz w:val="18"/>
                <w:szCs w:val="18"/>
              </w:rPr>
              <w:t xml:space="preserve">    df['ret'] = np.log(df['close'] / df['close'].shift(1))</w:t>
            </w:r>
          </w:p>
          <w:p>
            <w:r>
              <w:rPr>
                <w:rFonts w:ascii="Courier New" w:cs="Courier New" w:eastAsia="Courier New" w:hAnsi="Courier New"/>
                <w:color w:val="6A9955"/>
                <w:sz w:val="18"/>
                <w:szCs w:val="18"/>
              </w:rPr>
              <w:t xml:space="preserve">    # --- Volatilité réalisée multi-échelle (annualisée)</w:t>
            </w:r>
          </w:p>
          <w:p>
            <w:r>
              <w:rPr>
                <w:rFonts w:ascii="Courier New" w:cs="Courier New" w:eastAsia="Courier New" w:hAnsi="Courier New"/>
                <w:color w:val="D4D4D4"/>
                <w:sz w:val="18"/>
                <w:szCs w:val="18"/>
              </w:rPr>
              <w:t xml:space="preserve">    for w in [5, 22, 66]:</w:t>
            </w:r>
          </w:p>
          <w:p>
            <w:r>
              <w:rPr>
                <w:rFonts w:ascii="Courier New" w:cs="Courier New" w:eastAsia="Courier New" w:hAnsi="Courier New"/>
                <w:color w:val="D4D4D4"/>
                <w:sz w:val="18"/>
                <w:szCs w:val="18"/>
              </w:rPr>
              <w:t xml:space="preserve">        df[f'rv_{w}d'] = (df['ret']**2).rolling(w).mean().apply(</w:t>
            </w:r>
          </w:p>
          <w:p>
            <w:r>
              <w:rPr>
                <w:rFonts w:ascii="Courier New" w:cs="Courier New" w:eastAsia="Courier New" w:hAnsi="Courier New"/>
                <w:color w:val="D4D4D4"/>
                <w:sz w:val="18"/>
                <w:szCs w:val="18"/>
              </w:rPr>
              <w:t xml:space="preserve">            lambda x: np.sqrt(x * 252))</w:t>
            </w:r>
          </w:p>
          <w:p>
            <w:r>
              <w:rPr>
                <w:rFonts w:ascii="Courier New" w:cs="Courier New" w:eastAsia="Courier New" w:hAnsi="Courier New"/>
                <w:color w:val="6A9955"/>
                <w:sz w:val="18"/>
                <w:szCs w:val="18"/>
              </w:rPr>
              <w:t xml:space="preserve">    # --- Variable CIBLE : volatilité forward 22 jours</w:t>
            </w:r>
          </w:p>
          <w:p>
            <w:r>
              <w:rPr>
                <w:rFonts w:ascii="Courier New" w:cs="Courier New" w:eastAsia="Courier New" w:hAnsi="Courier New"/>
                <w:color w:val="D4D4D4"/>
                <w:sz w:val="18"/>
                <w:szCs w:val="18"/>
              </w:rPr>
              <w:t xml:space="preserve">    df['target_rv_30d'] = (df['ret']**2).shift(-22).rolling(22).mean().apply(</w:t>
            </w:r>
          </w:p>
          <w:p>
            <w:r>
              <w:rPr>
                <w:rFonts w:ascii="Courier New" w:cs="Courier New" w:eastAsia="Courier New" w:hAnsi="Courier New"/>
                <w:color w:val="D4D4D4"/>
                <w:sz w:val="18"/>
                <w:szCs w:val="18"/>
              </w:rPr>
              <w:t xml:space="preserve">        lambda x: np.sqrt(x * 252))</w:t>
            </w:r>
          </w:p>
          <w:p>
            <w:r>
              <w:rPr>
                <w:rFonts w:ascii="Courier New" w:cs="Courier New" w:eastAsia="Courier New" w:hAnsi="Courier New"/>
                <w:color w:val="6A9955"/>
                <w:sz w:val="18"/>
                <w:szCs w:val="18"/>
              </w:rPr>
              <w:t xml:space="preserve">    # --- Features calendaires (encoding cyclique)</w:t>
            </w:r>
          </w:p>
          <w:p>
            <w:r>
              <w:rPr>
                <w:rFonts w:ascii="Courier New" w:cs="Courier New" w:eastAsia="Courier New" w:hAnsi="Courier New"/>
                <w:color w:val="D4D4D4"/>
                <w:sz w:val="18"/>
                <w:szCs w:val="18"/>
              </w:rPr>
              <w:t xml:space="preserve">    df['month_sin'] = np.sin(2 * np.pi * df.index.month / 12)</w:t>
            </w:r>
          </w:p>
          <w:p>
            <w:r>
              <w:rPr>
                <w:rFonts w:ascii="Courier New" w:cs="Courier New" w:eastAsia="Courier New" w:hAnsi="Courier New"/>
                <w:color w:val="D4D4D4"/>
                <w:sz w:val="18"/>
                <w:szCs w:val="18"/>
              </w:rPr>
              <w:t xml:space="preserve">    df['month_cos'] = np.cos(2 * np.pi * df.index.month / 12)</w:t>
            </w:r>
          </w:p>
          <w:p>
            <w:r>
              <w:rPr>
                <w:rFonts w:ascii="Courier New" w:cs="Courier New" w:eastAsia="Courier New" w:hAnsi="Courier New"/>
                <w:color w:val="D4D4D4"/>
                <w:sz w:val="18"/>
                <w:szCs w:val="18"/>
              </w:rPr>
              <w:t xml:space="preserve">    df['dow_sin'] = np.sin(2 * np.pi * df.index.dayofweek / 5)</w:t>
            </w:r>
          </w:p>
          <w:p>
            <w:r>
              <w:rPr>
                <w:rFonts w:ascii="Courier New" w:cs="Courier New" w:eastAsia="Courier New" w:hAnsi="Courier New"/>
                <w:color w:val="6A9955"/>
                <w:sz w:val="18"/>
                <w:szCs w:val="18"/>
              </w:rPr>
              <w:t xml:space="preserve">    # --- Ratio d'accélération et z-score de volatilité</w:t>
            </w:r>
          </w:p>
          <w:p>
            <w:r>
              <w:rPr>
                <w:rFonts w:ascii="Courier New" w:cs="Courier New" w:eastAsia="Courier New" w:hAnsi="Courier New"/>
                <w:color w:val="D4D4D4"/>
                <w:sz w:val="18"/>
                <w:szCs w:val="18"/>
              </w:rPr>
              <w:t xml:space="preserve">    df['rv_ratio_5_22'] = df['rv_5d'] / df['rv_22d'].replace(0, np.nan)</w:t>
            </w:r>
          </w:p>
          <w:p>
            <w:r>
              <w:rPr>
                <w:rFonts w:ascii="Courier New" w:cs="Courier New" w:eastAsia="Courier New" w:hAnsi="Courier New"/>
                <w:color w:val="D4D4D4"/>
                <w:sz w:val="18"/>
                <w:szCs w:val="18"/>
              </w:rPr>
              <w:t xml:space="preserve">    mu = df['rv_22d'].rolling(252).mean()</w:t>
            </w:r>
          </w:p>
          <w:p>
            <w:r>
              <w:rPr>
                <w:rFonts w:ascii="Courier New" w:cs="Courier New" w:eastAsia="Courier New" w:hAnsi="Courier New"/>
                <w:color w:val="D4D4D4"/>
                <w:sz w:val="18"/>
                <w:szCs w:val="18"/>
              </w:rPr>
              <w:t xml:space="preserve">    sig = df['rv_22d'].rolling(252).std()</w:t>
            </w:r>
          </w:p>
          <w:p>
            <w:r>
              <w:rPr>
                <w:rFonts w:ascii="Courier New" w:cs="Courier New" w:eastAsia="Courier New" w:hAnsi="Courier New"/>
                <w:color w:val="D4D4D4"/>
                <w:sz w:val="18"/>
                <w:szCs w:val="18"/>
              </w:rPr>
              <w:t xml:space="preserve">    df['rv_zscore'] = (df['rv_22d'] - mu) / sig</w:t>
            </w:r>
          </w:p>
          <w:p>
            <w:r>
              <w:rPr>
                <w:rFonts w:ascii="Courier New" w:cs="Courier New" w:eastAsia="Courier New" w:hAnsi="Courier New"/>
                <w:color w:val="D4D4D4"/>
                <w:sz w:val="18"/>
                <w:szCs w:val="18"/>
              </w:rPr>
              <w:t xml:space="preserve">    return df.dropna()</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IV — Stratégies de Modélisation</w:t>
      </w:r>
    </w:p>
    <w:p>
      <w:pPr>
        <w:pStyle w:val="Heading2"/>
        <w:spacing w:before="280" w:after="120"/>
      </w:pPr>
      <w:r>
        <w:rPr>
          <w:rFonts w:ascii="Arial" w:cs="Arial" w:eastAsia="Arial" w:hAnsi="Arial"/>
          <w:b/>
          <w:bCs/>
          <w:color w:val="2E75B6"/>
          <w:sz w:val="26"/>
          <w:szCs w:val="26"/>
        </w:rPr>
        <w:t xml:space="preserve">4.1  Validation croisée temporelle — principe fondamental</w:t>
      </w:r>
    </w:p>
    <w:p>
      <w:pPr>
        <w:spacing w:before="80" w:after="80" w:line="320"/>
        <w:jc w:val="both"/>
      </w:pPr>
      <w:r>
        <w:rPr>
          <w:rFonts w:ascii="Arial" w:cs="Arial" w:eastAsia="Arial" w:hAnsi="Arial"/>
          <w:color w:val="2D2D2D"/>
          <w:sz w:val="22"/>
          <w:szCs w:val="22"/>
        </w:rPr>
        <w:t xml:space="preserve">La validation croisée standard (K-Fold aléatoire) est strictement interdite sur les séries temporelles financières, car elle provoque une fuite de données future (look-ahead bias). La méthode correcte est la validation Walk-Forward (ou Time Series Split)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Diviser la série chronologique en K blocs consécutifs.</w:t>
      </w:r>
    </w:p>
    <w:p>
      <w:pPr>
        <w:pStyle w:val="ListParagraph"/>
        <w:numPr>
          <w:ilvl w:val="0"/>
          <w:numId w:val="2"/>
        </w:numPr>
        <w:spacing w:before="60" w:after="60"/>
      </w:pPr>
      <w:r>
        <w:rPr>
          <w:rFonts w:ascii="Arial" w:cs="Arial" w:eastAsia="Arial" w:hAnsi="Arial"/>
          <w:color w:val="2D2D2D"/>
          <w:sz w:val="22"/>
          <w:szCs w:val="22"/>
        </w:rPr>
        <w:t xml:space="preserve">À chaque itération, entraîner sur les blocs 1..k et tester sur le bloc k+1.</w:t>
      </w:r>
    </w:p>
    <w:p>
      <w:pPr>
        <w:pStyle w:val="ListParagraph"/>
        <w:numPr>
          <w:ilvl w:val="0"/>
          <w:numId w:val="2"/>
        </w:numPr>
        <w:spacing w:before="60" w:after="60"/>
      </w:pPr>
      <w:r>
        <w:rPr>
          <w:rFonts w:ascii="Arial" w:cs="Arial" w:eastAsia="Arial" w:hAnsi="Arial"/>
          <w:color w:val="2D2D2D"/>
          <w:sz w:val="22"/>
          <w:szCs w:val="22"/>
        </w:rPr>
        <w:t xml:space="preserve">Ne jamais mélanger des observations futures dans l'ensemble d'entraînement.</w:t>
      </w:r>
    </w:p>
    <w:p>
      <w:pPr>
        <w:pStyle w:val="ListParagraph"/>
        <w:numPr>
          <w:ilvl w:val="0"/>
          <w:numId w:val="2"/>
        </w:numPr>
        <w:spacing w:before="60" w:after="60"/>
      </w:pPr>
      <w:r>
        <w:rPr>
          <w:rFonts w:ascii="Arial" w:cs="Arial" w:eastAsia="Arial" w:hAnsi="Arial"/>
          <w:color w:val="2D2D2D"/>
          <w:sz w:val="22"/>
          <w:szCs w:val="22"/>
        </w:rPr>
        <w:t xml:space="preserve">Prévoir un gap de 22 jours entre train et test pour éviter le chevauchement avec la cible forward.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4.2  Modèles économétriques classiques</w:t>
      </w:r>
    </w:p>
    <w:p>
      <w:pPr>
        <w:pStyle w:val="Heading3"/>
        <w:spacing w:before="200" w:after="100"/>
      </w:pPr>
      <w:r>
        <w:rPr>
          <w:rFonts w:ascii="Arial" w:cs="Arial" w:eastAsia="Arial" w:hAnsi="Arial"/>
          <w:b/>
          <w:bCs/>
          <w:color w:val="C9A84C"/>
          <w:sz w:val="24"/>
          <w:szCs w:val="24"/>
        </w:rPr>
        <w:t xml:space="preserve">4.2.1  Modèle HAR (Heterogeneous AutoRegressive)</w:t>
      </w:r>
    </w:p>
    <w:p>
      <w:pPr>
        <w:spacing w:before="80" w:after="80" w:line="320"/>
        <w:jc w:val="both"/>
      </w:pPr>
      <w:r>
        <w:rPr>
          <w:rFonts w:ascii="Arial" w:cs="Arial" w:eastAsia="Arial" w:hAnsi="Arial"/>
          <w:color w:val="2D2D2D"/>
          <w:sz w:val="22"/>
          <w:szCs w:val="22"/>
        </w:rPr>
        <w:t xml:space="preserve">Le modèle HAR, introduit par Corsi (2009), est la référence académique pour la prévision de la volatilité réalisée. Il capture la mémoire longue via une structure additive de composantes journalière, hebdomadaire et mensuelle :</w:t>
      </w:r>
    </w:p>
    <w:p>
      <w:pPr>
        <w:spacing w:before="80" w:after="80"/>
      </w:pPr>
      <w:r>
        <w:t xml:space="preserve"/>
      </w:r>
    </w:p>
    <w:p>
      <w:pPr>
        <w:spacing w:before="100" w:after="100"/>
        <w:jc w:val="center"/>
      </w:pPr>
      <w:r>
        <w:rPr>
          <w:rFonts w:ascii="Courier New" w:cs="Courier New" w:eastAsia="Courier New" w:hAnsi="Courier New"/>
          <w:b/>
          <w:bCs/>
          <w:color w:val="1A3A5C"/>
          <w:sz w:val="24"/>
          <w:szCs w:val="24"/>
        </w:rPr>
        <w:t xml:space="preserve">RV(t+22) = α + β_d × RV_1d + β_w × RV_5d + β_m × RV_22d + ε</w:t>
      </w:r>
    </w:p>
    <w:p>
      <w:pPr>
        <w:spacing w:before="80" w:after="80"/>
      </w:pPr>
      <w:r>
        <w:t xml:space="preserve"/>
      </w:r>
    </w:p>
    <w:p>
      <w:pPr>
        <w:spacing w:before="80" w:after="80" w:line="320"/>
        <w:jc w:val="both"/>
      </w:pPr>
      <w:r>
        <w:rPr>
          <w:rFonts w:ascii="Arial" w:cs="Arial" w:eastAsia="Arial" w:hAnsi="Arial"/>
          <w:color w:val="2D2D2D"/>
          <w:sz w:val="22"/>
          <w:szCs w:val="22"/>
        </w:rPr>
        <w:t xml:space="preserve">Ce modèle simple présente une performance remarquable et constitue un benchmark difficile à battre. Sur les actions BVC, le coefficient β_m (composante mensuelle) est généralement le plus élevé, reflétant la persistance de la volatilité.</w:t>
      </w:r>
    </w:p>
    <w:p>
      <w:pPr>
        <w:pStyle w:val="Heading3"/>
        <w:spacing w:before="200" w:after="100"/>
      </w:pPr>
      <w:r>
        <w:rPr>
          <w:rFonts w:ascii="Arial" w:cs="Arial" w:eastAsia="Arial" w:hAnsi="Arial"/>
          <w:b/>
          <w:bCs/>
          <w:color w:val="C9A84C"/>
          <w:sz w:val="24"/>
          <w:szCs w:val="24"/>
        </w:rPr>
        <w:t xml:space="preserve">4.2.2  Modèle GARCH(1,1) et extensions</w:t>
      </w:r>
    </w:p>
    <w:p>
      <w:pPr>
        <w:spacing w:before="80" w:after="80" w:line="320"/>
        <w:jc w:val="both"/>
      </w:pPr>
      <w:r>
        <w:rPr>
          <w:rFonts w:ascii="Arial" w:cs="Arial" w:eastAsia="Arial" w:hAnsi="Arial"/>
          <w:color w:val="2D2D2D"/>
          <w:sz w:val="22"/>
          <w:szCs w:val="22"/>
        </w:rPr>
        <w:t xml:space="preserve">Le modèle GARCH(1,1) modélise la variance conditionnelle h(t) comme une combinaison linéaire de la variance passée et du choc passé :</w:t>
      </w:r>
    </w:p>
    <w:p>
      <w:pPr>
        <w:spacing w:before="80" w:after="80"/>
      </w:pPr>
      <w:r>
        <w:t xml:space="preserve"/>
      </w:r>
    </w:p>
    <w:p>
      <w:pPr>
        <w:spacing w:before="100" w:after="100"/>
        <w:jc w:val="center"/>
      </w:pPr>
      <w:r>
        <w:rPr>
          <w:rFonts w:ascii="Courier New" w:cs="Courier New" w:eastAsia="Courier New" w:hAnsi="Courier New"/>
          <w:b/>
          <w:bCs/>
          <w:color w:val="1A3A5C"/>
          <w:sz w:val="24"/>
          <w:szCs w:val="24"/>
        </w:rPr>
        <w:t xml:space="preserve">h(t) = ω + α × ε²(t-1) + β × h(t-1),   α + β &lt; 1</w:t>
      </w:r>
    </w:p>
    <w:p>
      <w:pPr>
        <w:spacing w:before="80" w:after="80"/>
      </w:pPr>
      <w:r>
        <w:t xml:space="preserve"/>
      </w:r>
    </w:p>
    <w:p>
      <w:pPr>
        <w:spacing w:before="80" w:after="80" w:line="320"/>
        <w:jc w:val="both"/>
      </w:pPr>
      <w:r>
        <w:rPr>
          <w:rFonts w:ascii="Arial" w:cs="Arial" w:eastAsia="Arial" w:hAnsi="Arial"/>
          <w:color w:val="2D2D2D"/>
          <w:sz w:val="22"/>
          <w:szCs w:val="22"/>
        </w:rPr>
        <w:t xml:space="preserve">Les extensions pertinentes pour les données BVC incluent le GJR-GARCH (capture de l'effet levier), l'EGARCH (modélisation asymétrique en log), et le FIGARCH (mémoire longue fractionnée).</w:t>
      </w:r>
    </w:p>
    <w:p>
      <w:pPr>
        <w:pStyle w:val="Heading2"/>
        <w:spacing w:before="280" w:after="120"/>
      </w:pPr>
      <w:r>
        <w:rPr>
          <w:rFonts w:ascii="Arial" w:cs="Arial" w:eastAsia="Arial" w:hAnsi="Arial"/>
          <w:b/>
          <w:bCs/>
          <w:color w:val="2E75B6"/>
          <w:sz w:val="26"/>
          <w:szCs w:val="26"/>
        </w:rPr>
        <w:t xml:space="preserve">4.3  Approches Machine Learning</w:t>
      </w:r>
    </w:p>
    <w:p>
      <w:pPr>
        <w:pStyle w:val="Heading3"/>
        <w:spacing w:before="200" w:after="100"/>
      </w:pPr>
      <w:r>
        <w:rPr>
          <w:rFonts w:ascii="Arial" w:cs="Arial" w:eastAsia="Arial" w:hAnsi="Arial"/>
          <w:b/>
          <w:bCs/>
          <w:color w:val="C9A84C"/>
          <w:sz w:val="24"/>
          <w:szCs w:val="24"/>
        </w:rPr>
        <w:t xml:space="preserve">4.3.1  Gradient Boosting (XGBoost / LightGBM)</w:t>
      </w:r>
    </w:p>
    <w:p>
      <w:pPr>
        <w:spacing w:before="80" w:after="80" w:line="320"/>
        <w:jc w:val="both"/>
      </w:pPr>
      <w:r>
        <w:rPr>
          <w:rFonts w:ascii="Arial" w:cs="Arial" w:eastAsia="Arial" w:hAnsi="Arial"/>
          <w:color w:val="2D2D2D"/>
          <w:sz w:val="22"/>
          <w:szCs w:val="22"/>
        </w:rPr>
        <w:t xml:space="preserve">Les méthodes de gradient boosting constituent l'état de l'art pour les problèmes de régression tabulaire. Elles capturent automatiquement les interactions non-linéaires entre features sans spécification explicite du modèle. Points clés d'implémentation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Utiliser la validation Walk-Forward pour les hyperparamètres (n_estimators, max_depth, learning_rate).</w:t>
      </w:r>
    </w:p>
    <w:p>
      <w:pPr>
        <w:pStyle w:val="ListParagraph"/>
        <w:numPr>
          <w:ilvl w:val="0"/>
          <w:numId w:val="2"/>
        </w:numPr>
        <w:spacing w:before="60" w:after="60"/>
      </w:pPr>
      <w:r>
        <w:rPr>
          <w:rFonts w:ascii="Arial" w:cs="Arial" w:eastAsia="Arial" w:hAnsi="Arial"/>
          <w:color w:val="2D2D2D"/>
          <w:sz w:val="22"/>
          <w:szCs w:val="22"/>
        </w:rPr>
        <w:t xml:space="preserve">L'importance des features (feature importance) permet d'interpréter et de valider économiquement le modèle.</w:t>
      </w:r>
    </w:p>
    <w:p>
      <w:pPr>
        <w:pStyle w:val="ListParagraph"/>
        <w:numPr>
          <w:ilvl w:val="0"/>
          <w:numId w:val="2"/>
        </w:numPr>
        <w:spacing w:before="60" w:after="60"/>
      </w:pPr>
      <w:r>
        <w:rPr>
          <w:rFonts w:ascii="Arial" w:cs="Arial" w:eastAsia="Arial" w:hAnsi="Arial"/>
          <w:color w:val="2D2D2D"/>
          <w:sz w:val="22"/>
          <w:szCs w:val="22"/>
        </w:rPr>
        <w:t xml:space="preserve">Régularisation L1/L2 essentielle pour éviter le surapprentissage sur des séries financières bruitées.</w:t>
      </w:r>
    </w:p>
    <w:p>
      <w:pPr>
        <w:spacing w:before="80" w:after="80"/>
      </w:pPr>
      <w:r>
        <w:t xml:space="preserve"/>
      </w:r>
    </w:p>
    <w:p>
      <w:pPr>
        <w:pStyle w:val="Heading3"/>
        <w:spacing w:before="200" w:after="100"/>
      </w:pPr>
      <w:r>
        <w:rPr>
          <w:rFonts w:ascii="Arial" w:cs="Arial" w:eastAsia="Arial" w:hAnsi="Arial"/>
          <w:b/>
          <w:bCs/>
          <w:color w:val="C9A84C"/>
          <w:sz w:val="24"/>
          <w:szCs w:val="24"/>
        </w:rPr>
        <w:t xml:space="preserve">4.3.2  LSTM (Long Short-Term Memory)</w:t>
      </w:r>
    </w:p>
    <w:p>
      <w:pPr>
        <w:spacing w:before="80" w:after="80" w:line="320"/>
        <w:jc w:val="both"/>
      </w:pPr>
      <w:r>
        <w:rPr>
          <w:rFonts w:ascii="Arial" w:cs="Arial" w:eastAsia="Arial" w:hAnsi="Arial"/>
          <w:color w:val="2D2D2D"/>
          <w:sz w:val="22"/>
          <w:szCs w:val="22"/>
        </w:rPr>
        <w:t xml:space="preserve">Les réseaux LSTM sont adaptés aux séquences temporelles longues. Pour la volatilité BVC, l'architecture recommandée utilise une fenêtre d'entrée de 60 jours, deux couches LSTM de 64 unités avec dropout (0.2), et une couche dense de sortie. La convergence est typiquement atteinte en 50-100 epochs avec un batch size de 32.</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4.4  Tableau comparatif des modèles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760"/>
        <w:gridCol w:w="2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typique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typique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Interprétabilité</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Avantages BVC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HAR-RV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Très élevée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Benchmark solide, peu de données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GARCH(1,1)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0.048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0.036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Élevée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Capture ARCH effects, standardisé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GJR-GARCH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0.044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Moyenne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Effet levier, asymétrie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0.038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0.028</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Moyenne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Robuste, importance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XGBoost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Moyenne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Performance, interactions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LSTM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0.033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0.024</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Faible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Dépendances longues, non-linéaire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Ensemble (HAR+XGB)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Moyenne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Meilleur compromis BVC</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V — Applications à la Gestion de Portefeuille</w:t>
      </w:r>
    </w:p>
    <w:p>
      <w:pPr>
        <w:pStyle w:val="Heading2"/>
        <w:spacing w:before="280" w:after="120"/>
      </w:pPr>
      <w:r>
        <w:rPr>
          <w:rFonts w:ascii="Arial" w:cs="Arial" w:eastAsia="Arial" w:hAnsi="Arial"/>
          <w:b/>
          <w:bCs/>
          <w:color w:val="2E75B6"/>
          <w:sz w:val="26"/>
          <w:szCs w:val="26"/>
        </w:rPr>
        <w:t xml:space="preserve">5.1  Optimisation de portefeuille sous contrainte de volatilité</w:t>
      </w:r>
    </w:p>
    <w:p>
      <w:pPr>
        <w:spacing w:before="80" w:after="80" w:line="320"/>
        <w:jc w:val="both"/>
      </w:pPr>
      <w:r>
        <w:rPr>
          <w:rFonts w:ascii="Arial" w:cs="Arial" w:eastAsia="Arial" w:hAnsi="Arial"/>
          <w:color w:val="2D2D2D"/>
          <w:sz w:val="22"/>
          <w:szCs w:val="22"/>
        </w:rPr>
        <w:t xml:space="preserve">La prévision de la volatilité individuelle des titres BVC alimente directement la construction de portefeuilles optimaux. En remplaçant la volatilité historique (rétrospective) par la volatilité prévisionnelle (prospective) dans le cadre Mean-Variance de Markowitz, on obtient une allocation plus robuste face aux changements de régime de volatilité.</w:t>
      </w:r>
    </w:p>
    <w:p>
      <w:pPr>
        <w:spacing w:before="80" w:after="80"/>
      </w:pPr>
      <w:r>
        <w:t xml:space="preserve"/>
      </w:r>
    </w:p>
    <w:p>
      <w:pPr>
        <w:spacing w:before="80" w:after="80" w:line="320"/>
        <w:jc w:val="both"/>
      </w:pPr>
      <w:r>
        <w:rPr>
          <w:rFonts w:ascii="Arial" w:cs="Arial" w:eastAsia="Arial" w:hAnsi="Arial"/>
          <w:color w:val="2D2D2D"/>
          <w:sz w:val="22"/>
          <w:szCs w:val="22"/>
        </w:rPr>
        <w:t xml:space="preserve">Le problème d'optimisation sous contrainte de volatilité cible σ_target s'écrit :</w:t>
      </w:r>
    </w:p>
    <w:p>
      <w:pPr>
        <w:spacing w:before="80" w:after="80"/>
      </w:pPr>
      <w:r>
        <w:t xml:space="preserve"/>
      </w:r>
    </w:p>
    <w:p>
      <w:pPr>
        <w:spacing w:before="100" w:after="100"/>
        <w:jc w:val="center"/>
      </w:pPr>
      <w:r>
        <w:rPr>
          <w:rFonts w:ascii="Courier New" w:cs="Courier New" w:eastAsia="Courier New" w:hAnsi="Courier New"/>
          <w:b/>
          <w:bCs/>
          <w:color w:val="1A3A5C"/>
          <w:sz w:val="22"/>
          <w:szCs w:val="22"/>
        </w:rPr>
        <w:t xml:space="preserve">max  w'μ   s.c.   w'Σ̂w ≤ σ²_target,   1'w = 1,   w ≥ 0</w:t>
      </w:r>
    </w:p>
    <w:p>
      <w:pPr>
        <w:spacing w:before="80" w:after="80"/>
      </w:pPr>
      <w:r>
        <w:t xml:space="preserve"/>
      </w:r>
    </w:p>
    <w:p>
      <w:pPr>
        <w:spacing w:before="80" w:after="80" w:line="320"/>
        <w:jc w:val="both"/>
      </w:pPr>
      <w:r>
        <w:rPr>
          <w:rFonts w:ascii="Arial" w:cs="Arial" w:eastAsia="Arial" w:hAnsi="Arial"/>
          <w:color w:val="2D2D2D"/>
          <w:sz w:val="22"/>
          <w:szCs w:val="22"/>
        </w:rPr>
        <w:t xml:space="preserve">où Σ̂ est la matrice de covariance construite à partir des volatilités prévisionnelles et des corrélations dynamiques (modèle DCC-GARCH).</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Stratégies de gestion dynamique du risque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Stratégie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Mécanisme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déclencheur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Risk Parity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Pondération inversement prop. à la vol.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RV prévisionnelle de chaque titre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Target Volatility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Ajustement du levier pour vol. cible 10%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RV globale du portefeuille &gt;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Stop-Loss dynamique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Seuil de perte ajusté à la vol.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Z-score volatilité &gt; 2σ</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Couverture Delta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Achat de puts sur MASI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Vol. prévisionnelle &gt; percentile 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Désallocation sectorielle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Réduction expo. secteur volatil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Clustering de volatilité détecté</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5.3  Système de surveillance et d'alertes</w:t>
      </w:r>
    </w:p>
    <w:p>
      <w:pPr>
        <w:spacing w:before="80" w:after="80" w:line="320"/>
        <w:jc w:val="both"/>
      </w:pPr>
      <w:r>
        <w:rPr>
          <w:rFonts w:ascii="Arial" w:cs="Arial" w:eastAsia="Arial" w:hAnsi="Arial"/>
          <w:color w:val="2D2D2D"/>
          <w:sz w:val="22"/>
          <w:szCs w:val="22"/>
        </w:rPr>
        <w:t xml:space="preserve">La prévision quotidienne de la volatilité réalisée à 30 jours constitue le socle d'un tableau de bord de surveillance du risque. Le système d'alertes préconisé pour un portefeuille BVC s'articule autour de trois niveaux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Niveau VERT (normal) : RV prévisionnelle &lt; percentile 60% de l'historique long terme. Gestion standard.</w:t>
      </w:r>
    </w:p>
    <w:p>
      <w:pPr>
        <w:pStyle w:val="ListParagraph"/>
        <w:numPr>
          <w:ilvl w:val="0"/>
          <w:numId w:val="2"/>
        </w:numPr>
        <w:spacing w:before="60" w:after="60"/>
      </w:pPr>
      <w:r>
        <w:rPr>
          <w:rFonts w:ascii="Arial" w:cs="Arial" w:eastAsia="Arial" w:hAnsi="Arial"/>
          <w:color w:val="2D2D2D"/>
          <w:sz w:val="22"/>
          <w:szCs w:val="22"/>
        </w:rPr>
        <w:t xml:space="preserve">Niveau ORANGE (vigilance) : RV prévisionnelle entre percentile 60% et 85%. Revue des positions, réduction des tailles.</w:t>
      </w:r>
    </w:p>
    <w:p>
      <w:pPr>
        <w:pStyle w:val="ListParagraph"/>
        <w:numPr>
          <w:ilvl w:val="0"/>
          <w:numId w:val="2"/>
        </w:numPr>
        <w:spacing w:before="60" w:after="60"/>
      </w:pPr>
      <w:r>
        <w:rPr>
          <w:rFonts w:ascii="Arial" w:cs="Arial" w:eastAsia="Arial" w:hAnsi="Arial"/>
          <w:color w:val="2D2D2D"/>
          <w:sz w:val="22"/>
          <w:szCs w:val="22"/>
        </w:rPr>
        <w:t xml:space="preserve">Niveau ROUGE (alerte) : RV prévisionnelle &gt; percentile 85%. Activation des protocoles de réduction du risque, couvertures obligatoires.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5.4  Backtesting et validation métier</w:t>
      </w:r>
    </w:p>
    <w:p>
      <w:pPr>
        <w:spacing w:before="80" w:after="80" w:line="320"/>
        <w:jc w:val="both"/>
      </w:pPr>
      <w:r>
        <w:rPr>
          <w:rFonts w:ascii="Arial" w:cs="Arial" w:eastAsia="Arial" w:hAnsi="Arial"/>
          <w:color w:val="2D2D2D"/>
          <w:sz w:val="22"/>
          <w:szCs w:val="22"/>
        </w:rPr>
        <w:t xml:space="preserve">La validation du modèle de prédiction doit dépasser les seules métriques statistiques (RMSE, MAE) pour intégrer une évaluation métier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Test de Kupiec (coverage test) : vérification que le taux de dépassement de la VaR calculée à partir des volatilités prévisionnelles est conforme au niveau de confiance théorique.</w:t>
      </w:r>
    </w:p>
    <w:p>
      <w:pPr>
        <w:pStyle w:val="ListParagraph"/>
        <w:numPr>
          <w:ilvl w:val="0"/>
          <w:numId w:val="2"/>
        </w:numPr>
        <w:spacing w:before="60" w:after="60"/>
      </w:pPr>
      <w:r>
        <w:rPr>
          <w:rFonts w:ascii="Arial" w:cs="Arial" w:eastAsia="Arial" w:hAnsi="Arial"/>
          <w:color w:val="2D2D2D"/>
          <w:sz w:val="22"/>
          <w:szCs w:val="22"/>
        </w:rPr>
        <w:t xml:space="preserve">Test de Christoffersen : indépendance des dépassements de VaR dans le temps (absence de clustering des violations).</w:t>
      </w:r>
    </w:p>
    <w:p>
      <w:pPr>
        <w:pStyle w:val="ListParagraph"/>
        <w:numPr>
          <w:ilvl w:val="0"/>
          <w:numId w:val="2"/>
        </w:numPr>
        <w:spacing w:before="60" w:after="60"/>
      </w:pPr>
      <w:r>
        <w:rPr>
          <w:rFonts w:ascii="Arial" w:cs="Arial" w:eastAsia="Arial" w:hAnsi="Arial"/>
          <w:color w:val="2D2D2D"/>
          <w:sz w:val="22"/>
          <w:szCs w:val="22"/>
        </w:rPr>
        <w:t xml:space="preserve">P&amp;L attribution : quelle fraction de la variation de la VaR réelle est expliquée par le modèle de prévision ?</w:t>
      </w:r>
    </w:p>
    <w:p>
      <w:pPr>
        <w:pStyle w:val="ListParagraph"/>
        <w:numPr>
          <w:ilvl w:val="0"/>
          <w:numId w:val="2"/>
        </w:numPr>
        <w:spacing w:before="60" w:after="60"/>
      </w:pPr>
      <w:r>
        <w:rPr>
          <w:rFonts w:ascii="Arial" w:cs="Arial" w:eastAsia="Arial" w:hAnsi="Arial"/>
          <w:color w:val="2D2D2D"/>
          <w:sz w:val="22"/>
          <w:szCs w:val="22"/>
        </w:rPr>
        <w:t xml:space="preserve">Comparaison des performances de portefeuille : le portefeuille géré avec volatilité prévisionnelle bat-il le portefeuille géré avec volatilité historique, en termes de Sharpe ratio net de coûts de transaction ?</w:t>
      </w:r>
    </w:p>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Partie VI — Recommandations &amp; Feuille de Route</w:t>
      </w:r>
    </w:p>
    <w:p>
      <w:pPr>
        <w:pStyle w:val="Heading2"/>
        <w:spacing w:before="280" w:after="120"/>
      </w:pPr>
      <w:r>
        <w:rPr>
          <w:rFonts w:ascii="Arial" w:cs="Arial" w:eastAsia="Arial" w:hAnsi="Arial"/>
          <w:b/>
          <w:bCs/>
          <w:color w:val="2E75B6"/>
          <w:sz w:val="26"/>
          <w:szCs w:val="26"/>
        </w:rPr>
        <w:t xml:space="preserve">6.1  Recommandations techniques</w:t>
      </w:r>
    </w:p>
    <w:p>
      <w:pPr>
        <w:spacing w:before="80" w:after="80" w:line="320"/>
        <w:jc w:val="both"/>
      </w:pPr>
      <w:r>
        <w:rPr>
          <w:rFonts w:ascii="Arial" w:cs="Arial" w:eastAsia="Arial" w:hAnsi="Arial"/>
          <w:color w:val="2D2D2D"/>
          <w:sz w:val="22"/>
          <w:szCs w:val="22"/>
        </w:rPr>
        <w:t xml:space="preserve">Sur la base des caractéristiques spécifiques du marché boursier marocain (liquidité modérée, concentration sectorielle, effets calendaires Ramadan), les recommandations suivantes sont formulées :</w:t>
      </w:r>
    </w:p>
    <w:p>
      <w:pPr>
        <w:spacing w:before="80" w:after="80"/>
      </w:pPr>
      <w:r>
        <w:t xml:space="preserve"/>
      </w:r>
    </w:p>
    <w:p>
      <w:pPr>
        <w:pStyle w:val="ListParagraph"/>
        <w:numPr>
          <w:ilvl w:val="0"/>
          <w:numId w:val="2"/>
        </w:numPr>
        <w:spacing w:before="60" w:after="60"/>
      </w:pPr>
      <w:r>
        <w:rPr>
          <w:rFonts w:ascii="Arial" w:cs="Arial" w:eastAsia="Arial" w:hAnsi="Arial"/>
          <w:color w:val="2D2D2D"/>
          <w:sz w:val="22"/>
          <w:szCs w:val="22"/>
        </w:rPr>
        <w:t xml:space="preserve">Privilégier le modèle HAR-RV comme baseline, complété par un XGBoost avec features calendaires BVC-spécifiques.</w:t>
      </w:r>
    </w:p>
    <w:p>
      <w:pPr>
        <w:pStyle w:val="ListParagraph"/>
        <w:numPr>
          <w:ilvl w:val="0"/>
          <w:numId w:val="2"/>
        </w:numPr>
        <w:spacing w:before="60" w:after="60"/>
      </w:pPr>
      <w:r>
        <w:rPr>
          <w:rFonts w:ascii="Arial" w:cs="Arial" w:eastAsia="Arial" w:hAnsi="Arial"/>
          <w:color w:val="2D2D2D"/>
          <w:sz w:val="22"/>
          <w:szCs w:val="22"/>
        </w:rPr>
        <w:t xml:space="preserve">Construire un ensemble (ensemble learning) combinant HAR-RV et XGBoost avec pondération optimisée sur validation Walk-Forward.</w:t>
      </w:r>
    </w:p>
    <w:p>
      <w:pPr>
        <w:pStyle w:val="ListParagraph"/>
        <w:numPr>
          <w:ilvl w:val="0"/>
          <w:numId w:val="2"/>
        </w:numPr>
        <w:spacing w:before="60" w:after="60"/>
      </w:pPr>
      <w:r>
        <w:rPr>
          <w:rFonts w:ascii="Arial" w:cs="Arial" w:eastAsia="Arial" w:hAnsi="Arial"/>
          <w:color w:val="2D2D2D"/>
          <w:sz w:val="22"/>
          <w:szCs w:val="22"/>
        </w:rPr>
        <w:t xml:space="preserve">Incorporer systématiquement les features Ramadan et jours fériés marocains — effet documenté de -15 à -25% sur la volatilité.</w:t>
      </w:r>
    </w:p>
    <w:p>
      <w:pPr>
        <w:pStyle w:val="ListParagraph"/>
        <w:numPr>
          <w:ilvl w:val="0"/>
          <w:numId w:val="2"/>
        </w:numPr>
        <w:spacing w:before="60" w:after="60"/>
      </w:pPr>
      <w:r>
        <w:rPr>
          <w:rFonts w:ascii="Arial" w:cs="Arial" w:eastAsia="Arial" w:hAnsi="Arial"/>
          <w:color w:val="2D2D2D"/>
          <w:sz w:val="22"/>
          <w:szCs w:val="22"/>
        </w:rPr>
        <w:t xml:space="preserve">Utiliser le log(RV) comme variable cible pour améliorer la normalité des résidus et la performance des modèles linéaires.</w:t>
      </w:r>
    </w:p>
    <w:p>
      <w:pPr>
        <w:pStyle w:val="ListParagraph"/>
        <w:numPr>
          <w:ilvl w:val="0"/>
          <w:numId w:val="2"/>
        </w:numPr>
        <w:spacing w:before="60" w:after="60"/>
      </w:pPr>
      <w:r>
        <w:rPr>
          <w:rFonts w:ascii="Arial" w:cs="Arial" w:eastAsia="Arial" w:hAnsi="Arial"/>
          <w:color w:val="2D2D2D"/>
          <w:sz w:val="22"/>
          <w:szCs w:val="22"/>
        </w:rPr>
        <w:t xml:space="preserve">Pour les titres à faible liquidité (&lt; 10 transactions/jour), utiliser un estimateur de Parkinson basé sur les cours High/Low, plus robuste que l'estimateur clôture-à-clôture.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6.2  Feuille de route d'implémentation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960"/>
        <w:gridCol w:w="16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 clés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Semaines 1-3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Collecte et nettoyage des données BVC, calcul des rendements et volumes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Base de données propre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Semaines 4-6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Construction des features, calcul de la cible RV_30d, analyse exploratoire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Feature 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Semaines 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Entraînement HAR-RV et GARCH, validation Walk-Forward, benchmark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Modèles baseline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Sem. 10-13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XGBoost, LSTM, tuning hyperparamètres, ensemble learning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Modèle final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 14-16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Intégration en production, tableau de bord, système d'alertes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Système live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6.3  Limites et points de vigilance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A3A5C"/>
                <w:sz w:val="22"/>
                <w:szCs w:val="22"/>
              </w:rPr>
              <w:t xml:space="preserve">⚠  Limites importantes à communiquer</w:t>
            </w:r>
          </w:p>
          <w:p>
            <w:r>
              <w:rPr>
                <w:rFonts w:ascii="Arial" w:cs="Arial" w:eastAsia="Arial" w:hAnsi="Arial"/>
                <w:color w:val="2D2D2D"/>
                <w:sz w:val="21"/>
                <w:szCs w:val="21"/>
              </w:rPr>
              <w:t xml:space="preserve">1. La volatilité réalisée passée n'est pas la volatilité future : les modèles capturent des patterns statistiques, non des relations causales.
2. Les événements exogènes non-anticipés (crises géopolitiques, chocs macroéconomiques) restent imprévisibles par tout modèle.
3. Le faible nombre de titres liquides à la BVC limite la diversification et augmente le risque idiosyncratique résiduel.
4. Toute stratégie de gestion basée sur la volatilité prévisionnelle doit être backtestée sur au moins 5 ans avant toute mise en production.</w:t>
            </w:r>
          </w:p>
        </w:tc>
      </w:tr>
    </w:tbl>
    <w:p>
      <w:pPr>
        <w:spacing w:before="80" w:after="80"/>
      </w:pPr>
      <w:r>
        <w:t xml:space="preserve"/>
      </w:r>
    </w:p>
    <w:p>
      <w:r>
        <w:br w:type="page"/>
      </w:r>
    </w:p>
    <w:p>
      <w:pPr>
        <w:pStyle w:val="Heading1"/>
        <w:pBdr>
          <w:bottom w:val="single" w:color="2E75B6" w:sz="8" w:space="4"/>
        </w:pBdr>
        <w:spacing w:before="360" w:after="180"/>
      </w:pPr>
      <w:r>
        <w:rPr>
          <w:rFonts w:ascii="Arial" w:cs="Arial" w:eastAsia="Arial" w:hAnsi="Arial"/>
          <w:b/>
          <w:bCs/>
          <w:color w:val="1A3A5C"/>
          <w:sz w:val="32"/>
          <w:szCs w:val="32"/>
        </w:rPr>
        <w:t xml:space="preserve">Conclusion</w:t>
      </w:r>
    </w:p>
    <w:p>
      <w:pPr>
        <w:spacing w:before="80" w:after="80" w:line="320"/>
        <w:jc w:val="both"/>
      </w:pPr>
      <w:r>
        <w:rPr>
          <w:rFonts w:ascii="Arial" w:cs="Arial" w:eastAsia="Arial" w:hAnsi="Arial"/>
          <w:color w:val="2D2D2D"/>
          <w:sz w:val="22"/>
          <w:szCs w:val="22"/>
        </w:rPr>
        <w:t xml:space="preserve">Ce rapport a présenté un cadre complet pour la prédiction de la volatilité réalisée sur 30 jours des actions cotées à la Bourse de Casablanca. En articulant les dimensions pédagogiques (notions fondamentales de risque), méthodologiques (feature engineering temporel, modélisation comparative) et opérationnelles (gestion de portefeuille, systèmes d'alertes), il constitue une feuille de route applicable aussi bien dans un contexte académique qu'en environnement professionnel.</w:t>
      </w:r>
    </w:p>
    <w:p>
      <w:pPr>
        <w:spacing w:before="80" w:after="80"/>
      </w:pPr>
      <w:r>
        <w:t xml:space="preserve"/>
      </w:r>
    </w:p>
    <w:p>
      <w:pPr>
        <w:spacing w:before="80" w:after="80" w:line="320"/>
        <w:jc w:val="both"/>
      </w:pPr>
      <w:r>
        <w:rPr>
          <w:rFonts w:ascii="Arial" w:cs="Arial" w:eastAsia="Arial" w:hAnsi="Arial"/>
          <w:color w:val="2D2D2D"/>
          <w:sz w:val="22"/>
          <w:szCs w:val="22"/>
        </w:rPr>
        <w:t xml:space="preserve">La volatilité réalisée, simple à calculer et riche en information, représente une variable cible idéale pour initier à la modélisation prédictive en finance. Sa prévision précise crée une valeur concrète : meilleure allocation du capital, contrôle des risques plus proactif, et amélioration du rapport rendement/risque des portefeuilles.</w:t>
      </w:r>
    </w:p>
    <w:p>
      <w:pPr>
        <w:spacing w:before="80" w:after="80"/>
      </w:pPr>
      <w:r>
        <w:t xml:space="preserve"/>
      </w:r>
    </w:p>
    <w:p>
      <w:pPr>
        <w:spacing w:before="80" w:after="80" w:line="320"/>
        <w:jc w:val="both"/>
      </w:pPr>
      <w:r>
        <w:rPr>
          <w:rFonts w:ascii="Arial" w:cs="Arial" w:eastAsia="Arial" w:hAnsi="Arial"/>
          <w:color w:val="2D2D2D"/>
          <w:sz w:val="22"/>
          <w:szCs w:val="22"/>
        </w:rPr>
        <w:t xml:space="preserve">Les spécificités du marché marocain — effets saisonniers prononcés, influence du Ramadan, concentration sectorielle — constituent non pas des obstacles mais des opportunités de différenciation pour les modèles locaux, qui peuvent surpasser les solutions génériques développées sur des marchés développés.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pPr>
              <w:jc w:val="center"/>
            </w:pPr>
            <w:r>
              <w:rPr>
                <w:rFonts w:ascii="Arial" w:cs="Arial" w:eastAsia="Arial" w:hAnsi="Arial"/>
                <w:b/>
                <w:bCs/>
                <w:color w:val="C9A84C"/>
                <w:sz w:val="22"/>
                <w:szCs w:val="22"/>
              </w:rPr>
              <w:t xml:space="preserve">Variable Cible</w:t>
            </w:r>
          </w:p>
          <w:p>
            <w:pPr>
              <w:jc w:val="center"/>
            </w:pPr>
            <w:r>
              <w:rPr>
                <w:rFonts w:ascii="Arial" w:cs="Arial" w:eastAsia="Arial" w:hAnsi="Arial"/>
                <w:color w:val="FFFFFF"/>
                <w:sz w:val="21"/>
                <w:szCs w:val="21"/>
              </w:rPr>
              <w:t xml:space="preserve">Volatilité Réalisée 30J</w:t>
            </w:r>
          </w:p>
        </w:tc>
        <w:tc>
          <w:tcPr>
            <w:tcW w:type="dxa" w:w="312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pPr>
              <w:jc w:val="center"/>
            </w:pPr>
            <w:r>
              <w:rPr>
                <w:rFonts w:ascii="Arial" w:cs="Arial" w:eastAsia="Arial" w:hAnsi="Arial"/>
                <w:b/>
                <w:bCs/>
                <w:color w:val="C9A84C"/>
                <w:sz w:val="22"/>
                <w:szCs w:val="22"/>
              </w:rPr>
              <w:t xml:space="preserve">Features clés</w:t>
            </w:r>
          </w:p>
          <w:p>
            <w:pPr>
              <w:jc w:val="center"/>
            </w:pPr>
            <w:r>
              <w:rPr>
                <w:rFonts w:ascii="Arial" w:cs="Arial" w:eastAsia="Arial" w:hAnsi="Arial"/>
                <w:color w:val="FFFFFF"/>
                <w:sz w:val="21"/>
                <w:szCs w:val="21"/>
              </w:rPr>
              <w:t xml:space="preserve">RV multi-échelle + Calendaire</w:t>
            </w:r>
          </w:p>
        </w:tc>
        <w:tc>
          <w:tcPr>
            <w:tcW w:type="dxa" w:w="312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pPr>
              <w:jc w:val="center"/>
            </w:pPr>
            <w:r>
              <w:rPr>
                <w:rFonts w:ascii="Arial" w:cs="Arial" w:eastAsia="Arial" w:hAnsi="Arial"/>
                <w:b/>
                <w:bCs/>
                <w:color w:val="C9A84C"/>
                <w:sz w:val="22"/>
                <w:szCs w:val="22"/>
              </w:rPr>
              <w:t xml:space="preserve">Modèle recommandé</w:t>
            </w:r>
          </w:p>
          <w:p>
            <w:pPr>
              <w:jc w:val="center"/>
            </w:pPr>
            <w:r>
              <w:rPr>
                <w:rFonts w:ascii="Arial" w:cs="Arial" w:eastAsia="Arial" w:hAnsi="Arial"/>
                <w:color w:val="FFFFFF"/>
                <w:sz w:val="21"/>
                <w:szCs w:val="21"/>
              </w:rPr>
              <w:t xml:space="preserve">HAR-RV + XGBoost Ensemble</w:t>
            </w:r>
          </w:p>
        </w:tc>
      </w:tr>
    </w:tbl>
    <w:p>
      <w:pPr>
        <w:spacing w:before="80" w:after="80"/>
      </w:pPr>
      <w:r>
        <w:t xml:space="preserve"/>
      </w:r>
    </w:p>
    <w:p>
      <w:pPr>
        <w:spacing w:before="80" w:after="80"/>
      </w:pPr>
      <w:r>
        <w:t xml:space="preserve"/>
      </w:r>
    </w:p>
    <w:p>
      <w:pPr>
        <w:spacing w:before="40" w:after="40"/>
        <w:jc w:val="center"/>
      </w:pPr>
      <w:r>
        <w:rPr>
          <w:rFonts w:ascii="Arial" w:cs="Arial" w:eastAsia="Arial" w:hAnsi="Arial"/>
          <w:i/>
          <w:iCs/>
          <w:color w:val="999999"/>
          <w:sz w:val="20"/>
          <w:szCs w:val="20"/>
        </w:rPr>
        <w:t xml:space="preserve">— Fin du rapport —</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46"/>
      </w:tabs>
      <w:spacing w:before="80"/>
    </w:pPr>
    <w:r>
      <w:rPr>
        <w:rFonts w:ascii="Arial" w:cs="Arial" w:eastAsia="Arial" w:hAnsi="Arial"/>
        <w:color w:val="777777"/>
        <w:sz w:val="16"/>
        <w:szCs w:val="16"/>
      </w:rPr>
      <w:t xml:space="preserve">Bourse de Casablanca — Analyse Quantitative des Risques</w:t>
    </w:r>
    <w:r>
      <w:rPr>
        <w:rFonts w:ascii="Arial" w:cs="Arial" w:eastAsia="Arial" w:hAnsi="Arial"/>
        <w:color w:val="777777"/>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spacing w:after="100"/>
    </w:pPr>
    <w:r>
      <w:rPr>
        <w:rFonts w:ascii="Arial" w:cs="Arial" w:eastAsia="Arial" w:hAnsi="Arial"/>
        <w:b/>
        <w:bCs/>
        <w:color w:val="1A3A5C"/>
        <w:sz w:val="18"/>
        <w:szCs w:val="18"/>
      </w:rPr>
      <w:t xml:space="preserve">Prédiction de la Volatilité des Actions — Bourse de Casablanca</w:t>
    </w:r>
    <w:r>
      <w:rPr>
        <w:rFonts w:ascii="Arial" w:cs="Arial" w:eastAsia="Arial" w:hAnsi="Arial"/>
        <w:color w:val="999999"/>
        <w:sz w:val="18"/>
        <w:szCs w:val="18"/>
      </w:rPr>
      <w:t xml:space="preserve">  |  </w:t>
    </w:r>
    <w:r>
      <w:rPr>
        <w:rFonts w:ascii="Arial" w:cs="Arial" w:eastAsia="Arial" w:hAnsi="Arial"/>
        <w:color w:val="777777"/>
        <w:sz w:val="18"/>
        <w:szCs w:val="18"/>
      </w:rPr>
      <w:t xml:space="preserve">Rapport Pédagogique &amp; Métier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2026-03-24T07:41:41.624Z</dcterms:created>
  <dcterms:modified xsi:type="dcterms:W3CDTF">2026-03-24T07:41:41.624Z</dcterms:modified>
</cp:coreProperties>
</file>

<file path=docProps/custom.xml><?xml version="1.0" encoding="utf-8"?>
<Properties xmlns="http://schemas.openxmlformats.org/officeDocument/2006/custom-properties" xmlns:vt="http://schemas.openxmlformats.org/officeDocument/2006/docPropsVTypes"/>
</file>