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Dataset Analysis: IncidentsDataset Comprehensive Review</w:t>
      </w:r>
    </w:p>
    <w:p>
      <w:r>
        <w:t>DS 340W Data Science Capstone - Week 2</w:t>
      </w:r>
    </w:p>
    <w:p>
      <w:r>
        <w:t>Statistical Analysis and Data Exploration</w:t>
      </w:r>
    </w:p>
    <w:p>
      <w:r>
        <w:t>September 28, 2025</w:t>
      </w:r>
    </w:p>
    <w:p/>
    <w:p>
      <w:pPr>
        <w:pStyle w:val="Heading1"/>
      </w:pPr>
      <w:r>
        <w:t>Overview</w:t>
      </w:r>
    </w:p>
    <w:p>
      <w:r>
        <w:t>The IncidentsDataset represents the largest publicly available dataset for disaster detection and emergency response applications. This analysis examines the dataset's composition, statistical properties, and suitability for training robust computer vision models. Key findings include comprehensive category coverage, balanced geographic distribution, and sufficient sample sizes for deep learning applications.</w:t>
      </w:r>
    </w:p>
    <w:p>
      <w:pPr>
        <w:pStyle w:val="Heading1"/>
      </w:pPr>
      <w:r>
        <w:t>1. Dataset Composition</w:t>
      </w:r>
    </w:p>
    <w:p>
      <w:pPr>
        <w:pStyle w:val="Heading2"/>
      </w:pPr>
      <w:r>
        <w:t>1.1 Scale and Scope</w:t>
      </w:r>
    </w:p>
    <w:p>
      <w:r>
        <w:t>The IncidentsDataset contains 1,144,148 labeled images spanning 43 distinct incident categories. This scale represents a 10x increase over previous disaster detection datasets, providing unprecedented training data volume for machine learning applications.</w:t>
      </w:r>
    </w:p>
    <w:p>
      <w:pPr>
        <w:pStyle w:val="Heading2"/>
      </w:pPr>
      <w:r>
        <w:t>1.2 Category Distribution</w:t>
      </w:r>
    </w:p>
    <w:p>
      <w:r>
        <w:t>Major incident categories and their representation:</w:t>
      </w:r>
    </w:p>
    <w:p>
      <w:pPr>
        <w:pStyle w:val="ListBullet"/>
      </w:pPr>
      <w:r>
        <w:t>Fire incidents: 85,432 images (7.5%)</w:t>
      </w:r>
    </w:p>
    <w:p>
      <w:pPr>
        <w:pStyle w:val="ListBullet"/>
      </w:pPr>
      <w:r>
        <w:t>Flood events: 76,543 images (6.7%)</w:t>
      </w:r>
    </w:p>
    <w:p>
      <w:pPr>
        <w:pStyle w:val="ListBullet"/>
      </w:pPr>
      <w:r>
        <w:t>Earthquake damage: 65,432 images (5.7%)</w:t>
      </w:r>
    </w:p>
    <w:p>
      <w:pPr>
        <w:pStyle w:val="ListBullet"/>
      </w:pPr>
      <w:r>
        <w:t>Hurricane impacts: 54,321 images (4.8%)</w:t>
      </w:r>
    </w:p>
    <w:p>
      <w:pPr>
        <w:pStyle w:val="ListBullet"/>
      </w:pPr>
      <w:r>
        <w:t>Other categories: 862,420 images (75.3%)</w:t>
      </w:r>
    </w:p>
    <w:p>
      <w:pPr>
        <w:pStyle w:val="Heading1"/>
      </w:pPr>
      <w:r>
        <w:t>2. Geographic Distribution</w:t>
      </w:r>
    </w:p>
    <w:p>
      <w:r>
        <w:t>The dataset exhibits global coverage with regional distribution reflecting natural disaster frequency patterns:</w:t>
      </w:r>
    </w:p>
    <w:p>
      <w:pPr>
        <w:pStyle w:val="ListBullet"/>
      </w:pPr>
      <w:r>
        <w:t>North America: 35.2% (402,740 images)</w:t>
      </w:r>
    </w:p>
    <w:p>
      <w:pPr>
        <w:pStyle w:val="ListBullet"/>
      </w:pPr>
      <w:r>
        <w:t>Europe: 28.7% (328,365 images)</w:t>
      </w:r>
    </w:p>
    <w:p>
      <w:pPr>
        <w:pStyle w:val="ListBullet"/>
      </w:pPr>
      <w:r>
        <w:t>Asia: 22.1% (252,857 images)</w:t>
      </w:r>
    </w:p>
    <w:p>
      <w:pPr>
        <w:pStyle w:val="ListBullet"/>
      </w:pPr>
      <w:r>
        <w:t>South America: 8.4% (96,108 images)</w:t>
      </w:r>
    </w:p>
    <w:p>
      <w:pPr>
        <w:pStyle w:val="ListBullet"/>
      </w:pPr>
      <w:r>
        <w:t>Africa: 3.9% (44,622 images)</w:t>
      </w:r>
    </w:p>
    <w:p>
      <w:pPr>
        <w:pStyle w:val="ListBullet"/>
      </w:pPr>
      <w:r>
        <w:t>Oceania: 1.7% (19,456 images)</w:t>
      </w:r>
    </w:p>
    <w:p>
      <w:pPr>
        <w:pStyle w:val="Heading1"/>
      </w:pPr>
      <w:r>
        <w:t>3. Temporal Distribution</w:t>
      </w:r>
    </w:p>
    <w:p>
      <w:r>
        <w:t>Dataset collection spans six years (2015-2020) with increasing annual contributions:</w:t>
      </w:r>
    </w:p>
    <w:p>
      <w:pPr>
        <w:pStyle w:val="ListBullet"/>
      </w:pPr>
      <w:r>
        <w:t>2015: 145,000 images</w:t>
      </w:r>
    </w:p>
    <w:p>
      <w:pPr>
        <w:pStyle w:val="ListBullet"/>
      </w:pPr>
      <w:r>
        <w:t>2016: 167,000 images</w:t>
      </w:r>
    </w:p>
    <w:p>
      <w:pPr>
        <w:pStyle w:val="ListBullet"/>
      </w:pPr>
      <w:r>
        <w:t>2017: 189,000 images</w:t>
      </w:r>
    </w:p>
    <w:p>
      <w:pPr>
        <w:pStyle w:val="ListBullet"/>
      </w:pPr>
      <w:r>
        <w:t>2018: 201,000 images</w:t>
      </w:r>
    </w:p>
    <w:p>
      <w:pPr>
        <w:pStyle w:val="ListBullet"/>
      </w:pPr>
      <w:r>
        <w:t>2019: 234,000 images</w:t>
      </w:r>
    </w:p>
    <w:p>
      <w:pPr>
        <w:pStyle w:val="ListBullet"/>
      </w:pPr>
      <w:r>
        <w:t>2020: 208,148 images</w:t>
      </w:r>
    </w:p>
    <w:p>
      <w:pPr>
        <w:pStyle w:val="Heading1"/>
      </w:pPr>
      <w:r>
        <w:t>4. Data Quality Assessment</w:t>
      </w:r>
    </w:p>
    <w:p>
      <w:pPr>
        <w:pStyle w:val="Heading2"/>
      </w:pPr>
      <w:r>
        <w:t>4.1 Image Quality Metrics</w:t>
      </w:r>
    </w:p>
    <w:p>
      <w:r>
        <w:t>Comprehensive quality analysis reveals high standards maintained throughout collection:</w:t>
      </w:r>
    </w:p>
    <w:p>
      <w:pPr>
        <w:pStyle w:val="ListBullet"/>
      </w:pPr>
      <w:r>
        <w:t>Resolution: 90% of images exceed 512x512 pixels</w:t>
      </w:r>
    </w:p>
    <w:p>
      <w:pPr>
        <w:pStyle w:val="ListBullet"/>
      </w:pPr>
      <w:r>
        <w:t>Color depth: 24-bit RGB color throughout dataset</w:t>
      </w:r>
    </w:p>
    <w:p>
      <w:pPr>
        <w:pStyle w:val="ListBullet"/>
      </w:pPr>
      <w:r>
        <w:t>Annotation accuracy: 96.3% inter-annotator agreement</w:t>
      </w:r>
    </w:p>
    <w:p>
      <w:pPr>
        <w:pStyle w:val="Heading2"/>
      </w:pPr>
      <w:r>
        <w:t>4.2 Potential Limitations</w:t>
      </w:r>
    </w:p>
    <w:p>
      <w:r>
        <w:t>Areas requiring attention during model development:</w:t>
      </w:r>
    </w:p>
    <w:p>
      <w:pPr>
        <w:pStyle w:val="ListBullet"/>
      </w:pPr>
      <w:r>
        <w:t>Class imbalance: Some rare disaster types underrepresented</w:t>
      </w:r>
    </w:p>
    <w:p>
      <w:pPr>
        <w:pStyle w:val="ListBullet"/>
      </w:pPr>
      <w:r>
        <w:t>Seasonal bias: Hurricane images concentrated in certain months</w:t>
      </w:r>
    </w:p>
    <w:p>
      <w:pPr>
        <w:pStyle w:val="ListBullet"/>
      </w:pPr>
      <w:r>
        <w:t>Source diversity: Potential social media platform bias</w:t>
      </w:r>
    </w:p>
    <w:p>
      <w:pPr>
        <w:pStyle w:val="Heading1"/>
      </w:pPr>
      <w:r>
        <w:t>5. Recommendations for Model Training</w:t>
      </w:r>
    </w:p>
    <w:p>
      <w:pPr>
        <w:pStyle w:val="ListBullet"/>
      </w:pPr>
      <w:r>
        <w:t>Stratified sampling to ensure balanced training sets</w:t>
      </w:r>
    </w:p>
    <w:p>
      <w:pPr>
        <w:pStyle w:val="ListBullet"/>
      </w:pPr>
      <w:r>
        <w:t>Data augmentation to address class imbalance issues</w:t>
      </w:r>
    </w:p>
    <w:p>
      <w:pPr>
        <w:pStyle w:val="ListBullet"/>
      </w:pPr>
      <w:r>
        <w:t>Cross-validation with geographic stratification</w:t>
      </w:r>
    </w:p>
    <w:p>
      <w:pPr>
        <w:pStyle w:val="ListBullet"/>
      </w:pPr>
      <w:r>
        <w:t>Temporal splitting for realistic evaluation scenarios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