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3C2" w:rsidRDefault="002D43C2" w:rsidP="002D43C2">
      <w:pPr>
        <w:ind w:left="-567" w:right="-284"/>
      </w:pPr>
      <w:r w:rsidRPr="002D43C2">
        <w:drawing>
          <wp:inline distT="0" distB="0" distL="0" distR="0">
            <wp:extent cx="6060498" cy="3283527"/>
            <wp:effectExtent l="19050" t="0" r="16452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D43C2" w:rsidRDefault="002D43C2" w:rsidP="002D43C2">
      <w:pPr>
        <w:tabs>
          <w:tab w:val="left" w:pos="3030"/>
        </w:tabs>
        <w:ind w:left="-567" w:right="-426"/>
      </w:pPr>
      <w:r>
        <w:tab/>
      </w:r>
      <w:r w:rsidRPr="002D43C2">
        <w:drawing>
          <wp:inline distT="0" distB="0" distL="0" distR="0">
            <wp:extent cx="6060498" cy="3512128"/>
            <wp:effectExtent l="19050" t="0" r="16452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D43C2" w:rsidRPr="002D43C2" w:rsidRDefault="002D43C2" w:rsidP="002D43C2"/>
    <w:p w:rsidR="002D43C2" w:rsidRDefault="002D43C2" w:rsidP="002D43C2"/>
    <w:p w:rsidR="002D43C2" w:rsidRDefault="002D43C2" w:rsidP="002D43C2">
      <w:pPr>
        <w:ind w:left="-567" w:right="-567"/>
        <w:jc w:val="center"/>
      </w:pPr>
      <w:r w:rsidRPr="002D43C2">
        <w:lastRenderedPageBreak/>
        <w:drawing>
          <wp:inline distT="0" distB="0" distL="0" distR="0">
            <wp:extent cx="6067425" cy="3286125"/>
            <wp:effectExtent l="19050" t="0" r="9525" b="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26E06" w:rsidRDefault="002D43C2" w:rsidP="002D43C2">
      <w:pPr>
        <w:ind w:left="-567" w:right="-567"/>
        <w:jc w:val="center"/>
      </w:pPr>
      <w:r w:rsidRPr="002D43C2">
        <w:drawing>
          <wp:inline distT="0" distB="0" distL="0" distR="0">
            <wp:extent cx="5915025" cy="3800475"/>
            <wp:effectExtent l="19050" t="0" r="9525" b="0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D43C2" w:rsidRDefault="002D43C2" w:rsidP="002D43C2">
      <w:pPr>
        <w:ind w:left="-567" w:right="-567"/>
        <w:jc w:val="center"/>
      </w:pPr>
    </w:p>
    <w:p w:rsidR="002D43C2" w:rsidRDefault="002D43C2" w:rsidP="002D43C2">
      <w:pPr>
        <w:ind w:left="-567" w:right="-567"/>
        <w:jc w:val="center"/>
      </w:pPr>
    </w:p>
    <w:p w:rsidR="002D43C2" w:rsidRDefault="002D43C2" w:rsidP="002D43C2">
      <w:pPr>
        <w:ind w:left="-567" w:right="-567"/>
        <w:jc w:val="center"/>
      </w:pPr>
    </w:p>
    <w:p w:rsidR="002D43C2" w:rsidRDefault="002D43C2" w:rsidP="002D43C2">
      <w:pPr>
        <w:ind w:left="-567" w:right="-567"/>
        <w:jc w:val="center"/>
      </w:pPr>
    </w:p>
    <w:p w:rsidR="002D43C2" w:rsidRDefault="002D43C2" w:rsidP="002D43C2">
      <w:pPr>
        <w:ind w:left="-567" w:right="-567"/>
        <w:jc w:val="center"/>
      </w:pPr>
    </w:p>
    <w:p w:rsidR="002D43C2" w:rsidRDefault="002D43C2" w:rsidP="002D43C2">
      <w:pPr>
        <w:ind w:left="-567" w:right="-567"/>
        <w:jc w:val="center"/>
      </w:pPr>
      <w:r w:rsidRPr="002D43C2">
        <w:lastRenderedPageBreak/>
        <w:drawing>
          <wp:inline distT="0" distB="0" distL="0" distR="0">
            <wp:extent cx="6229350" cy="3286125"/>
            <wp:effectExtent l="19050" t="0" r="19050" b="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D43C2" w:rsidRPr="002D43C2" w:rsidRDefault="002D43C2" w:rsidP="002D43C2">
      <w:pPr>
        <w:tabs>
          <w:tab w:val="left" w:pos="3975"/>
        </w:tabs>
        <w:ind w:left="-567" w:right="-567"/>
      </w:pPr>
      <w:r>
        <w:tab/>
      </w:r>
      <w:r w:rsidRPr="002D43C2">
        <w:drawing>
          <wp:inline distT="0" distB="0" distL="0" distR="0">
            <wp:extent cx="6257925" cy="3343275"/>
            <wp:effectExtent l="19050" t="0" r="9525" b="0"/>
            <wp:docPr id="6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2D43C2" w:rsidRPr="002D43C2" w:rsidSect="00026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43C2"/>
    <w:rsid w:val="00026E06"/>
    <w:rsid w:val="002D4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E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D4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3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ony\Documents\Tp%20thermique%2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ony\Documents\Tp%20thermique%20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ony\Documents\Tp%20thermique%20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ony\Documents\Tp%20thermique%20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ony\Documents\Tp%20thermique%20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ony\Documents\Tp%20thermique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fr-FR"/>
  <c:chart>
    <c:title>
      <c:tx>
        <c:rich>
          <a:bodyPr/>
          <a:lstStyle/>
          <a:p>
            <a:pPr>
              <a:defRPr/>
            </a:pPr>
            <a:r>
              <a:rPr lang="en-US"/>
              <a:t>échantillon</a:t>
            </a:r>
            <a:r>
              <a:rPr lang="en-US" baseline="0"/>
              <a:t> noir T(°C)=f(t(s)) </a:t>
            </a:r>
            <a:endParaRPr lang="en-US"/>
          </a:p>
        </c:rich>
      </c:tx>
      <c:layout>
        <c:manualLayout>
          <c:xMode val="edge"/>
          <c:yMode val="edge"/>
          <c:x val="0.24678058494996979"/>
          <c:y val="2.7860696517412957E-2"/>
        </c:manualLayout>
      </c:layout>
    </c:title>
    <c:plotArea>
      <c:layout/>
      <c:lineChart>
        <c:grouping val="standard"/>
        <c:ser>
          <c:idx val="0"/>
          <c:order val="0"/>
          <c:tx>
            <c:strRef>
              <c:f>Feuil1!$B$1</c:f>
              <c:strCache>
                <c:ptCount val="1"/>
                <c:pt idx="0">
                  <c:v>réchauffement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Feuil1!$A$2:$A$19</c:f>
              <c:numCache>
                <c:formatCode>General</c:formatCode>
                <c:ptCount val="18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90</c:v>
                </c:pt>
                <c:pt idx="8">
                  <c:v>120</c:v>
                </c:pt>
                <c:pt idx="9">
                  <c:v>150</c:v>
                </c:pt>
                <c:pt idx="10">
                  <c:v>180</c:v>
                </c:pt>
                <c:pt idx="11">
                  <c:v>240</c:v>
                </c:pt>
                <c:pt idx="12">
                  <c:v>300</c:v>
                </c:pt>
                <c:pt idx="13">
                  <c:v>360</c:v>
                </c:pt>
                <c:pt idx="14">
                  <c:v>420</c:v>
                </c:pt>
                <c:pt idx="15">
                  <c:v>480</c:v>
                </c:pt>
                <c:pt idx="16">
                  <c:v>540</c:v>
                </c:pt>
                <c:pt idx="17">
                  <c:v>600</c:v>
                </c:pt>
              </c:numCache>
            </c:numRef>
          </c:cat>
          <c:val>
            <c:numRef>
              <c:f>Feuil1!$B$2:$B$19</c:f>
              <c:numCache>
                <c:formatCode>General</c:formatCode>
                <c:ptCount val="18"/>
                <c:pt idx="0">
                  <c:v>23</c:v>
                </c:pt>
                <c:pt idx="1">
                  <c:v>26</c:v>
                </c:pt>
                <c:pt idx="2">
                  <c:v>28.4</c:v>
                </c:pt>
                <c:pt idx="3">
                  <c:v>30.5</c:v>
                </c:pt>
                <c:pt idx="4">
                  <c:v>32</c:v>
                </c:pt>
                <c:pt idx="5">
                  <c:v>33.5</c:v>
                </c:pt>
                <c:pt idx="6">
                  <c:v>34.6</c:v>
                </c:pt>
                <c:pt idx="7">
                  <c:v>38</c:v>
                </c:pt>
                <c:pt idx="8">
                  <c:v>40.6</c:v>
                </c:pt>
                <c:pt idx="9">
                  <c:v>42.6</c:v>
                </c:pt>
                <c:pt idx="10">
                  <c:v>44.5</c:v>
                </c:pt>
                <c:pt idx="11">
                  <c:v>48.5</c:v>
                </c:pt>
                <c:pt idx="12">
                  <c:v>51.3</c:v>
                </c:pt>
                <c:pt idx="13">
                  <c:v>54.2</c:v>
                </c:pt>
                <c:pt idx="14">
                  <c:v>56.2</c:v>
                </c:pt>
                <c:pt idx="15">
                  <c:v>58.3</c:v>
                </c:pt>
                <c:pt idx="16">
                  <c:v>59.5</c:v>
                </c:pt>
                <c:pt idx="17">
                  <c:v>61.1</c:v>
                </c:pt>
              </c:numCache>
            </c:numRef>
          </c:val>
        </c:ser>
        <c:ser>
          <c:idx val="1"/>
          <c:order val="1"/>
          <c:tx>
            <c:v>absorption</c:v>
          </c:tx>
          <c:spPr>
            <a:ln>
              <a:solidFill>
                <a:srgbClr val="0070C0"/>
              </a:solidFill>
            </a:ln>
          </c:spPr>
          <c:marker>
            <c:symbol val="none"/>
          </c:marker>
          <c:val>
            <c:numRef>
              <c:f>Feuil1!$C$2:$C$19</c:f>
              <c:numCache>
                <c:formatCode>General</c:formatCode>
                <c:ptCount val="18"/>
                <c:pt idx="0">
                  <c:v>28</c:v>
                </c:pt>
                <c:pt idx="1">
                  <c:v>31.1</c:v>
                </c:pt>
                <c:pt idx="2">
                  <c:v>32.9</c:v>
                </c:pt>
                <c:pt idx="3">
                  <c:v>34.5</c:v>
                </c:pt>
                <c:pt idx="4">
                  <c:v>35.9</c:v>
                </c:pt>
                <c:pt idx="5">
                  <c:v>37.1</c:v>
                </c:pt>
                <c:pt idx="6">
                  <c:v>38.4</c:v>
                </c:pt>
                <c:pt idx="7">
                  <c:v>41.3</c:v>
                </c:pt>
                <c:pt idx="8">
                  <c:v>43.7</c:v>
                </c:pt>
                <c:pt idx="9">
                  <c:v>45.9</c:v>
                </c:pt>
                <c:pt idx="10">
                  <c:v>47.8</c:v>
                </c:pt>
                <c:pt idx="11">
                  <c:v>51</c:v>
                </c:pt>
                <c:pt idx="12">
                  <c:v>53.6</c:v>
                </c:pt>
                <c:pt idx="13">
                  <c:v>55.8</c:v>
                </c:pt>
                <c:pt idx="14">
                  <c:v>57.8</c:v>
                </c:pt>
                <c:pt idx="15">
                  <c:v>59.4</c:v>
                </c:pt>
                <c:pt idx="16">
                  <c:v>60.8</c:v>
                </c:pt>
                <c:pt idx="17">
                  <c:v>62.1</c:v>
                </c:pt>
              </c:numCache>
            </c:numRef>
          </c:val>
        </c:ser>
        <c:marker val="1"/>
        <c:axId val="74475392"/>
        <c:axId val="74510336"/>
      </c:lineChart>
      <c:catAx>
        <c:axId val="74475392"/>
        <c:scaling>
          <c:orientation val="minMax"/>
        </c:scaling>
        <c:axPos val="b"/>
        <c:numFmt formatCode="General" sourceLinked="1"/>
        <c:tickLblPos val="nextTo"/>
        <c:crossAx val="74510336"/>
        <c:crosses val="autoZero"/>
        <c:auto val="1"/>
        <c:lblAlgn val="ctr"/>
        <c:lblOffset val="100"/>
      </c:catAx>
      <c:valAx>
        <c:axId val="74510336"/>
        <c:scaling>
          <c:orientation val="minMax"/>
        </c:scaling>
        <c:axPos val="l"/>
        <c:majorGridlines/>
        <c:numFmt formatCode="General" sourceLinked="1"/>
        <c:tickLblPos val="nextTo"/>
        <c:crossAx val="74475392"/>
        <c:crosses val="autoZero"/>
        <c:crossBetween val="between"/>
      </c:valAx>
    </c:plotArea>
    <c:legend>
      <c:legendPos val="r"/>
      <c:spPr>
        <a:solidFill>
          <a:sysClr val="window" lastClr="FFFFFF"/>
        </a:solidFill>
      </c:sp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en-US"/>
              <a:t>échantillon</a:t>
            </a:r>
            <a:r>
              <a:rPr lang="en-US" baseline="0"/>
              <a:t> noir T(°C)=f(t(s))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Feuil2!$B$1</c:f>
              <c:strCache>
                <c:ptCount val="1"/>
                <c:pt idx="0">
                  <c:v>refroidissement</c:v>
                </c:pt>
              </c:strCache>
            </c:strRef>
          </c:tx>
          <c:marker>
            <c:symbol val="none"/>
          </c:marker>
          <c:cat>
            <c:numRef>
              <c:f>Feuil2!$A$2:$A$19</c:f>
              <c:numCache>
                <c:formatCode>General</c:formatCode>
                <c:ptCount val="18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90</c:v>
                </c:pt>
                <c:pt idx="8">
                  <c:v>120</c:v>
                </c:pt>
                <c:pt idx="9">
                  <c:v>150</c:v>
                </c:pt>
                <c:pt idx="10">
                  <c:v>180</c:v>
                </c:pt>
                <c:pt idx="11">
                  <c:v>240</c:v>
                </c:pt>
                <c:pt idx="12">
                  <c:v>300</c:v>
                </c:pt>
                <c:pt idx="13">
                  <c:v>360</c:v>
                </c:pt>
                <c:pt idx="14">
                  <c:v>420</c:v>
                </c:pt>
                <c:pt idx="15">
                  <c:v>480</c:v>
                </c:pt>
                <c:pt idx="16">
                  <c:v>540</c:v>
                </c:pt>
                <c:pt idx="17">
                  <c:v>600</c:v>
                </c:pt>
              </c:numCache>
            </c:numRef>
          </c:cat>
          <c:val>
            <c:numRef>
              <c:f>Feuil2!$B$2:$B$19</c:f>
              <c:numCache>
                <c:formatCode>General</c:formatCode>
                <c:ptCount val="18"/>
                <c:pt idx="0">
                  <c:v>57.7</c:v>
                </c:pt>
                <c:pt idx="1">
                  <c:v>55</c:v>
                </c:pt>
                <c:pt idx="2">
                  <c:v>52.4</c:v>
                </c:pt>
                <c:pt idx="3">
                  <c:v>49.8</c:v>
                </c:pt>
                <c:pt idx="4">
                  <c:v>47.4</c:v>
                </c:pt>
                <c:pt idx="5">
                  <c:v>45.5</c:v>
                </c:pt>
                <c:pt idx="6">
                  <c:v>43.5</c:v>
                </c:pt>
                <c:pt idx="7">
                  <c:v>39</c:v>
                </c:pt>
                <c:pt idx="8">
                  <c:v>36</c:v>
                </c:pt>
                <c:pt idx="9">
                  <c:v>33.800000000000011</c:v>
                </c:pt>
                <c:pt idx="10">
                  <c:v>32.4</c:v>
                </c:pt>
                <c:pt idx="11">
                  <c:v>30.7</c:v>
                </c:pt>
                <c:pt idx="12">
                  <c:v>29.6</c:v>
                </c:pt>
                <c:pt idx="13">
                  <c:v>29.1</c:v>
                </c:pt>
                <c:pt idx="14">
                  <c:v>28.8</c:v>
                </c:pt>
                <c:pt idx="15">
                  <c:v>28.5</c:v>
                </c:pt>
                <c:pt idx="16">
                  <c:v>28.5</c:v>
                </c:pt>
                <c:pt idx="17">
                  <c:v>28.5</c:v>
                </c:pt>
              </c:numCache>
            </c:numRef>
          </c:val>
        </c:ser>
        <c:ser>
          <c:idx val="1"/>
          <c:order val="1"/>
          <c:tx>
            <c:v>émission</c:v>
          </c:tx>
          <c:marker>
            <c:symbol val="none"/>
          </c:marker>
          <c:val>
            <c:numRef>
              <c:f>Feuil2!$C$2:$C$19</c:f>
              <c:numCache>
                <c:formatCode>General</c:formatCode>
                <c:ptCount val="18"/>
                <c:pt idx="0">
                  <c:v>62</c:v>
                </c:pt>
                <c:pt idx="1">
                  <c:v>58.8</c:v>
                </c:pt>
                <c:pt idx="2">
                  <c:v>56.3</c:v>
                </c:pt>
                <c:pt idx="3">
                  <c:v>53.7</c:v>
                </c:pt>
                <c:pt idx="4">
                  <c:v>51.6</c:v>
                </c:pt>
                <c:pt idx="5">
                  <c:v>49.1</c:v>
                </c:pt>
                <c:pt idx="6">
                  <c:v>47.4</c:v>
                </c:pt>
                <c:pt idx="7">
                  <c:v>42.5</c:v>
                </c:pt>
                <c:pt idx="8">
                  <c:v>38.9</c:v>
                </c:pt>
                <c:pt idx="9">
                  <c:v>36.1</c:v>
                </c:pt>
                <c:pt idx="10">
                  <c:v>34</c:v>
                </c:pt>
                <c:pt idx="11">
                  <c:v>31.3</c:v>
                </c:pt>
                <c:pt idx="12">
                  <c:v>29.7</c:v>
                </c:pt>
                <c:pt idx="13">
                  <c:v>28.6</c:v>
                </c:pt>
                <c:pt idx="14">
                  <c:v>28</c:v>
                </c:pt>
                <c:pt idx="15">
                  <c:v>27.5</c:v>
                </c:pt>
                <c:pt idx="16">
                  <c:v>27.2</c:v>
                </c:pt>
                <c:pt idx="17">
                  <c:v>27</c:v>
                </c:pt>
              </c:numCache>
            </c:numRef>
          </c:val>
        </c:ser>
        <c:marker val="1"/>
        <c:axId val="74792960"/>
        <c:axId val="74927104"/>
      </c:lineChart>
      <c:catAx>
        <c:axId val="74792960"/>
        <c:scaling>
          <c:orientation val="minMax"/>
        </c:scaling>
        <c:axPos val="b"/>
        <c:numFmt formatCode="General" sourceLinked="1"/>
        <c:tickLblPos val="nextTo"/>
        <c:crossAx val="74927104"/>
        <c:crosses val="autoZero"/>
        <c:auto val="1"/>
        <c:lblAlgn val="ctr"/>
        <c:lblOffset val="100"/>
      </c:catAx>
      <c:valAx>
        <c:axId val="74927104"/>
        <c:scaling>
          <c:orientation val="minMax"/>
        </c:scaling>
        <c:axPos val="l"/>
        <c:majorGridlines/>
        <c:numFmt formatCode="General" sourceLinked="1"/>
        <c:tickLblPos val="nextTo"/>
        <c:crossAx val="747929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en-US"/>
              <a:t>échantillon gris</a:t>
            </a:r>
          </a:p>
        </c:rich>
      </c:tx>
      <c:layout>
        <c:manualLayout>
          <c:xMode val="edge"/>
          <c:yMode val="edge"/>
          <c:x val="0.37433804290947154"/>
          <c:y val="3.5087719298245612E-2"/>
        </c:manualLayout>
      </c:layout>
    </c:title>
    <c:plotArea>
      <c:layout/>
      <c:lineChart>
        <c:grouping val="standard"/>
        <c:ser>
          <c:idx val="0"/>
          <c:order val="0"/>
          <c:tx>
            <c:strRef>
              <c:f>Feuil3!$B$1</c:f>
              <c:strCache>
                <c:ptCount val="1"/>
                <c:pt idx="0">
                  <c:v>réchauffement</c:v>
                </c:pt>
              </c:strCache>
            </c:strRef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marker>
            <c:symbol val="none"/>
          </c:marker>
          <c:val>
            <c:numRef>
              <c:f>Feuil3!$B$2:$B$19</c:f>
              <c:numCache>
                <c:formatCode>General</c:formatCode>
                <c:ptCount val="18"/>
                <c:pt idx="0">
                  <c:v>33</c:v>
                </c:pt>
                <c:pt idx="1">
                  <c:v>39.9</c:v>
                </c:pt>
                <c:pt idx="2">
                  <c:v>44.4</c:v>
                </c:pt>
                <c:pt idx="3">
                  <c:v>48.6</c:v>
                </c:pt>
                <c:pt idx="4">
                  <c:v>51.9</c:v>
                </c:pt>
                <c:pt idx="5">
                  <c:v>55.1</c:v>
                </c:pt>
                <c:pt idx="6">
                  <c:v>58.3</c:v>
                </c:pt>
                <c:pt idx="7">
                  <c:v>65.900000000000006</c:v>
                </c:pt>
                <c:pt idx="8">
                  <c:v>72</c:v>
                </c:pt>
                <c:pt idx="9">
                  <c:v>77.3</c:v>
                </c:pt>
                <c:pt idx="10">
                  <c:v>81.599999999999994</c:v>
                </c:pt>
                <c:pt idx="11">
                  <c:v>88.7</c:v>
                </c:pt>
                <c:pt idx="12">
                  <c:v>94.1</c:v>
                </c:pt>
                <c:pt idx="13">
                  <c:v>97.7</c:v>
                </c:pt>
                <c:pt idx="14">
                  <c:v>101</c:v>
                </c:pt>
                <c:pt idx="15">
                  <c:v>103.5</c:v>
                </c:pt>
                <c:pt idx="16">
                  <c:v>105.6</c:v>
                </c:pt>
                <c:pt idx="17">
                  <c:v>106.5</c:v>
                </c:pt>
              </c:numCache>
            </c:numRef>
          </c:val>
        </c:ser>
        <c:ser>
          <c:idx val="1"/>
          <c:order val="1"/>
          <c:tx>
            <c:v>absorption</c:v>
          </c:tx>
          <c:spPr>
            <a:ln>
              <a:solidFill>
                <a:schemeClr val="accent5">
                  <a:lumMod val="75000"/>
                </a:schemeClr>
              </a:solidFill>
            </a:ln>
          </c:spPr>
          <c:marker>
            <c:symbol val="none"/>
          </c:marker>
          <c:val>
            <c:numRef>
              <c:f>Feuil3!$C$2:$C$19</c:f>
              <c:numCache>
                <c:formatCode>General</c:formatCode>
                <c:ptCount val="18"/>
                <c:pt idx="0">
                  <c:v>43</c:v>
                </c:pt>
                <c:pt idx="1">
                  <c:v>48.1</c:v>
                </c:pt>
                <c:pt idx="2">
                  <c:v>52</c:v>
                </c:pt>
                <c:pt idx="3">
                  <c:v>55.1</c:v>
                </c:pt>
                <c:pt idx="4">
                  <c:v>58</c:v>
                </c:pt>
                <c:pt idx="5">
                  <c:v>60.7</c:v>
                </c:pt>
                <c:pt idx="6">
                  <c:v>62.9</c:v>
                </c:pt>
                <c:pt idx="7">
                  <c:v>68.8</c:v>
                </c:pt>
                <c:pt idx="8">
                  <c:v>73</c:v>
                </c:pt>
                <c:pt idx="9">
                  <c:v>77.8</c:v>
                </c:pt>
                <c:pt idx="10">
                  <c:v>81.3</c:v>
                </c:pt>
                <c:pt idx="11">
                  <c:v>87.4</c:v>
                </c:pt>
                <c:pt idx="12">
                  <c:v>92.2</c:v>
                </c:pt>
                <c:pt idx="13">
                  <c:v>96.3</c:v>
                </c:pt>
                <c:pt idx="14">
                  <c:v>99.6</c:v>
                </c:pt>
                <c:pt idx="15">
                  <c:v>102.4</c:v>
                </c:pt>
                <c:pt idx="16">
                  <c:v>104.7</c:v>
                </c:pt>
                <c:pt idx="17">
                  <c:v>106</c:v>
                </c:pt>
              </c:numCache>
            </c:numRef>
          </c:val>
        </c:ser>
        <c:marker val="1"/>
        <c:axId val="76667904"/>
        <c:axId val="76671616"/>
      </c:lineChart>
      <c:catAx>
        <c:axId val="76667904"/>
        <c:scaling>
          <c:orientation val="minMax"/>
        </c:scaling>
        <c:axPos val="b"/>
        <c:numFmt formatCode="General" sourceLinked="1"/>
        <c:tickLblPos val="nextTo"/>
        <c:crossAx val="76671616"/>
        <c:crosses val="autoZero"/>
        <c:auto val="1"/>
        <c:lblAlgn val="ctr"/>
        <c:lblOffset val="100"/>
      </c:catAx>
      <c:valAx>
        <c:axId val="76671616"/>
        <c:scaling>
          <c:orientation val="minMax"/>
        </c:scaling>
        <c:axPos val="l"/>
        <c:majorGridlines/>
        <c:numFmt formatCode="General" sourceLinked="1"/>
        <c:tickLblPos val="nextTo"/>
        <c:crossAx val="766679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fr-FR"/>
              <a:t>échantillon</a:t>
            </a:r>
            <a:r>
              <a:rPr lang="fr-FR" baseline="0"/>
              <a:t> gris T(°C)=f(t(s))</a:t>
            </a:r>
            <a:endParaRPr lang="fr-FR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Feuil4!$B$1</c:f>
              <c:strCache>
                <c:ptCount val="1"/>
                <c:pt idx="0">
                  <c:v>refroidissement</c:v>
                </c:pt>
              </c:strCache>
            </c:strRef>
          </c:tx>
          <c:spPr>
            <a:ln>
              <a:solidFill>
                <a:srgbClr val="7030A0"/>
              </a:solidFill>
            </a:ln>
          </c:spPr>
          <c:marker>
            <c:symbol val="none"/>
          </c:marker>
          <c:cat>
            <c:numRef>
              <c:f>Feuil4!$A$2:$A$19</c:f>
              <c:numCache>
                <c:formatCode>General</c:formatCode>
                <c:ptCount val="18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90</c:v>
                </c:pt>
                <c:pt idx="8">
                  <c:v>120</c:v>
                </c:pt>
                <c:pt idx="9">
                  <c:v>150</c:v>
                </c:pt>
                <c:pt idx="10">
                  <c:v>180</c:v>
                </c:pt>
                <c:pt idx="11">
                  <c:v>240</c:v>
                </c:pt>
                <c:pt idx="12">
                  <c:v>300</c:v>
                </c:pt>
                <c:pt idx="13">
                  <c:v>360</c:v>
                </c:pt>
                <c:pt idx="14">
                  <c:v>420</c:v>
                </c:pt>
                <c:pt idx="15">
                  <c:v>480</c:v>
                </c:pt>
                <c:pt idx="16">
                  <c:v>540</c:v>
                </c:pt>
                <c:pt idx="17">
                  <c:v>600</c:v>
                </c:pt>
              </c:numCache>
            </c:numRef>
          </c:cat>
          <c:val>
            <c:numRef>
              <c:f>Feuil4!$B$2:$B$19</c:f>
              <c:numCache>
                <c:formatCode>General</c:formatCode>
                <c:ptCount val="18"/>
                <c:pt idx="0">
                  <c:v>105</c:v>
                </c:pt>
                <c:pt idx="1">
                  <c:v>98.6</c:v>
                </c:pt>
                <c:pt idx="2">
                  <c:v>93.9</c:v>
                </c:pt>
                <c:pt idx="3">
                  <c:v>89</c:v>
                </c:pt>
                <c:pt idx="4">
                  <c:v>84</c:v>
                </c:pt>
                <c:pt idx="5">
                  <c:v>80</c:v>
                </c:pt>
                <c:pt idx="6">
                  <c:v>75.900000000000006</c:v>
                </c:pt>
                <c:pt idx="7">
                  <c:v>66.5</c:v>
                </c:pt>
                <c:pt idx="8">
                  <c:v>59.5</c:v>
                </c:pt>
                <c:pt idx="9">
                  <c:v>54.3</c:v>
                </c:pt>
                <c:pt idx="10">
                  <c:v>50.6</c:v>
                </c:pt>
                <c:pt idx="11">
                  <c:v>45.5</c:v>
                </c:pt>
                <c:pt idx="12">
                  <c:v>42.4</c:v>
                </c:pt>
                <c:pt idx="13">
                  <c:v>40.800000000000011</c:v>
                </c:pt>
                <c:pt idx="14">
                  <c:v>40</c:v>
                </c:pt>
                <c:pt idx="15">
                  <c:v>39</c:v>
                </c:pt>
                <c:pt idx="16">
                  <c:v>38.1</c:v>
                </c:pt>
                <c:pt idx="17">
                  <c:v>37.5</c:v>
                </c:pt>
              </c:numCache>
            </c:numRef>
          </c:val>
        </c:ser>
        <c:ser>
          <c:idx val="1"/>
          <c:order val="1"/>
          <c:tx>
            <c:v>émission</c:v>
          </c:tx>
          <c:spPr>
            <a:ln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val>
            <c:numRef>
              <c:f>Feuil4!$C$2:$C$19</c:f>
              <c:numCache>
                <c:formatCode>General</c:formatCode>
                <c:ptCount val="18"/>
                <c:pt idx="0">
                  <c:v>98</c:v>
                </c:pt>
                <c:pt idx="1">
                  <c:v>94.5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75.5</c:v>
                </c:pt>
                <c:pt idx="6">
                  <c:v>72.099999999999994</c:v>
                </c:pt>
                <c:pt idx="7">
                  <c:v>62</c:v>
                </c:pt>
                <c:pt idx="8">
                  <c:v>54.4</c:v>
                </c:pt>
                <c:pt idx="9">
                  <c:v>49.3</c:v>
                </c:pt>
                <c:pt idx="10">
                  <c:v>45.4</c:v>
                </c:pt>
                <c:pt idx="11">
                  <c:v>40.1</c:v>
                </c:pt>
                <c:pt idx="12">
                  <c:v>36.9</c:v>
                </c:pt>
                <c:pt idx="13">
                  <c:v>34.9</c:v>
                </c:pt>
                <c:pt idx="14">
                  <c:v>33.5</c:v>
                </c:pt>
                <c:pt idx="15">
                  <c:v>32.300000000000011</c:v>
                </c:pt>
                <c:pt idx="16">
                  <c:v>31.4</c:v>
                </c:pt>
                <c:pt idx="17">
                  <c:v>30.7</c:v>
                </c:pt>
              </c:numCache>
            </c:numRef>
          </c:val>
        </c:ser>
        <c:marker val="1"/>
        <c:axId val="77166080"/>
        <c:axId val="78070144"/>
      </c:lineChart>
      <c:catAx>
        <c:axId val="77166080"/>
        <c:scaling>
          <c:orientation val="minMax"/>
        </c:scaling>
        <c:axPos val="b"/>
        <c:numFmt formatCode="General" sourceLinked="1"/>
        <c:tickLblPos val="nextTo"/>
        <c:crossAx val="78070144"/>
        <c:crosses val="autoZero"/>
        <c:auto val="1"/>
        <c:lblAlgn val="ctr"/>
        <c:lblOffset val="100"/>
      </c:catAx>
      <c:valAx>
        <c:axId val="78070144"/>
        <c:scaling>
          <c:orientation val="minMax"/>
        </c:scaling>
        <c:axPos val="l"/>
        <c:majorGridlines/>
        <c:numFmt formatCode="General" sourceLinked="1"/>
        <c:tickLblPos val="nextTo"/>
        <c:crossAx val="771660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en-US"/>
              <a:t>échantillon sous</a:t>
            </a:r>
            <a:r>
              <a:rPr lang="en-US" baseline="0"/>
              <a:t> vide (absorption)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Feuil5!$C$1</c:f>
              <c:strCache>
                <c:ptCount val="1"/>
                <c:pt idx="0">
                  <c:v>échantillon gris</c:v>
                </c:pt>
              </c:strCache>
            </c:strRef>
          </c:tx>
          <c:spPr>
            <a:ln>
              <a:solidFill>
                <a:schemeClr val="accent6">
                  <a:lumMod val="50000"/>
                </a:schemeClr>
              </a:solidFill>
            </a:ln>
          </c:spPr>
          <c:marker>
            <c:symbol val="none"/>
          </c:marker>
          <c:cat>
            <c:numRef>
              <c:f>Feuil5!$A$2:$A$19</c:f>
              <c:numCache>
                <c:formatCode>General</c:formatCode>
                <c:ptCount val="18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90</c:v>
                </c:pt>
                <c:pt idx="8">
                  <c:v>120</c:v>
                </c:pt>
                <c:pt idx="9">
                  <c:v>150</c:v>
                </c:pt>
                <c:pt idx="10">
                  <c:v>180</c:v>
                </c:pt>
                <c:pt idx="11">
                  <c:v>240</c:v>
                </c:pt>
                <c:pt idx="12">
                  <c:v>300</c:v>
                </c:pt>
                <c:pt idx="13">
                  <c:v>360</c:v>
                </c:pt>
                <c:pt idx="14">
                  <c:v>420</c:v>
                </c:pt>
                <c:pt idx="15">
                  <c:v>480</c:v>
                </c:pt>
                <c:pt idx="16">
                  <c:v>540</c:v>
                </c:pt>
                <c:pt idx="17">
                  <c:v>600</c:v>
                </c:pt>
              </c:numCache>
            </c:numRef>
          </c:cat>
          <c:val>
            <c:numRef>
              <c:f>Feuil5!$C$2:$C$19</c:f>
              <c:numCache>
                <c:formatCode>General</c:formatCode>
                <c:ptCount val="18"/>
                <c:pt idx="0">
                  <c:v>43</c:v>
                </c:pt>
                <c:pt idx="1">
                  <c:v>48.1</c:v>
                </c:pt>
                <c:pt idx="2">
                  <c:v>52</c:v>
                </c:pt>
                <c:pt idx="3">
                  <c:v>55.1</c:v>
                </c:pt>
                <c:pt idx="4">
                  <c:v>58</c:v>
                </c:pt>
                <c:pt idx="5">
                  <c:v>60.7</c:v>
                </c:pt>
                <c:pt idx="6">
                  <c:v>62.9</c:v>
                </c:pt>
                <c:pt idx="7">
                  <c:v>68.8</c:v>
                </c:pt>
                <c:pt idx="8">
                  <c:v>73</c:v>
                </c:pt>
                <c:pt idx="9">
                  <c:v>77.8</c:v>
                </c:pt>
                <c:pt idx="10">
                  <c:v>81.3</c:v>
                </c:pt>
                <c:pt idx="11">
                  <c:v>87.4</c:v>
                </c:pt>
                <c:pt idx="12">
                  <c:v>92.2</c:v>
                </c:pt>
                <c:pt idx="13">
                  <c:v>96.3</c:v>
                </c:pt>
                <c:pt idx="14">
                  <c:v>99.6</c:v>
                </c:pt>
                <c:pt idx="15">
                  <c:v>102.4</c:v>
                </c:pt>
                <c:pt idx="16">
                  <c:v>104.7</c:v>
                </c:pt>
                <c:pt idx="17">
                  <c:v>106</c:v>
                </c:pt>
              </c:numCache>
            </c:numRef>
          </c:val>
        </c:ser>
        <c:ser>
          <c:idx val="1"/>
          <c:order val="1"/>
          <c:tx>
            <c:v>échantillon noir</c:v>
          </c:tx>
          <c:spPr>
            <a:ln>
              <a:solidFill>
                <a:schemeClr val="accent1">
                  <a:lumMod val="50000"/>
                </a:schemeClr>
              </a:solidFill>
            </a:ln>
          </c:spPr>
          <c:marker>
            <c:symbol val="none"/>
          </c:marker>
          <c:val>
            <c:numRef>
              <c:f>Feuil5!$B$2:$B$19</c:f>
              <c:numCache>
                <c:formatCode>General</c:formatCode>
                <c:ptCount val="18"/>
                <c:pt idx="0">
                  <c:v>28</c:v>
                </c:pt>
                <c:pt idx="1">
                  <c:v>31.1</c:v>
                </c:pt>
                <c:pt idx="2">
                  <c:v>32.9</c:v>
                </c:pt>
                <c:pt idx="3">
                  <c:v>34.5</c:v>
                </c:pt>
                <c:pt idx="4">
                  <c:v>35.9</c:v>
                </c:pt>
                <c:pt idx="5">
                  <c:v>37.1</c:v>
                </c:pt>
                <c:pt idx="6">
                  <c:v>38.4</c:v>
                </c:pt>
                <c:pt idx="7">
                  <c:v>41.3</c:v>
                </c:pt>
                <c:pt idx="8">
                  <c:v>43.7</c:v>
                </c:pt>
                <c:pt idx="9">
                  <c:v>45.9</c:v>
                </c:pt>
                <c:pt idx="10">
                  <c:v>47.8</c:v>
                </c:pt>
                <c:pt idx="11">
                  <c:v>51</c:v>
                </c:pt>
                <c:pt idx="12">
                  <c:v>53.6</c:v>
                </c:pt>
                <c:pt idx="13">
                  <c:v>55.8</c:v>
                </c:pt>
                <c:pt idx="14">
                  <c:v>57.8</c:v>
                </c:pt>
                <c:pt idx="15">
                  <c:v>59.4</c:v>
                </c:pt>
                <c:pt idx="16">
                  <c:v>60.8</c:v>
                </c:pt>
                <c:pt idx="17">
                  <c:v>62.1</c:v>
                </c:pt>
              </c:numCache>
            </c:numRef>
          </c:val>
        </c:ser>
        <c:marker val="1"/>
        <c:axId val="89802240"/>
        <c:axId val="89803776"/>
      </c:lineChart>
      <c:catAx>
        <c:axId val="89802240"/>
        <c:scaling>
          <c:orientation val="minMax"/>
        </c:scaling>
        <c:axPos val="b"/>
        <c:numFmt formatCode="General" sourceLinked="1"/>
        <c:tickLblPos val="nextTo"/>
        <c:crossAx val="89803776"/>
        <c:crosses val="autoZero"/>
        <c:auto val="1"/>
        <c:lblAlgn val="ctr"/>
        <c:lblOffset val="100"/>
      </c:catAx>
      <c:valAx>
        <c:axId val="89803776"/>
        <c:scaling>
          <c:orientation val="minMax"/>
        </c:scaling>
        <c:axPos val="l"/>
        <c:majorGridlines/>
        <c:numFmt formatCode="General" sourceLinked="1"/>
        <c:tickLblPos val="nextTo"/>
        <c:crossAx val="898022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>
                <a:solidFill>
                  <a:sysClr val="windowText" lastClr="000000"/>
                </a:solidFill>
              </a:defRPr>
            </a:pPr>
            <a:r>
              <a:rPr lang="fr-FR">
                <a:solidFill>
                  <a:sysClr val="windowText" lastClr="000000"/>
                </a:solidFill>
              </a:rPr>
              <a:t>échantillon sous</a:t>
            </a:r>
            <a:r>
              <a:rPr lang="fr-FR" baseline="0">
                <a:solidFill>
                  <a:sysClr val="windowText" lastClr="000000"/>
                </a:solidFill>
              </a:rPr>
              <a:t> vide(émission)</a:t>
            </a:r>
            <a:endParaRPr lang="fr-FR">
              <a:solidFill>
                <a:sysClr val="windowText" lastClr="000000"/>
              </a:solidFill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Feuil6!$C$1</c:f>
              <c:strCache>
                <c:ptCount val="1"/>
                <c:pt idx="0">
                  <c:v>échantillon gris</c:v>
                </c:pt>
              </c:strCache>
            </c:strRef>
          </c:tx>
          <c:spPr>
            <a:ln>
              <a:solidFill>
                <a:schemeClr val="accent6">
                  <a:lumMod val="50000"/>
                </a:schemeClr>
              </a:solidFill>
            </a:ln>
          </c:spPr>
          <c:marker>
            <c:symbol val="none"/>
          </c:marker>
          <c:cat>
            <c:numRef>
              <c:f>Feuil6!$A$2:$A$19</c:f>
              <c:numCache>
                <c:formatCode>General</c:formatCode>
                <c:ptCount val="18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90</c:v>
                </c:pt>
                <c:pt idx="8">
                  <c:v>120</c:v>
                </c:pt>
                <c:pt idx="9">
                  <c:v>150</c:v>
                </c:pt>
                <c:pt idx="10">
                  <c:v>180</c:v>
                </c:pt>
                <c:pt idx="11">
                  <c:v>240</c:v>
                </c:pt>
                <c:pt idx="12">
                  <c:v>300</c:v>
                </c:pt>
                <c:pt idx="13">
                  <c:v>360</c:v>
                </c:pt>
                <c:pt idx="14">
                  <c:v>420</c:v>
                </c:pt>
                <c:pt idx="15">
                  <c:v>480</c:v>
                </c:pt>
                <c:pt idx="16">
                  <c:v>540</c:v>
                </c:pt>
                <c:pt idx="17">
                  <c:v>600</c:v>
                </c:pt>
              </c:numCache>
            </c:numRef>
          </c:cat>
          <c:val>
            <c:numRef>
              <c:f>Feuil6!$C$2:$C$19</c:f>
              <c:numCache>
                <c:formatCode>General</c:formatCode>
                <c:ptCount val="18"/>
                <c:pt idx="0">
                  <c:v>98</c:v>
                </c:pt>
                <c:pt idx="1">
                  <c:v>94.5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75.5</c:v>
                </c:pt>
                <c:pt idx="6">
                  <c:v>72.099999999999994</c:v>
                </c:pt>
                <c:pt idx="7">
                  <c:v>62</c:v>
                </c:pt>
                <c:pt idx="8">
                  <c:v>54.4</c:v>
                </c:pt>
                <c:pt idx="9">
                  <c:v>49.3</c:v>
                </c:pt>
                <c:pt idx="10">
                  <c:v>45.4</c:v>
                </c:pt>
                <c:pt idx="11">
                  <c:v>40.1</c:v>
                </c:pt>
                <c:pt idx="12">
                  <c:v>36.9</c:v>
                </c:pt>
                <c:pt idx="13">
                  <c:v>34.9</c:v>
                </c:pt>
                <c:pt idx="14">
                  <c:v>33.5</c:v>
                </c:pt>
                <c:pt idx="15">
                  <c:v>32.300000000000011</c:v>
                </c:pt>
                <c:pt idx="16">
                  <c:v>31.4</c:v>
                </c:pt>
                <c:pt idx="17">
                  <c:v>30.7</c:v>
                </c:pt>
              </c:numCache>
            </c:numRef>
          </c:val>
        </c:ser>
        <c:ser>
          <c:idx val="1"/>
          <c:order val="1"/>
          <c:tx>
            <c:v>échantillon noir</c:v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val>
            <c:numRef>
              <c:f>Feuil6!$B$2:$B$19</c:f>
              <c:numCache>
                <c:formatCode>General</c:formatCode>
                <c:ptCount val="18"/>
                <c:pt idx="0">
                  <c:v>62</c:v>
                </c:pt>
                <c:pt idx="1">
                  <c:v>58.8</c:v>
                </c:pt>
                <c:pt idx="2">
                  <c:v>56.3</c:v>
                </c:pt>
                <c:pt idx="3">
                  <c:v>53.7</c:v>
                </c:pt>
                <c:pt idx="4">
                  <c:v>51.6</c:v>
                </c:pt>
                <c:pt idx="5">
                  <c:v>49.1</c:v>
                </c:pt>
                <c:pt idx="6">
                  <c:v>47.4</c:v>
                </c:pt>
                <c:pt idx="7">
                  <c:v>42.5</c:v>
                </c:pt>
                <c:pt idx="8">
                  <c:v>38.9</c:v>
                </c:pt>
                <c:pt idx="9">
                  <c:v>36.1</c:v>
                </c:pt>
                <c:pt idx="10">
                  <c:v>34</c:v>
                </c:pt>
                <c:pt idx="11">
                  <c:v>31.3</c:v>
                </c:pt>
                <c:pt idx="12">
                  <c:v>29.7</c:v>
                </c:pt>
                <c:pt idx="13">
                  <c:v>28.6</c:v>
                </c:pt>
                <c:pt idx="14">
                  <c:v>28</c:v>
                </c:pt>
                <c:pt idx="15">
                  <c:v>27.5</c:v>
                </c:pt>
                <c:pt idx="16">
                  <c:v>27.2</c:v>
                </c:pt>
                <c:pt idx="17">
                  <c:v>27</c:v>
                </c:pt>
              </c:numCache>
            </c:numRef>
          </c:val>
        </c:ser>
        <c:marker val="1"/>
        <c:axId val="75148288"/>
        <c:axId val="75162368"/>
      </c:lineChart>
      <c:catAx>
        <c:axId val="75148288"/>
        <c:scaling>
          <c:orientation val="minMax"/>
        </c:scaling>
        <c:axPos val="b"/>
        <c:numFmt formatCode="General" sourceLinked="1"/>
        <c:tickLblPos val="nextTo"/>
        <c:crossAx val="75162368"/>
        <c:crosses val="autoZero"/>
        <c:auto val="1"/>
        <c:lblAlgn val="ctr"/>
        <c:lblOffset val="100"/>
      </c:catAx>
      <c:valAx>
        <c:axId val="75162368"/>
        <c:scaling>
          <c:orientation val="minMax"/>
        </c:scaling>
        <c:axPos val="l"/>
        <c:majorGridlines/>
        <c:numFmt formatCode="General" sourceLinked="1"/>
        <c:tickLblPos val="nextTo"/>
        <c:crossAx val="751482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2018-11-14T17:45:00Z</dcterms:created>
  <dcterms:modified xsi:type="dcterms:W3CDTF">2018-11-14T17:53:00Z</dcterms:modified>
</cp:coreProperties>
</file>