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993" w:left="0" w:firstLine="0"/>
        <w:jc w:val="left"/>
        <w:rPr>
          <w:rFonts w:ascii="Calibri" w:hAnsi="Calibri" w:cs="Calibri" w:eastAsia="Calibri"/>
          <w:color w:val="auto"/>
          <w:spacing w:val="0"/>
          <w:position w:val="0"/>
          <w:sz w:val="22"/>
          <w:shd w:fill="auto" w:val="clear"/>
        </w:rPr>
      </w:pPr>
      <w:r>
        <w:object w:dxaOrig="2125" w:dyaOrig="2288">
          <v:rect xmlns:o="urn:schemas-microsoft-com:office:office" xmlns:v="urn:schemas-microsoft-com:vml" id="rectole0000000000" style="width:106.250000pt;height:1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Dotum" w:hAnsi="Dotum" w:cs="Dotum" w:eastAsia="Dotum"/>
          <w:b/>
          <w:i/>
          <w:color w:val="0070C0"/>
          <w:spacing w:val="0"/>
          <w:position w:val="0"/>
          <w:sz w:val="36"/>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333333"/>
          <w:spacing w:val="0"/>
          <w:position w:val="0"/>
          <w:sz w:val="36"/>
          <w:shd w:fill="auto" w:val="clear"/>
        </w:rPr>
        <w:t xml:space="preserve">Ecole nationale  D’ingénieurs de Gabes    </w:t>
      </w:r>
    </w:p>
    <w:p>
      <w:pPr>
        <w:spacing w:before="0" w:after="200" w:line="276"/>
        <w:ind w:right="-993" w:left="0" w:firstLine="284"/>
        <w:jc w:val="center"/>
        <w:rPr>
          <w:rFonts w:ascii="Calibri" w:hAnsi="Calibri" w:cs="Calibri" w:eastAsia="Calibri"/>
          <w:color w:val="333333"/>
          <w:spacing w:val="0"/>
          <w:position w:val="0"/>
          <w:sz w:val="36"/>
          <w:shd w:fill="auto" w:val="clear"/>
        </w:rPr>
      </w:pPr>
      <w:r>
        <w:rPr>
          <w:rFonts w:ascii="Calibri" w:hAnsi="Calibri" w:cs="Calibri" w:eastAsia="Calibri"/>
          <w:color w:val="333333"/>
          <w:spacing w:val="0"/>
          <w:position w:val="0"/>
          <w:sz w:val="36"/>
          <w:shd w:fill="auto" w:val="clear"/>
        </w:rPr>
        <w:t xml:space="preserve"> Département  Génie Civil </w:t>
      </w:r>
    </w:p>
    <w:p>
      <w:pPr>
        <w:spacing w:before="0" w:after="200" w:line="276"/>
        <w:ind w:right="-99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276"/>
        <w:ind w:right="0" w:left="-851" w:firstLine="851"/>
        <w:jc w:val="center"/>
        <w:rPr>
          <w:rFonts w:ascii="Calibri" w:hAnsi="Calibri" w:cs="Calibri" w:eastAsia="Calibri"/>
          <w:color w:val="auto"/>
          <w:spacing w:val="0"/>
          <w:position w:val="0"/>
          <w:sz w:val="22"/>
          <w:shd w:fill="auto" w:val="clear"/>
        </w:rPr>
      </w:pPr>
    </w:p>
    <w:p>
      <w:pPr>
        <w:spacing w:before="0" w:after="200" w:line="276"/>
        <w:ind w:right="0" w:left="-567" w:hanging="142"/>
        <w:jc w:val="center"/>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TRAVAUX PRATIQUE</w:t>
      </w:r>
    </w:p>
    <w:p>
      <w:pPr>
        <w:spacing w:before="0" w:after="200" w:line="276"/>
        <w:ind w:right="0" w:left="0" w:firstLine="851"/>
        <w:jc w:val="center"/>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DE</w:t>
      </w:r>
    </w:p>
    <w:p>
      <w:pPr>
        <w:spacing w:before="0" w:after="200" w:line="276"/>
        <w:ind w:right="0" w:left="0" w:hanging="142"/>
        <w:jc w:val="center"/>
        <w:rPr>
          <w:rFonts w:ascii="Century" w:hAnsi="Century" w:cs="Century" w:eastAsia="Century"/>
          <w:b/>
          <w:i/>
          <w:color w:val="00B050"/>
          <w:spacing w:val="0"/>
          <w:position w:val="0"/>
          <w:sz w:val="48"/>
          <w:shd w:fill="auto" w:val="clear"/>
        </w:rPr>
      </w:pPr>
      <w:r>
        <w:rPr>
          <w:rFonts w:ascii="Century" w:hAnsi="Century" w:cs="Century" w:eastAsia="Century"/>
          <w:b/>
          <w:i/>
          <w:color w:val="00B050"/>
          <w:spacing w:val="0"/>
          <w:position w:val="0"/>
          <w:sz w:val="48"/>
          <w:shd w:fill="auto" w:val="clear"/>
        </w:rPr>
        <w:t xml:space="preserve">  MATERIAUX  DE CONSTRUCTION</w:t>
      </w:r>
    </w:p>
    <w:p>
      <w:pPr>
        <w:spacing w:before="0" w:after="200" w:line="276"/>
        <w:ind w:right="0" w:left="0" w:firstLine="851"/>
        <w:jc w:val="left"/>
        <w:rPr>
          <w:rFonts w:ascii="Century" w:hAnsi="Century" w:cs="Century" w:eastAsia="Century"/>
          <w:b/>
          <w:i/>
          <w:color w:val="00B050"/>
          <w:spacing w:val="0"/>
          <w:position w:val="0"/>
          <w:sz w:val="48"/>
          <w:shd w:fill="auto" w:val="clear"/>
        </w:rPr>
      </w:pPr>
    </w:p>
    <w:p>
      <w:pPr>
        <w:spacing w:before="0" w:after="200" w:line="276"/>
        <w:ind w:right="0" w:left="0" w:firstLine="851"/>
        <w:jc w:val="left"/>
        <w:rPr>
          <w:rFonts w:ascii="Century" w:hAnsi="Century" w:cs="Century" w:eastAsia="Century"/>
          <w:b/>
          <w:i/>
          <w:color w:val="00B050"/>
          <w:spacing w:val="0"/>
          <w:position w:val="0"/>
          <w:sz w:val="48"/>
          <w:shd w:fill="auto" w:val="clear"/>
        </w:rPr>
      </w:pPr>
      <w:r>
        <w:rPr>
          <w:rFonts w:ascii="Dotum" w:hAnsi="Dotum" w:cs="Dotum" w:eastAsia="Dotum"/>
          <w:b/>
          <w:i/>
          <w:color w:val="000000"/>
          <w:spacing w:val="0"/>
          <w:position w:val="0"/>
          <w:sz w:val="44"/>
          <w:shd w:fill="auto" w:val="clear"/>
        </w:rPr>
        <w:t xml:space="preserve">                 </w:t>
      </w:r>
    </w:p>
    <w:p>
      <w:pPr>
        <w:spacing w:before="0" w:after="200" w:line="276"/>
        <w:ind w:right="0" w:left="0" w:firstLine="851"/>
        <w:jc w:val="left"/>
        <w:rPr>
          <w:rFonts w:ascii="Comic Sans MS" w:hAnsi="Comic Sans MS" w:cs="Comic Sans MS" w:eastAsia="Comic Sans MS"/>
          <w:b/>
          <w:i/>
          <w:color w:val="9B00D3"/>
          <w:spacing w:val="0"/>
          <w:position w:val="0"/>
          <w:sz w:val="44"/>
          <w:shd w:fill="auto" w:val="clear"/>
        </w:rPr>
      </w:pPr>
      <w:r>
        <w:rPr>
          <w:rFonts w:ascii="Comic Sans MS" w:hAnsi="Comic Sans MS" w:cs="Comic Sans MS" w:eastAsia="Comic Sans MS"/>
          <w:b/>
          <w:i/>
          <w:color w:val="9B00D3"/>
          <w:spacing w:val="0"/>
          <w:position w:val="0"/>
          <w:sz w:val="44"/>
          <w:shd w:fill="auto" w:val="clear"/>
        </w:rPr>
        <w:t xml:space="preserve">MANIPULATION :</w:t>
      </w:r>
    </w:p>
    <w:p>
      <w:pPr>
        <w:spacing w:before="0" w:after="200" w:line="276"/>
        <w:ind w:right="0" w:left="0" w:firstLine="851"/>
        <w:jc w:val="center"/>
        <w:rPr>
          <w:rFonts w:ascii="Calibri" w:hAnsi="Calibri" w:cs="Calibri" w:eastAsia="Calibri"/>
          <w:color w:val="auto"/>
          <w:spacing w:val="0"/>
          <w:position w:val="0"/>
          <w:sz w:val="48"/>
          <w:shd w:fill="auto" w:val="clear"/>
        </w:rPr>
      </w:pPr>
      <w:r>
        <w:rPr>
          <w:rFonts w:ascii="Calibri" w:hAnsi="Calibri" w:cs="Calibri" w:eastAsia="Calibri"/>
          <w:color w:val="0070C0"/>
          <w:spacing w:val="0"/>
          <w:position w:val="0"/>
          <w:sz w:val="44"/>
          <w:shd w:fill="auto" w:val="clear"/>
        </w:rPr>
        <w:t xml:space="preserve">   </w:t>
      </w:r>
      <w:r>
        <w:rPr>
          <w:rFonts w:ascii="Calibri" w:hAnsi="Calibri" w:cs="Calibri" w:eastAsia="Calibri"/>
          <w:color w:val="auto"/>
          <w:spacing w:val="0"/>
          <w:position w:val="0"/>
          <w:sz w:val="48"/>
          <w:shd w:fill="auto" w:val="clear"/>
        </w:rPr>
        <w:t xml:space="preserve">Détermination de la vitesse de prise d’un liant </w:t>
      </w:r>
    </w:p>
    <w:p>
      <w:pPr>
        <w:spacing w:before="0" w:after="200" w:line="276"/>
        <w:ind w:right="0" w:left="0" w:firstLine="0"/>
        <w:jc w:val="left"/>
        <w:rPr>
          <w:rFonts w:ascii="Calibri" w:hAnsi="Calibri" w:cs="Calibri" w:eastAsia="Calibri"/>
          <w:i/>
          <w:color w:val="auto"/>
          <w:spacing w:val="0"/>
          <w:position w:val="0"/>
          <w:sz w:val="36"/>
          <w:shd w:fill="auto" w:val="clear"/>
        </w:rPr>
      </w:pPr>
      <w:r>
        <w:rPr>
          <w:rFonts w:ascii="Calibri" w:hAnsi="Calibri" w:cs="Calibri" w:eastAsia="Calibri"/>
          <w:b/>
          <w:i/>
          <w:color w:val="00B050"/>
          <w:spacing w:val="0"/>
          <w:position w:val="0"/>
          <w:sz w:val="52"/>
          <w:shd w:fill="auto" w:val="clear"/>
        </w:rPr>
        <w:t xml:space="preserve">      </w:t>
      </w:r>
      <w:r>
        <w:rPr>
          <w:rFonts w:ascii="Comic Sans MS" w:hAnsi="Comic Sans MS" w:cs="Comic Sans MS" w:eastAsia="Comic Sans MS"/>
          <w:b/>
          <w:i/>
          <w:color w:val="9B00D3"/>
          <w:spacing w:val="0"/>
          <w:position w:val="0"/>
          <w:sz w:val="44"/>
          <w:shd w:fill="auto" w:val="clear"/>
        </w:rPr>
        <w:t xml:space="preserve">ELABORE PAR   :</w:t>
      </w:r>
    </w:p>
    <w:p>
      <w:pPr>
        <w:numPr>
          <w:ilvl w:val="0"/>
          <w:numId w:val="14"/>
        </w:numPr>
        <w:spacing w:before="0" w:after="200" w:line="276"/>
        <w:ind w:right="0" w:left="1265" w:hanging="360"/>
        <w:jc w:val="left"/>
        <w:rPr>
          <w:rFonts w:ascii="Calibri" w:hAnsi="Calibri" w:cs="Calibri" w:eastAsia="Calibri"/>
          <w:i/>
          <w:color w:val="auto"/>
          <w:spacing w:val="0"/>
          <w:position w:val="0"/>
          <w:sz w:val="40"/>
          <w:shd w:fill="auto" w:val="clear"/>
        </w:rPr>
      </w:pPr>
      <w:r>
        <w:rPr>
          <w:rFonts w:ascii="Calibri" w:hAnsi="Calibri" w:cs="Calibri" w:eastAsia="Calibri"/>
          <w:i/>
          <w:color w:val="auto"/>
          <w:spacing w:val="0"/>
          <w:position w:val="0"/>
          <w:sz w:val="40"/>
          <w:shd w:fill="auto" w:val="clear"/>
        </w:rPr>
        <w:t xml:space="preserve">Insaf hendi</w:t>
      </w:r>
    </w:p>
    <w:p>
      <w:pPr>
        <w:numPr>
          <w:ilvl w:val="0"/>
          <w:numId w:val="14"/>
        </w:numPr>
        <w:spacing w:before="0" w:after="200" w:line="276"/>
        <w:ind w:right="0" w:left="1265"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40"/>
          <w:shd w:fill="auto" w:val="clear"/>
        </w:rPr>
        <w:t xml:space="preserve">Hiba retib</w:t>
      </w:r>
    </w:p>
    <w:p>
      <w:pPr>
        <w:numPr>
          <w:ilvl w:val="0"/>
          <w:numId w:val="14"/>
        </w:numPr>
        <w:spacing w:before="0" w:after="200" w:line="276"/>
        <w:ind w:right="0" w:left="1265" w:hanging="36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40"/>
          <w:shd w:fill="auto" w:val="clear"/>
        </w:rPr>
        <w:t xml:space="preserve">Rayen karchoud</w:t>
      </w:r>
    </w:p>
    <w:p>
      <w:pPr>
        <w:spacing w:before="0" w:after="200" w:line="276"/>
        <w:ind w:right="0" w:left="0" w:firstLine="851"/>
        <w:jc w:val="center"/>
        <w:rPr>
          <w:rFonts w:ascii="Calibri" w:hAnsi="Calibri" w:cs="Calibri" w:eastAsia="Calibri"/>
          <w:color w:val="0070C0"/>
          <w:spacing w:val="0"/>
          <w:position w:val="0"/>
          <w:sz w:val="44"/>
          <w:shd w:fill="auto" w:val="clear"/>
        </w:rPr>
      </w:pPr>
      <w:r>
        <w:rPr>
          <w:rFonts w:ascii="Comic Sans MS" w:hAnsi="Comic Sans MS" w:cs="Comic Sans MS" w:eastAsia="Comic Sans MS"/>
          <w:b/>
          <w:i/>
          <w:color w:val="9B00D3"/>
          <w:spacing w:val="0"/>
          <w:position w:val="0"/>
          <w:sz w:val="44"/>
          <w:shd w:fill="auto" w:val="clear"/>
        </w:rPr>
        <w:t xml:space="preserve">GROUPE : </w:t>
      </w:r>
    </w:p>
    <w:p>
      <w:pPr>
        <w:tabs>
          <w:tab w:val="left" w:pos="6597" w:leader="none"/>
        </w:tabs>
        <w:spacing w:before="0" w:after="200" w:line="276"/>
        <w:ind w:right="0" w:left="545" w:firstLine="0"/>
        <w:jc w:val="left"/>
        <w:rPr>
          <w:rFonts w:ascii="Dotum" w:hAnsi="Dotum" w:cs="Dotum" w:eastAsia="Dotum"/>
          <w:b/>
          <w:i/>
          <w:color w:val="auto"/>
          <w:spacing w:val="0"/>
          <w:position w:val="0"/>
          <w:sz w:val="36"/>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rPr>
          <w:rFonts w:ascii="Dotum" w:hAnsi="Dotum" w:cs="Dotum" w:eastAsia="Dotum"/>
          <w:b/>
          <w:i/>
          <w:color w:val="0070C0"/>
          <w:spacing w:val="0"/>
          <w:position w:val="0"/>
          <w:sz w:val="36"/>
          <w:shd w:fill="auto" w:val="clear"/>
        </w:rPr>
        <w:t xml:space="preserve">       </w:t>
      </w:r>
      <w:r>
        <w:rPr>
          <w:rFonts w:ascii="Dotum" w:hAnsi="Dotum" w:cs="Dotum" w:eastAsia="Dotum"/>
          <w:b/>
          <w:color w:val="auto"/>
          <w:spacing w:val="0"/>
          <w:position w:val="0"/>
          <w:sz w:val="40"/>
          <w:shd w:fill="auto" w:val="clear"/>
        </w:rPr>
        <w:t xml:space="preserve">GCV1B </w:t>
      </w:r>
    </w:p>
    <w:p>
      <w:pPr>
        <w:numPr>
          <w:ilvl w:val="0"/>
          <w:numId w:val="18"/>
        </w:numPr>
        <w:spacing w:before="0" w:after="200" w:line="276"/>
        <w:ind w:right="0" w:left="720" w:hanging="360"/>
        <w:jc w:val="left"/>
        <w:rPr>
          <w:rFonts w:ascii="Calibri" w:hAnsi="Calibri" w:cs="Calibri" w:eastAsia="Calibri"/>
          <w:color w:val="4F81BD"/>
          <w:spacing w:val="0"/>
          <w:position w:val="0"/>
          <w:sz w:val="32"/>
          <w:shd w:fill="auto" w:val="clear"/>
        </w:rPr>
      </w:pPr>
      <w:r>
        <w:rPr>
          <w:rFonts w:ascii="Comic Sans MS" w:hAnsi="Comic Sans MS" w:cs="Comic Sans MS" w:eastAsia="Comic Sans MS"/>
          <w:b/>
          <w:color w:val="002060"/>
          <w:spacing w:val="0"/>
          <w:position w:val="0"/>
          <w:sz w:val="36"/>
          <w:shd w:fill="auto" w:val="clear"/>
        </w:rPr>
        <w:t xml:space="preserve">OBJECTIF :</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L’essai de prise permet de déterminer le temps de prise à l’aide de l’appareil de Vicat ce qui correspond au temps écoulé du moment de gâchage du ciment jusqu’au début de prise. </w:t>
      </w:r>
    </w:p>
    <w:p>
      <w:pPr>
        <w:numPr>
          <w:ilvl w:val="0"/>
          <w:numId w:val="20"/>
        </w:numPr>
        <w:spacing w:before="0" w:after="200" w:line="276"/>
        <w:ind w:right="0" w:left="710" w:hanging="36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MATERIELS ET METHODE :</w:t>
      </w:r>
    </w:p>
    <w:p>
      <w:pPr>
        <w:numPr>
          <w:ilvl w:val="0"/>
          <w:numId w:val="20"/>
        </w:numPr>
        <w:spacing w:before="0" w:after="200" w:line="276"/>
        <w:ind w:right="0" w:left="720" w:hanging="360"/>
        <w:jc w:val="left"/>
        <w:rPr>
          <w:rFonts w:ascii="Calibri" w:hAnsi="Calibri" w:cs="Calibri" w:eastAsia="Calibri"/>
          <w:color w:val="9BBB59"/>
          <w:spacing w:val="0"/>
          <w:position w:val="0"/>
          <w:sz w:val="32"/>
          <w:shd w:fill="auto" w:val="clear"/>
        </w:rPr>
      </w:pPr>
      <w:r>
        <w:rPr>
          <w:rFonts w:ascii="Batang" w:hAnsi="Batang" w:cs="Batang" w:eastAsia="Batang"/>
          <w:b/>
          <w:color w:val="FF0000"/>
          <w:spacing w:val="0"/>
          <w:position w:val="0"/>
          <w:sz w:val="36"/>
          <w:shd w:fill="auto" w:val="clear"/>
        </w:rPr>
        <w:t xml:space="preserve">MATERIELS :</w:t>
      </w:r>
    </w:p>
    <w:p>
      <w:pPr>
        <w:numPr>
          <w:ilvl w:val="0"/>
          <w:numId w:val="20"/>
        </w:numPr>
        <w:spacing w:before="0" w:after="200" w:line="276"/>
        <w:ind w:right="0" w:left="72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32"/>
          <w:shd w:fill="auto" w:val="clear"/>
        </w:rPr>
        <w:t xml:space="preserve">L’appareil de Vicat. </w:t>
      </w:r>
    </w:p>
    <w:p>
      <w:pPr>
        <w:numPr>
          <w:ilvl w:val="0"/>
          <w:numId w:val="20"/>
        </w:numPr>
        <w:spacing w:before="0" w:after="200" w:line="276"/>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32"/>
          <w:shd w:fill="auto" w:val="clear"/>
        </w:rPr>
        <w:t xml:space="preserve">   Malaxeur.</w:t>
      </w:r>
    </w:p>
    <w:p>
      <w:pPr>
        <w:numPr>
          <w:ilvl w:val="0"/>
          <w:numId w:val="20"/>
        </w:numPr>
        <w:spacing w:before="0" w:after="200" w:line="276"/>
        <w:ind w:right="0" w:left="720" w:hanging="360"/>
        <w:jc w:val="left"/>
        <w:rPr>
          <w:rFonts w:ascii="Calibri" w:hAnsi="Calibri" w:cs="Calibri" w:eastAsia="Calibri"/>
          <w:color w:val="9BBB59"/>
          <w:spacing w:val="0"/>
          <w:position w:val="0"/>
          <w:sz w:val="32"/>
          <w:shd w:fill="auto" w:val="clear"/>
        </w:rPr>
      </w:pPr>
      <w:r>
        <w:rPr>
          <w:rFonts w:ascii="Batang" w:hAnsi="Batang" w:cs="Batang" w:eastAsia="Batang"/>
          <w:b/>
          <w:color w:val="FF0000"/>
          <w:spacing w:val="0"/>
          <w:position w:val="0"/>
          <w:sz w:val="36"/>
          <w:shd w:fill="auto" w:val="clear"/>
        </w:rPr>
        <w:t xml:space="preserve">METHODE :</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Avant de commencer l’essai, il faut mouiller et égoutter le godet et le batteur du malaxeur. </w:t>
      </w:r>
    </w:p>
    <w:p>
      <w:pPr>
        <w:numPr>
          <w:ilvl w:val="0"/>
          <w:numId w:val="23"/>
        </w:numPr>
        <w:spacing w:before="0" w:after="200" w:line="276"/>
        <w:ind w:right="0" w:left="36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Préparer une pâte à consistance normalisée. Le temps t0 est celui de du moment de gâchage du liant.</w:t>
      </w:r>
    </w:p>
    <w:p>
      <w:pPr>
        <w:numPr>
          <w:ilvl w:val="0"/>
          <w:numId w:val="23"/>
        </w:numPr>
        <w:spacing w:before="0" w:after="200" w:line="276"/>
        <w:ind w:right="0" w:left="36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Remplir immédiatement de pâte le moule et araser la surface en prenant appui sur le bord du moule. </w:t>
      </w:r>
    </w:p>
    <w:p>
      <w:pPr>
        <w:numPr>
          <w:ilvl w:val="0"/>
          <w:numId w:val="23"/>
        </w:numPr>
        <w:spacing w:before="0" w:after="200" w:line="276"/>
        <w:ind w:right="0" w:left="36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Régler le niveau zéro de l’aiguille.</w:t>
      </w:r>
    </w:p>
    <w:p>
      <w:pPr>
        <w:numPr>
          <w:ilvl w:val="0"/>
          <w:numId w:val="23"/>
        </w:numPr>
        <w:spacing w:before="0" w:after="200" w:line="276"/>
        <w:ind w:right="0" w:left="360" w:hanging="36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Centrer le moule dans l’axe de la sonde, abaisser la sonde avec précaution jusqu’à ce qu’elle arrive au contact de la pâte, et desserrer la vis pour que la sonde pénètre sous son poids propre dans la pâte.</w:t>
      </w:r>
    </w:p>
    <w:p>
      <w:pPr>
        <w:numPr>
          <w:ilvl w:val="0"/>
          <w:numId w:val="23"/>
        </w:numPr>
        <w:spacing w:before="0" w:after="200" w:line="276"/>
        <w:ind w:right="0" w:left="360" w:hanging="36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32"/>
          <w:shd w:fill="auto" w:val="clear"/>
        </w:rPr>
        <w:t xml:space="preserve">Après un certain temps, noter la valeur de l’enfoncement ″d ″ lue sur l’index de l’appareil.( on répète la lecture de l’enfoncement chaque 15 minutes ).</w:t>
      </w:r>
    </w:p>
    <w:p>
      <w:pPr>
        <w:spacing w:before="0" w:after="200" w:line="276"/>
        <w:ind w:right="0" w:left="0" w:firstLine="0"/>
        <w:jc w:val="left"/>
        <w:rPr>
          <w:rFonts w:ascii="Calibri" w:hAnsi="Calibri" w:cs="Calibri" w:eastAsia="Calibri"/>
          <w:color w:val="4F81BD"/>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RESULTAT ET INTREPRETATIION: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Voir la feuille (annexe) : tableau de mesures et courbe  </w:t>
      </w:r>
    </w:p>
    <w:p>
      <w:pPr>
        <w:spacing w:before="0" w:after="200" w:line="276"/>
        <w:ind w:right="0" w:left="0" w:firstLine="0"/>
        <w:jc w:val="left"/>
        <w:rPr>
          <w:rFonts w:ascii="Comic Sans MS" w:hAnsi="Comic Sans MS" w:cs="Comic Sans MS" w:eastAsia="Comic Sans MS"/>
          <w:b/>
          <w:color w:val="002060"/>
          <w:spacing w:val="0"/>
          <w:position w:val="0"/>
          <w:sz w:val="36"/>
          <w:shd w:fill="auto" w:val="clear"/>
        </w:rPr>
      </w:pPr>
      <w:r>
        <w:rPr>
          <w:rFonts w:ascii="Comic Sans MS" w:hAnsi="Comic Sans MS" w:cs="Comic Sans MS" w:eastAsia="Comic Sans MS"/>
          <w:b/>
          <w:color w:val="002060"/>
          <w:spacing w:val="0"/>
          <w:position w:val="0"/>
          <w:sz w:val="36"/>
          <w:shd w:fill="auto" w:val="clear"/>
        </w:rPr>
        <w:t xml:space="preserve">CONCLUSTION: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32"/>
          <w:shd w:fill="auto" w:val="clear"/>
        </w:rPr>
        <w:t xml:space="preserve">L’appareil de Vicat nous permet de déterminer le temps de début de prise de façon que la distance entre le fond du moule et l’aiguille égale à 2,5 mm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18">
    <w:abstractNumId w:val="12"/>
  </w:num>
  <w:num w:numId="20">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