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TP1 : </w:t>
      </w: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Gradateur monophasé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Objectif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la détermination des caractéristiques de courants et de tensions de systèmes pour les différents types de charges R et RL en fonction de de l’angle de retard à l'amorçage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1"/>
          <w:szCs w:val="31"/>
          <w:rtl w:val="0"/>
        </w:rPr>
        <w:t xml:space="preserve">α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introduction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 gradateur est un convertisseur statique qui produit un système de tension et courant alternatif variable à partir d’une source de tension alternative, sans en modifier la fréquence.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L’intensité de courant du courant débité par la source est la même que celle absorbée par le récepteur.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La fréquence (f) est imposée par la source. Un gradateur est un appareil de commande qui permet de contrôler la puissance absorbée par un récepteur en régime alternatif.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20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 - </w:t>
      </w: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Cas d’une charge Résistive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montage :</w:t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R=100Ω / Vs(t)=220√2*sin(θ) / 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θ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=2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π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50t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176710</wp:posOffset>
            </wp:positionV>
            <wp:extent cx="4419983" cy="2057578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0575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214938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montage avec simulink matlab :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781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b w:val="1"/>
          <w:color w:val="6aa84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6aa84f"/>
          <w:sz w:val="38"/>
          <w:szCs w:val="38"/>
          <w:rtl w:val="0"/>
        </w:rPr>
        <w:t xml:space="preserve">α=60°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Vch :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Ich : 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Calcul de Vch et Pch : 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courbe Pch(</w:t>
      </w:r>
      <w:r w:rsidDel="00000000" w:rsidR="00000000" w:rsidRPr="00000000">
        <w:rPr>
          <w:b w:val="1"/>
          <w:sz w:val="31"/>
          <w:szCs w:val="31"/>
          <w:rtl w:val="0"/>
        </w:rPr>
        <w:t xml:space="preserve">α):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sz w:val="31"/>
          <w:szCs w:val="31"/>
          <w:u w:val="none"/>
        </w:rPr>
      </w:pPr>
      <w:r w:rsidDel="00000000" w:rsidR="00000000" w:rsidRPr="00000000">
        <w:rPr>
          <w:b w:val="1"/>
          <w:sz w:val="31"/>
          <w:szCs w:val="31"/>
          <w:rtl w:val="0"/>
        </w:rPr>
        <w:t xml:space="preserve">interprétation : </w:t>
      </w:r>
    </w:p>
    <w:p w:rsidR="00000000" w:rsidDel="00000000" w:rsidP="00000000" w:rsidRDefault="00000000" w:rsidRPr="00000000" w14:paraId="00000027">
      <w:pPr>
        <w:ind w:left="0" w:firstLine="0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Pch est proportionnelle à α .</w:t>
      </w:r>
    </w:p>
    <w:p w:rsidR="00000000" w:rsidDel="00000000" w:rsidP="00000000" w:rsidRDefault="00000000" w:rsidRPr="00000000" w14:paraId="00000028">
      <w:pPr>
        <w:ind w:left="0" w:firstLine="0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Lorsque l’angle d’amorçage varie de 0 à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π</w:t>
      </w:r>
      <w:r w:rsidDel="00000000" w:rsidR="00000000" w:rsidRPr="00000000">
        <w:rPr>
          <w:sz w:val="31"/>
          <w:szCs w:val="31"/>
          <w:rtl w:val="0"/>
        </w:rPr>
        <w:t xml:space="preserve"> , la valeur </w:t>
      </w:r>
      <w:r w:rsidDel="00000000" w:rsidR="00000000" w:rsidRPr="00000000">
        <w:rPr>
          <w:sz w:val="31"/>
          <w:szCs w:val="31"/>
          <w:rtl w:val="0"/>
        </w:rPr>
        <w:t xml:space="preserve">efficace</w:t>
      </w:r>
      <w:r w:rsidDel="00000000" w:rsidR="00000000" w:rsidRPr="00000000">
        <w:rPr>
          <w:sz w:val="31"/>
          <w:szCs w:val="31"/>
          <w:rtl w:val="0"/>
        </w:rPr>
        <w:t xml:space="preserve">                   du courant varie aussi de son maximum R V Imax à 0.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B - </w:t>
      </w:r>
      <w:r w:rsidDel="00000000" w:rsidR="00000000" w:rsidRPr="00000000">
        <w:rPr>
          <w:b w:val="1"/>
          <w:color w:val="ff0000"/>
          <w:sz w:val="30"/>
          <w:szCs w:val="30"/>
          <w:u w:val="single"/>
          <w:rtl w:val="0"/>
        </w:rPr>
        <w:t xml:space="preserve">Cas d’une charge Inductive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 déphasage (ϕ) du circuit de charge (R, L), réduit la variation de l’angle d’amorçage (</w:t>
      </w:r>
      <w:r w:rsidDel="00000000" w:rsidR="00000000" w:rsidRPr="00000000">
        <w:rPr>
          <w:sz w:val="31"/>
          <w:szCs w:val="31"/>
          <w:rtl w:val="0"/>
        </w:rPr>
        <w:t xml:space="preserve">α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montage :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28575</wp:posOffset>
            </wp:positionV>
            <wp:extent cx="3252771" cy="1716117"/>
            <wp:effectExtent b="0" l="0" r="0" t="0"/>
            <wp:wrapTopAndBottom distB="0" dist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71" cy="17161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R=100Ω /L=0.2H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montage par simulink matlab :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24550" cy="240086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00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b w:val="1"/>
          <w:color w:val="6aa8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Détermination de ϕ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  <w:color w:val="6aa84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ϕ=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Lw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R</m:t>
            </m:r>
          </m:den>
        </m:f>
        <m:r>
          <w:rPr>
            <w:rFonts w:ascii="Calibri" w:cs="Calibri" w:eastAsia="Calibri" w:hAnsi="Calibri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=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>π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×50×0.2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=32.12°</m:t>
        </m:r>
        <m:r>
          <w:rPr>
            <w:rFonts w:ascii="Calibri" w:cs="Calibri" w:eastAsia="Calibri" w:hAnsi="Calibri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rPr>
          <w:b w:val="1"/>
          <w:color w:val="6aa84f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6aa84f"/>
          <w:sz w:val="36"/>
          <w:szCs w:val="36"/>
          <w:rtl w:val="0"/>
        </w:rPr>
        <w:t xml:space="preserve">α=30°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Vch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Ich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  <w:color w:val="6aa84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6aa84f"/>
          <w:sz w:val="36"/>
          <w:szCs w:val="36"/>
          <w:rtl w:val="0"/>
        </w:rPr>
        <w:t xml:space="preserve">α=60°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Vch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Ich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  <w:color w:val="6aa84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6aa84f"/>
          <w:sz w:val="36"/>
          <w:szCs w:val="36"/>
          <w:rtl w:val="0"/>
        </w:rPr>
        <w:t xml:space="preserve">α=90°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Vch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Ich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  <w:color w:val="6aa84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6aa84f"/>
          <w:sz w:val="36"/>
          <w:szCs w:val="36"/>
          <w:rtl w:val="0"/>
        </w:rPr>
        <w:t xml:space="preserve">α=120°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Vch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Ich</w:t>
      </w:r>
    </w:p>
    <w:p w:rsidR="00000000" w:rsidDel="00000000" w:rsidP="00000000" w:rsidRDefault="00000000" w:rsidRPr="00000000" w14:paraId="00000042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Calibri" w:cs="Calibri" w:eastAsia="Calibri" w:hAnsi="Calibri"/>
          <w:b w:val="1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Conclusion 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Pch</w:t>
      </w:r>
    </w:p>
    <w:p w:rsidR="00000000" w:rsidDel="00000000" w:rsidP="00000000" w:rsidRDefault="00000000" w:rsidRPr="00000000" w14:paraId="00000045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jp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