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B0" w:rsidRDefault="007D3E27" w:rsidP="006A52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D48D2">
        <w:rPr>
          <w:rFonts w:asciiTheme="majorBidi" w:hAnsiTheme="majorBidi" w:cstheme="majorBidi"/>
          <w:b/>
          <w:bCs/>
          <w:sz w:val="28"/>
          <w:szCs w:val="28"/>
        </w:rPr>
        <w:t>TD CSC N°</w:t>
      </w:r>
      <w:r w:rsidR="006A5292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:rsidR="00302DF3" w:rsidRDefault="00302DF3" w:rsidP="006A529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:rsidR="00587654" w:rsidRDefault="00587654" w:rsidP="00155B8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754">
        <w:rPr>
          <w:rFonts w:ascii="Times New Roman" w:hAnsi="Times New Roman" w:cs="Times New Roman"/>
          <w:sz w:val="24"/>
          <w:szCs w:val="24"/>
        </w:rPr>
        <w:t xml:space="preserve">Soit le pont monophasé à thyristor </w:t>
      </w:r>
      <w:r w:rsidR="00536754" w:rsidRPr="00536754">
        <w:rPr>
          <w:rFonts w:ascii="Times New Roman" w:hAnsi="Times New Roman" w:cs="Times New Roman"/>
          <w:sz w:val="24"/>
          <w:szCs w:val="24"/>
        </w:rPr>
        <w:t xml:space="preserve">décrit par figure 1 </w:t>
      </w:r>
      <w:r w:rsidR="00697DC7" w:rsidRPr="00536754">
        <w:rPr>
          <w:rFonts w:ascii="Times New Roman" w:hAnsi="Times New Roman" w:cs="Times New Roman"/>
          <w:sz w:val="24"/>
          <w:szCs w:val="24"/>
        </w:rPr>
        <w:t xml:space="preserve">alimenté par </w:t>
      </w:r>
      <w:r w:rsidR="0075705E" w:rsidRPr="00536754">
        <w:rPr>
          <w:rFonts w:ascii="Times New Roman" w:hAnsi="Times New Roman" w:cs="Times New Roman"/>
          <w:sz w:val="24"/>
          <w:szCs w:val="24"/>
        </w:rPr>
        <w:t xml:space="preserve">le secondaire d'un transformateur qui fournit une tension </w:t>
      </w:r>
      <w:r w:rsidR="00155B85" w:rsidRPr="00536754">
        <w:rPr>
          <w:rFonts w:ascii="Times New Roman" w:hAnsi="Times New Roman" w:cs="Times New Roman"/>
          <w:sz w:val="24"/>
          <w:szCs w:val="24"/>
        </w:rPr>
        <w:t>sinusoïdale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BE0E9E" w:rsidRPr="005367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28D8" w:rsidRPr="00C828D8" w:rsidRDefault="0023701B" w:rsidP="00C82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1096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1pt;height:97.7pt" o:ole="">
            <v:imagedata r:id="rId5" o:title=""/>
          </v:shape>
          <o:OLEObject Type="Embed" ProgID="Visio.Drawing.11" ShapeID="_x0000_i1026" DrawAspect="Content" ObjectID="_1612288286" r:id="rId6"/>
        </w:object>
      </w:r>
    </w:p>
    <w:p w:rsidR="00536754" w:rsidRPr="00920244" w:rsidRDefault="00536754" w:rsidP="00971F54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920244">
        <w:rPr>
          <w:rFonts w:ascii="Times New Roman" w:hAnsi="Times New Roman" w:cs="Times New Roman"/>
          <w:sz w:val="24"/>
          <w:szCs w:val="24"/>
        </w:rPr>
        <w:t>Figure 1</w:t>
      </w:r>
      <w:r w:rsidR="00920244">
        <w:rPr>
          <w:rFonts w:ascii="Times New Roman" w:hAnsi="Times New Roman" w:cs="Times New Roman"/>
          <w:sz w:val="24"/>
          <w:szCs w:val="24"/>
        </w:rPr>
        <w:t> :</w:t>
      </w:r>
      <w:r w:rsidR="00920244" w:rsidRPr="00920244">
        <w:rPr>
          <w:rFonts w:ascii="Times New Roman" w:hAnsi="Times New Roman" w:cs="Times New Roman"/>
          <w:sz w:val="24"/>
          <w:szCs w:val="24"/>
        </w:rPr>
        <w:t xml:space="preserve"> </w:t>
      </w:r>
      <w:r w:rsidR="00920244" w:rsidRPr="00536754">
        <w:rPr>
          <w:rFonts w:ascii="Times New Roman" w:hAnsi="Times New Roman" w:cs="Times New Roman"/>
          <w:sz w:val="24"/>
          <w:szCs w:val="24"/>
        </w:rPr>
        <w:t>pont monophasé à thyristor</w:t>
      </w:r>
      <w:r w:rsidRPr="00920244">
        <w:rPr>
          <w:rFonts w:ascii="Times New Roman" w:hAnsi="Times New Roman" w:cs="Times New Roman"/>
          <w:sz w:val="24"/>
          <w:szCs w:val="24"/>
        </w:rPr>
        <w:t>.</w:t>
      </w:r>
    </w:p>
    <w:p w:rsidR="00971F54" w:rsidRPr="00944ABE" w:rsidRDefault="00971F54" w:rsidP="00944ABE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944ABE">
        <w:rPr>
          <w:rFonts w:ascii="Times New Roman" w:hAnsi="Times New Roman" w:cs="Times New Roman"/>
          <w:sz w:val="24"/>
          <w:szCs w:val="24"/>
        </w:rPr>
        <w:t>La charge est considérée comme étant une source de courant (</w:t>
      </w:r>
      <w:proofErr w:type="spellStart"/>
      <w:r w:rsidRPr="00944ABE">
        <w:rPr>
          <w:rFonts w:ascii="Times New Roman" w:hAnsi="Times New Roman" w:cs="Times New Roman"/>
          <w:sz w:val="24"/>
          <w:szCs w:val="24"/>
        </w:rPr>
        <w:t>i</w:t>
      </w:r>
      <w:r w:rsidRPr="00944ABE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proofErr w:type="spellEnd"/>
      <w:r w:rsidRPr="00944AB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4ABE">
        <w:rPr>
          <w:rFonts w:ascii="Times New Roman" w:hAnsi="Times New Roman" w:cs="Times New Roman"/>
          <w:sz w:val="24"/>
          <w:szCs w:val="24"/>
        </w:rPr>
        <w:t>I</w:t>
      </w:r>
      <w:r w:rsidRPr="00944ABE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944ABE">
        <w:rPr>
          <w:rFonts w:ascii="Times New Roman" w:hAnsi="Times New Roman" w:cs="Times New Roman"/>
          <w:sz w:val="24"/>
          <w:szCs w:val="24"/>
        </w:rPr>
        <w:t>=10A)</w:t>
      </w:r>
    </w:p>
    <w:p w:rsidR="00944ABE" w:rsidRPr="00944ABE" w:rsidRDefault="00944ABE" w:rsidP="00944ABE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944ABE">
        <w:rPr>
          <w:rFonts w:ascii="Times New Roman" w:hAnsi="Times New Roman" w:cs="Times New Roman"/>
          <w:sz w:val="24"/>
          <w:szCs w:val="24"/>
        </w:rPr>
        <w:t xml:space="preserve">Pour les deux cas séparément (k=0 et k=1) et pour un angle de retard à l’amorçage des thyristors α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rd</m:t>
        </m:r>
      </m:oMath>
      <w:r w:rsidRPr="00944ABE">
        <w:rPr>
          <w:rFonts w:ascii="Times New Roman" w:hAnsi="Times New Roman" w:cs="Times New Roman"/>
          <w:sz w:val="24"/>
          <w:szCs w:val="24"/>
        </w:rPr>
        <w:t xml:space="preserve"> on demande :</w:t>
      </w:r>
    </w:p>
    <w:p w:rsidR="00971F54" w:rsidRDefault="00971F54" w:rsidP="00935722">
      <w:pPr>
        <w:pStyle w:val="Paragraphedeliste"/>
        <w:jc w:val="center"/>
      </w:pPr>
    </w:p>
    <w:p w:rsidR="00935722" w:rsidRPr="00E23897" w:rsidRDefault="00935722" w:rsidP="00944ABE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23897">
        <w:rPr>
          <w:rFonts w:asciiTheme="majorBidi" w:hAnsiTheme="majorBidi" w:cstheme="majorBidi"/>
          <w:sz w:val="24"/>
          <w:szCs w:val="24"/>
        </w:rPr>
        <w:t>Tracer</w:t>
      </w:r>
      <w:r w:rsidR="002B7E7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897">
        <w:rPr>
          <w:rFonts w:asciiTheme="majorBidi" w:hAnsiTheme="majorBidi" w:cstheme="majorBidi"/>
          <w:sz w:val="24"/>
          <w:szCs w:val="24"/>
        </w:rPr>
        <w:t>v</w:t>
      </w:r>
      <w:r w:rsidRPr="00E23897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="00944ABE" w:rsidRPr="00944ABE">
        <w:rPr>
          <w:rFonts w:asciiTheme="majorBidi" w:hAnsiTheme="majorBidi" w:cstheme="majorBidi"/>
          <w:sz w:val="24"/>
          <w:szCs w:val="24"/>
        </w:rPr>
        <w:t xml:space="preserve">, </w:t>
      </w:r>
      <w:r w:rsidR="00944ABE" w:rsidRPr="00E23897">
        <w:rPr>
          <w:rFonts w:asciiTheme="majorBidi" w:hAnsiTheme="majorBidi" w:cstheme="majorBidi"/>
          <w:sz w:val="24"/>
          <w:szCs w:val="24"/>
        </w:rPr>
        <w:t>v</w:t>
      </w:r>
      <w:r w:rsidR="00944ABE" w:rsidRPr="00E23897">
        <w:rPr>
          <w:rFonts w:asciiTheme="majorBidi" w:hAnsiTheme="majorBidi" w:cstheme="majorBidi"/>
          <w:sz w:val="24"/>
          <w:szCs w:val="24"/>
          <w:vertAlign w:val="subscript"/>
        </w:rPr>
        <w:t>T1</w:t>
      </w:r>
      <w:r w:rsidRPr="00E23897">
        <w:rPr>
          <w:rFonts w:asciiTheme="majorBidi" w:hAnsiTheme="majorBidi" w:cstheme="majorBidi"/>
          <w:sz w:val="24"/>
          <w:szCs w:val="24"/>
        </w:rPr>
        <w:t>,</w:t>
      </w:r>
      <w:r w:rsidR="00944ABE">
        <w:rPr>
          <w:rFonts w:asciiTheme="majorBidi" w:hAnsiTheme="majorBidi" w:cstheme="majorBidi"/>
          <w:sz w:val="24"/>
          <w:szCs w:val="24"/>
        </w:rPr>
        <w:t xml:space="preserve"> </w:t>
      </w:r>
      <w:r w:rsidRPr="00E23897">
        <w:rPr>
          <w:rFonts w:asciiTheme="majorBidi" w:hAnsiTheme="majorBidi" w:cstheme="majorBidi"/>
          <w:sz w:val="24"/>
          <w:szCs w:val="24"/>
        </w:rPr>
        <w:t>i</w:t>
      </w:r>
      <w:r w:rsidRPr="00E23897">
        <w:rPr>
          <w:rFonts w:asciiTheme="majorBidi" w:hAnsiTheme="majorBidi" w:cstheme="majorBidi"/>
          <w:sz w:val="24"/>
          <w:szCs w:val="24"/>
          <w:vertAlign w:val="subscript"/>
        </w:rPr>
        <w:t>T1</w:t>
      </w:r>
      <w:r w:rsidRPr="00E23897">
        <w:rPr>
          <w:rFonts w:asciiTheme="majorBidi" w:hAnsiTheme="majorBidi" w:cstheme="majorBidi"/>
          <w:sz w:val="24"/>
          <w:szCs w:val="24"/>
        </w:rPr>
        <w:t>, i</w:t>
      </w:r>
      <w:r w:rsidRPr="00E23897">
        <w:rPr>
          <w:rFonts w:asciiTheme="majorBidi" w:hAnsiTheme="majorBidi" w:cstheme="majorBidi"/>
          <w:sz w:val="24"/>
          <w:szCs w:val="24"/>
          <w:vertAlign w:val="subscript"/>
        </w:rPr>
        <w:t>T3</w:t>
      </w:r>
      <w:r w:rsidRPr="00E23897">
        <w:rPr>
          <w:rFonts w:asciiTheme="majorBidi" w:hAnsiTheme="majorBidi" w:cstheme="majorBidi"/>
          <w:sz w:val="24"/>
          <w:szCs w:val="24"/>
        </w:rPr>
        <w:t xml:space="preserve">, </w:t>
      </w:r>
      <w:r w:rsidR="00944ABE">
        <w:rPr>
          <w:rFonts w:asciiTheme="majorBidi" w:hAnsiTheme="majorBidi" w:cstheme="majorBidi"/>
          <w:sz w:val="24"/>
          <w:szCs w:val="24"/>
        </w:rPr>
        <w:t xml:space="preserve">et </w:t>
      </w:r>
      <w:proofErr w:type="spellStart"/>
      <w:r w:rsidRPr="00E23897">
        <w:rPr>
          <w:rFonts w:asciiTheme="majorBidi" w:hAnsiTheme="majorBidi" w:cstheme="majorBidi"/>
          <w:sz w:val="24"/>
          <w:szCs w:val="24"/>
        </w:rPr>
        <w:t>i</w:t>
      </w:r>
      <w:r w:rsidRPr="00E23897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E23897">
        <w:rPr>
          <w:rFonts w:asciiTheme="majorBidi" w:hAnsiTheme="majorBidi" w:cstheme="majorBidi"/>
          <w:sz w:val="24"/>
          <w:szCs w:val="24"/>
        </w:rPr>
        <w:t xml:space="preserve"> </w:t>
      </w:r>
      <w:r w:rsidR="00944ABE">
        <w:rPr>
          <w:rFonts w:asciiTheme="majorBidi" w:hAnsiTheme="majorBidi" w:cstheme="majorBidi"/>
          <w:sz w:val="24"/>
          <w:szCs w:val="24"/>
        </w:rPr>
        <w:t xml:space="preserve">tout en </w:t>
      </w:r>
      <w:r w:rsidR="00944ABE">
        <w:rPr>
          <w:rFonts w:asciiTheme="majorBidi" w:hAnsiTheme="majorBidi" w:cstheme="majorBidi"/>
          <w:color w:val="000000"/>
          <w:sz w:val="24"/>
          <w:szCs w:val="24"/>
        </w:rPr>
        <w:t>précisant</w:t>
      </w:r>
      <w:r w:rsidR="008E09DD" w:rsidRPr="00E23897">
        <w:rPr>
          <w:rFonts w:asciiTheme="majorBidi" w:hAnsiTheme="majorBidi" w:cstheme="majorBidi"/>
          <w:color w:val="000000"/>
          <w:sz w:val="24"/>
          <w:szCs w:val="24"/>
        </w:rPr>
        <w:t xml:space="preserve"> les intervalles de conduction de chaque thyristor sur une période.</w:t>
      </w:r>
    </w:p>
    <w:p w:rsidR="00B90ACA" w:rsidRPr="00E23897" w:rsidRDefault="00B90ACA" w:rsidP="00B90ACA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23897">
        <w:rPr>
          <w:rFonts w:asciiTheme="majorBidi" w:eastAsiaTheme="minorEastAsia" w:hAnsiTheme="majorBidi" w:cstheme="majorBidi"/>
          <w:sz w:val="24"/>
          <w:szCs w:val="24"/>
        </w:rPr>
        <w:t>Calculer la puissance P</w:t>
      </w:r>
      <w:r w:rsidRPr="00E23897">
        <w:rPr>
          <w:rFonts w:asciiTheme="majorBidi" w:eastAsiaTheme="minorEastAsia" w:hAnsiTheme="majorBidi" w:cstheme="majorBidi"/>
          <w:sz w:val="24"/>
          <w:szCs w:val="24"/>
          <w:vertAlign w:val="subscript"/>
        </w:rPr>
        <w:t>ch</w:t>
      </w:r>
      <w:r w:rsidR="00920244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pour chaque cas</w:t>
      </w:r>
      <w:r w:rsidRPr="00E23897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985790" w:rsidRPr="00E23897" w:rsidRDefault="00985790" w:rsidP="008C3E62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23897">
        <w:rPr>
          <w:rFonts w:asciiTheme="majorBidi" w:eastAsiaTheme="minorEastAsia" w:hAnsiTheme="majorBidi" w:cstheme="majorBidi"/>
          <w:sz w:val="24"/>
          <w:szCs w:val="24"/>
        </w:rPr>
        <w:t xml:space="preserve">Calculer le facteur de puissance </w:t>
      </w:r>
      <w:r w:rsidR="00B90ACA" w:rsidRPr="00594A6B">
        <w:rPr>
          <w:rFonts w:asciiTheme="majorBidi" w:hAnsiTheme="majorBidi" w:cstheme="majorBidi"/>
          <w:sz w:val="24"/>
          <w:szCs w:val="24"/>
        </w:rPr>
        <w:t>F</w:t>
      </w:r>
      <w:r w:rsidR="00B90ACA" w:rsidRPr="00594A6B">
        <w:rPr>
          <w:rFonts w:asciiTheme="majorBidi" w:hAnsiTheme="majorBidi" w:cstheme="majorBidi"/>
          <w:sz w:val="24"/>
          <w:szCs w:val="24"/>
          <w:vertAlign w:val="subscript"/>
        </w:rPr>
        <w:t>s</w:t>
      </w:r>
      <w:r w:rsidR="0092024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B90AC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C3E62">
        <w:rPr>
          <w:rFonts w:asciiTheme="majorBidi" w:eastAsiaTheme="minorEastAsia" w:hAnsiTheme="majorBidi" w:cstheme="majorBidi"/>
          <w:sz w:val="24"/>
          <w:szCs w:val="24"/>
        </w:rPr>
        <w:t xml:space="preserve">au </w:t>
      </w:r>
      <w:r w:rsidRPr="00E23897">
        <w:rPr>
          <w:rFonts w:asciiTheme="majorBidi" w:eastAsiaTheme="minorEastAsia" w:hAnsiTheme="majorBidi" w:cstheme="majorBidi"/>
          <w:sz w:val="24"/>
          <w:szCs w:val="24"/>
        </w:rPr>
        <w:t xml:space="preserve">secondaire </w:t>
      </w:r>
      <w:r w:rsidR="008C3E62">
        <w:rPr>
          <w:rFonts w:asciiTheme="majorBidi" w:eastAsiaTheme="minorEastAsia" w:hAnsiTheme="majorBidi" w:cstheme="majorBidi"/>
          <w:sz w:val="24"/>
          <w:szCs w:val="24"/>
        </w:rPr>
        <w:t>du</w:t>
      </w:r>
      <w:r w:rsidRPr="00E23897">
        <w:rPr>
          <w:rFonts w:asciiTheme="majorBidi" w:eastAsiaTheme="minorEastAsia" w:hAnsiTheme="majorBidi" w:cstheme="majorBidi"/>
          <w:sz w:val="24"/>
          <w:szCs w:val="24"/>
        </w:rPr>
        <w:t xml:space="preserve"> transformateur</w:t>
      </w:r>
      <w:r w:rsidR="008C3E62">
        <w:rPr>
          <w:rFonts w:asciiTheme="majorBidi" w:eastAsiaTheme="minorEastAsia" w:hAnsiTheme="majorBidi" w:cstheme="majorBidi"/>
          <w:sz w:val="24"/>
          <w:szCs w:val="24"/>
        </w:rPr>
        <w:t xml:space="preserve"> d’alimentation</w:t>
      </w:r>
      <w:r w:rsidR="00536754" w:rsidRPr="0053675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36754">
        <w:rPr>
          <w:rFonts w:asciiTheme="majorBidi" w:eastAsiaTheme="minorEastAsia" w:hAnsiTheme="majorBidi" w:cstheme="majorBidi"/>
          <w:sz w:val="24"/>
          <w:szCs w:val="24"/>
        </w:rPr>
        <w:t>pour chaque cas</w:t>
      </w:r>
      <w:r w:rsidR="008C3E62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920244" w:rsidRPr="00920244" w:rsidRDefault="00920244" w:rsidP="00920244">
      <w:pPr>
        <w:pStyle w:val="Paragraphedeliste"/>
        <w:numPr>
          <w:ilvl w:val="0"/>
          <w:numId w:val="3"/>
        </w:numPr>
        <w:tabs>
          <w:tab w:val="left" w:pos="8364"/>
          <w:tab w:val="right" w:pos="8931"/>
          <w:tab w:val="left" w:pos="9072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0244">
        <w:rPr>
          <w:rFonts w:asciiTheme="majorBidi" w:hAnsiTheme="majorBidi" w:cstheme="majorBidi"/>
          <w:sz w:val="24"/>
          <w:szCs w:val="24"/>
        </w:rPr>
        <w:t xml:space="preserve">Soit le pont monophasé mixte (figure </w:t>
      </w:r>
      <w:r>
        <w:rPr>
          <w:rFonts w:asciiTheme="majorBidi" w:hAnsiTheme="majorBidi" w:cstheme="majorBidi"/>
          <w:sz w:val="24"/>
          <w:szCs w:val="24"/>
        </w:rPr>
        <w:t>2</w:t>
      </w:r>
      <w:r w:rsidRPr="00920244">
        <w:rPr>
          <w:rFonts w:asciiTheme="majorBidi" w:hAnsiTheme="majorBidi" w:cstheme="majorBidi"/>
          <w:sz w:val="24"/>
          <w:szCs w:val="24"/>
        </w:rPr>
        <w:t>) alimenté par une tension sinusoïdale v</w:t>
      </w:r>
      <w:r w:rsidRPr="00920244">
        <w:rPr>
          <w:rFonts w:asciiTheme="majorBidi" w:hAnsiTheme="majorBidi" w:cstheme="majorBidi"/>
          <w:sz w:val="24"/>
          <w:szCs w:val="24"/>
          <w:vertAlign w:val="subscript"/>
        </w:rPr>
        <w:t>s</w:t>
      </w:r>
      <w:r w:rsidRPr="00920244">
        <w:rPr>
          <w:rFonts w:asciiTheme="majorBidi" w:hAnsiTheme="majorBidi" w:cstheme="majorBidi"/>
          <w:sz w:val="24"/>
          <w:szCs w:val="24"/>
        </w:rPr>
        <w:t>. La charge est considérée comme étant une source de courant (</w:t>
      </w:r>
      <w:proofErr w:type="spellStart"/>
      <w:r w:rsidRPr="00920244">
        <w:rPr>
          <w:rFonts w:asciiTheme="majorBidi" w:hAnsiTheme="majorBidi" w:cstheme="majorBidi"/>
          <w:sz w:val="24"/>
          <w:szCs w:val="24"/>
        </w:rPr>
        <w:t>i</w:t>
      </w:r>
      <w:r w:rsidRPr="00920244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920244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920244">
        <w:rPr>
          <w:rFonts w:asciiTheme="majorBidi" w:hAnsiTheme="majorBidi" w:cstheme="majorBidi"/>
          <w:sz w:val="24"/>
          <w:szCs w:val="24"/>
        </w:rPr>
        <w:t>I</w:t>
      </w:r>
      <w:r w:rsidRPr="00920244">
        <w:rPr>
          <w:rFonts w:asciiTheme="majorBidi" w:hAnsiTheme="majorBidi" w:cstheme="majorBidi"/>
          <w:sz w:val="24"/>
          <w:szCs w:val="24"/>
          <w:vertAlign w:val="subscript"/>
        </w:rPr>
        <w:t>c</w:t>
      </w:r>
      <w:proofErr w:type="spellEnd"/>
      <w:r w:rsidRPr="00920244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1</w:t>
      </w:r>
      <w:r w:rsidRPr="00920244">
        <w:rPr>
          <w:rFonts w:asciiTheme="majorBidi" w:hAnsiTheme="majorBidi" w:cstheme="majorBidi"/>
          <w:sz w:val="24"/>
          <w:szCs w:val="24"/>
        </w:rPr>
        <w:t>0 A).</w:t>
      </w:r>
    </w:p>
    <w:p w:rsidR="00920244" w:rsidRDefault="00920244" w:rsidP="00920244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920244" w:rsidRDefault="00920244" w:rsidP="00920244">
      <w:pPr>
        <w:pStyle w:val="Paragraphedeliste"/>
        <w:jc w:val="center"/>
      </w:pPr>
      <w:r>
        <w:object w:dxaOrig="10165" w:dyaOrig="2528">
          <v:shape id="_x0000_i1025" type="#_x0000_t75" style="width:454pt;height:112.35pt" o:ole="">
            <v:imagedata r:id="rId7" o:title=""/>
          </v:shape>
          <o:OLEObject Type="Embed" ProgID="Visio.Drawing.11" ShapeID="_x0000_i1025" DrawAspect="Content" ObjectID="_1612288287" r:id="rId8"/>
        </w:object>
      </w:r>
    </w:p>
    <w:p w:rsidR="00920244" w:rsidRDefault="00920244" w:rsidP="00920244">
      <w:pPr>
        <w:pStyle w:val="Paragraphedeliste"/>
        <w:jc w:val="center"/>
        <w:rPr>
          <w:rFonts w:asciiTheme="majorBidi" w:hAnsiTheme="majorBidi" w:cstheme="majorBidi"/>
          <w:sz w:val="24"/>
          <w:szCs w:val="24"/>
        </w:rPr>
      </w:pPr>
      <w:r w:rsidRPr="008E2FC1">
        <w:rPr>
          <w:rFonts w:asciiTheme="majorBidi" w:hAnsiTheme="majorBidi" w:cstheme="majorBidi"/>
          <w:sz w:val="24"/>
          <w:szCs w:val="24"/>
        </w:rPr>
        <w:t xml:space="preserve">Figure </w:t>
      </w:r>
      <w:r>
        <w:rPr>
          <w:rFonts w:asciiTheme="majorBidi" w:hAnsiTheme="majorBidi" w:cstheme="majorBidi"/>
          <w:sz w:val="24"/>
          <w:szCs w:val="24"/>
        </w:rPr>
        <w:t>2</w:t>
      </w:r>
      <w:r w:rsidRPr="008E2FC1">
        <w:rPr>
          <w:rFonts w:asciiTheme="majorBidi" w:hAnsiTheme="majorBidi" w:cstheme="majorBidi"/>
          <w:sz w:val="24"/>
          <w:szCs w:val="24"/>
        </w:rPr>
        <w:t xml:space="preserve"> : pont monophasé </w:t>
      </w:r>
      <w:r>
        <w:rPr>
          <w:rFonts w:asciiTheme="majorBidi" w:hAnsiTheme="majorBidi" w:cstheme="majorBidi"/>
          <w:sz w:val="24"/>
          <w:szCs w:val="24"/>
        </w:rPr>
        <w:t>mixte</w:t>
      </w:r>
    </w:p>
    <w:p w:rsidR="00920244" w:rsidRPr="008E2FC1" w:rsidRDefault="00920244" w:rsidP="00920244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DF182C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un angle de retard à l’amorçage </w:t>
      </w:r>
      <w:r w:rsidRPr="00DF182C">
        <w:rPr>
          <w:rFonts w:asciiTheme="majorBidi" w:hAnsiTheme="majorBidi" w:cstheme="majorBidi"/>
          <w:sz w:val="24"/>
          <w:szCs w:val="24"/>
          <w:lang w:val="en-US"/>
        </w:rPr>
        <w:t>α</w:t>
      </w:r>
      <w:r w:rsidRPr="00DF182C">
        <w:rPr>
          <w:rFonts w:asciiTheme="majorBidi" w:hAnsiTheme="majorBidi" w:cstheme="majorBidi"/>
          <w:sz w:val="24"/>
          <w:szCs w:val="24"/>
        </w:rPr>
        <w:t xml:space="preserve"> =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DF182C">
        <w:rPr>
          <w:rFonts w:asciiTheme="majorBidi" w:eastAsiaTheme="minorEastAsia" w:hAnsiTheme="majorBidi" w:cstheme="majorBidi"/>
          <w:sz w:val="24"/>
          <w:szCs w:val="24"/>
        </w:rPr>
        <w:t>rd</w:t>
      </w:r>
    </w:p>
    <w:p w:rsidR="00920244" w:rsidRPr="00DF182C" w:rsidRDefault="00920244" w:rsidP="00920244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182C">
        <w:rPr>
          <w:rFonts w:asciiTheme="majorBidi" w:hAnsiTheme="majorBidi" w:cstheme="majorBidi"/>
          <w:sz w:val="24"/>
          <w:szCs w:val="24"/>
        </w:rPr>
        <w:t xml:space="preserve">Tracer </w:t>
      </w:r>
      <w:proofErr w:type="spellStart"/>
      <w:r w:rsidRPr="00AA4C87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AA4C8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ch</w:t>
      </w:r>
      <w:proofErr w:type="spellEnd"/>
      <w:r w:rsidRPr="00AA4C87">
        <w:rPr>
          <w:rFonts w:asciiTheme="majorBidi" w:hAnsiTheme="majorBidi" w:cstheme="majorBidi"/>
          <w:i/>
          <w:iCs/>
          <w:sz w:val="24"/>
          <w:szCs w:val="24"/>
        </w:rPr>
        <w:t>, i</w:t>
      </w:r>
      <w:r w:rsidRPr="00AA4C8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T1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92024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AA4C8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T</w:t>
      </w:r>
      <w:r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3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92024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>i</w:t>
      </w:r>
      <w:r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D2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>, i</w:t>
      </w:r>
      <w:r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D4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AA4C87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AA4C8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et</w:t>
      </w:r>
      <w:r w:rsidRPr="00AA4C87">
        <w:rPr>
          <w:rFonts w:asciiTheme="majorBidi" w:hAnsiTheme="majorBidi" w:cstheme="majorBidi"/>
          <w:i/>
          <w:iCs/>
          <w:sz w:val="24"/>
          <w:szCs w:val="24"/>
        </w:rPr>
        <w:t xml:space="preserve"> v</w:t>
      </w:r>
      <w:r w:rsidRPr="00AA4C8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T1</w:t>
      </w:r>
      <w:r w:rsidRPr="00DF182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tout en</w:t>
      </w:r>
      <w:r w:rsidRPr="00DF182C">
        <w:rPr>
          <w:rFonts w:asciiTheme="majorBidi" w:hAnsiTheme="majorBidi" w:cstheme="majorBidi"/>
          <w:color w:val="000000"/>
          <w:sz w:val="24"/>
          <w:szCs w:val="24"/>
        </w:rPr>
        <w:t xml:space="preserve"> précis</w:t>
      </w:r>
      <w:r>
        <w:rPr>
          <w:rFonts w:asciiTheme="majorBidi" w:hAnsiTheme="majorBidi" w:cstheme="majorBidi"/>
          <w:color w:val="000000"/>
          <w:sz w:val="24"/>
          <w:szCs w:val="24"/>
        </w:rPr>
        <w:t>ant</w:t>
      </w:r>
      <w:r w:rsidRPr="00DF182C">
        <w:rPr>
          <w:rFonts w:asciiTheme="majorBidi" w:hAnsiTheme="majorBidi" w:cstheme="majorBidi"/>
          <w:color w:val="000000"/>
          <w:sz w:val="24"/>
          <w:szCs w:val="24"/>
        </w:rPr>
        <w:t xml:space="preserve"> les intervalles de conduction de chaque </w:t>
      </w:r>
      <w:r>
        <w:rPr>
          <w:rFonts w:asciiTheme="majorBidi" w:hAnsiTheme="majorBidi" w:cstheme="majorBidi"/>
          <w:color w:val="000000"/>
          <w:sz w:val="24"/>
          <w:szCs w:val="24"/>
        </w:rPr>
        <w:t>composant</w:t>
      </w:r>
      <w:r w:rsidRPr="00DF182C">
        <w:rPr>
          <w:rFonts w:asciiTheme="majorBidi" w:hAnsiTheme="majorBidi" w:cstheme="majorBidi"/>
          <w:color w:val="000000"/>
          <w:sz w:val="24"/>
          <w:szCs w:val="24"/>
        </w:rPr>
        <w:t xml:space="preserve"> sur une période.</w:t>
      </w:r>
    </w:p>
    <w:p w:rsidR="00920244" w:rsidRPr="00DF182C" w:rsidRDefault="00920244" w:rsidP="00920244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F182C">
        <w:rPr>
          <w:rFonts w:asciiTheme="majorBidi" w:eastAsiaTheme="minorEastAsia" w:hAnsiTheme="majorBidi" w:cstheme="majorBidi"/>
          <w:sz w:val="24"/>
          <w:szCs w:val="24"/>
        </w:rPr>
        <w:t>Calculer la puissance P</w:t>
      </w:r>
      <w:r w:rsidRPr="00DF182C">
        <w:rPr>
          <w:rFonts w:asciiTheme="majorBidi" w:eastAsiaTheme="minorEastAsia" w:hAnsiTheme="majorBidi" w:cstheme="majorBidi"/>
          <w:sz w:val="24"/>
          <w:szCs w:val="24"/>
          <w:vertAlign w:val="subscript"/>
        </w:rPr>
        <w:t>ch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DF182C">
        <w:rPr>
          <w:rFonts w:asciiTheme="majorBidi" w:eastAsiaTheme="minorEastAsia" w:hAnsiTheme="majorBidi" w:cstheme="majorBidi"/>
          <w:sz w:val="24"/>
          <w:szCs w:val="24"/>
        </w:rPr>
        <w:t xml:space="preserve"> consommée par la charge.</w:t>
      </w:r>
    </w:p>
    <w:p w:rsidR="007D3E27" w:rsidRPr="00920244" w:rsidRDefault="00920244" w:rsidP="00920244">
      <w:pPr>
        <w:pStyle w:val="Paragraphedeliste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920244">
        <w:rPr>
          <w:rFonts w:asciiTheme="majorBidi" w:eastAsiaTheme="minorEastAsia" w:hAnsiTheme="majorBidi" w:cstheme="majorBidi"/>
          <w:sz w:val="24"/>
          <w:szCs w:val="24"/>
        </w:rPr>
        <w:t>Calculer le facteur de puissance secondaire F</w:t>
      </w:r>
      <w:r w:rsidRPr="0039282C">
        <w:rPr>
          <w:rFonts w:asciiTheme="majorBidi" w:eastAsiaTheme="minorEastAsia" w:hAnsiTheme="majorBidi" w:cstheme="majorBidi"/>
          <w:sz w:val="24"/>
          <w:szCs w:val="24"/>
          <w:vertAlign w:val="subscript"/>
        </w:rPr>
        <w:t>s2</w:t>
      </w:r>
      <w:r w:rsidRPr="00920244">
        <w:rPr>
          <w:rFonts w:asciiTheme="majorBidi" w:eastAsiaTheme="minorEastAsia" w:hAnsiTheme="majorBidi" w:cstheme="majorBidi"/>
          <w:sz w:val="24"/>
          <w:szCs w:val="24"/>
        </w:rPr>
        <w:t>.</w:t>
      </w:r>
    </w:p>
    <w:sectPr w:rsidR="007D3E27" w:rsidRPr="00920244" w:rsidSect="00CA2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1E99"/>
    <w:multiLevelType w:val="hybridMultilevel"/>
    <w:tmpl w:val="028C0D2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84685"/>
    <w:multiLevelType w:val="hybridMultilevel"/>
    <w:tmpl w:val="51EAF80E"/>
    <w:lvl w:ilvl="0" w:tplc="C82E1ED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0131F"/>
    <w:multiLevelType w:val="hybridMultilevel"/>
    <w:tmpl w:val="F19A556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C1181"/>
    <w:multiLevelType w:val="hybridMultilevel"/>
    <w:tmpl w:val="196CC47E"/>
    <w:lvl w:ilvl="0" w:tplc="C8FAB6D0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CF338B"/>
    <w:multiLevelType w:val="hybridMultilevel"/>
    <w:tmpl w:val="6B76EA1A"/>
    <w:lvl w:ilvl="0" w:tplc="DFE022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7D3E27"/>
    <w:rsid w:val="00047CF1"/>
    <w:rsid w:val="00071EC5"/>
    <w:rsid w:val="001401A9"/>
    <w:rsid w:val="001419DE"/>
    <w:rsid w:val="00155B85"/>
    <w:rsid w:val="001746B7"/>
    <w:rsid w:val="00181278"/>
    <w:rsid w:val="001C3407"/>
    <w:rsid w:val="001D171E"/>
    <w:rsid w:val="001F425B"/>
    <w:rsid w:val="00225ADF"/>
    <w:rsid w:val="0023701B"/>
    <w:rsid w:val="00261139"/>
    <w:rsid w:val="00280002"/>
    <w:rsid w:val="002B7E74"/>
    <w:rsid w:val="002E203F"/>
    <w:rsid w:val="002F0F4C"/>
    <w:rsid w:val="00302DF3"/>
    <w:rsid w:val="00325825"/>
    <w:rsid w:val="003676CA"/>
    <w:rsid w:val="0039282C"/>
    <w:rsid w:val="00427725"/>
    <w:rsid w:val="00462B95"/>
    <w:rsid w:val="004A31B7"/>
    <w:rsid w:val="004B631F"/>
    <w:rsid w:val="004C7BC9"/>
    <w:rsid w:val="004E1EDA"/>
    <w:rsid w:val="00515A8C"/>
    <w:rsid w:val="00536754"/>
    <w:rsid w:val="0055494C"/>
    <w:rsid w:val="00556DF4"/>
    <w:rsid w:val="00587654"/>
    <w:rsid w:val="005877FD"/>
    <w:rsid w:val="00590A84"/>
    <w:rsid w:val="005D7D94"/>
    <w:rsid w:val="00602BB0"/>
    <w:rsid w:val="006227C4"/>
    <w:rsid w:val="00626030"/>
    <w:rsid w:val="00684B04"/>
    <w:rsid w:val="00697DC7"/>
    <w:rsid w:val="006A5292"/>
    <w:rsid w:val="006D48D2"/>
    <w:rsid w:val="0075705E"/>
    <w:rsid w:val="00790D09"/>
    <w:rsid w:val="007B0325"/>
    <w:rsid w:val="007C3EB0"/>
    <w:rsid w:val="007C4B37"/>
    <w:rsid w:val="007D3E27"/>
    <w:rsid w:val="007E06CC"/>
    <w:rsid w:val="0085035B"/>
    <w:rsid w:val="0087182B"/>
    <w:rsid w:val="008C019E"/>
    <w:rsid w:val="008C1BD7"/>
    <w:rsid w:val="008C3E62"/>
    <w:rsid w:val="008C62FB"/>
    <w:rsid w:val="008E09DD"/>
    <w:rsid w:val="008F3F8C"/>
    <w:rsid w:val="009033F1"/>
    <w:rsid w:val="00903AEE"/>
    <w:rsid w:val="00920244"/>
    <w:rsid w:val="00922206"/>
    <w:rsid w:val="00930419"/>
    <w:rsid w:val="00935722"/>
    <w:rsid w:val="00944ABE"/>
    <w:rsid w:val="009661D2"/>
    <w:rsid w:val="00971F54"/>
    <w:rsid w:val="00985790"/>
    <w:rsid w:val="009A4936"/>
    <w:rsid w:val="009B197E"/>
    <w:rsid w:val="009C5D54"/>
    <w:rsid w:val="009F20CD"/>
    <w:rsid w:val="009F67BA"/>
    <w:rsid w:val="00A4382E"/>
    <w:rsid w:val="00AB2E20"/>
    <w:rsid w:val="00AE3C15"/>
    <w:rsid w:val="00AF2F24"/>
    <w:rsid w:val="00B714DC"/>
    <w:rsid w:val="00B90ACA"/>
    <w:rsid w:val="00BA2595"/>
    <w:rsid w:val="00BE0E9E"/>
    <w:rsid w:val="00BE1467"/>
    <w:rsid w:val="00BE514A"/>
    <w:rsid w:val="00C22170"/>
    <w:rsid w:val="00C36A70"/>
    <w:rsid w:val="00C64A3B"/>
    <w:rsid w:val="00C828D8"/>
    <w:rsid w:val="00CA1154"/>
    <w:rsid w:val="00CA2225"/>
    <w:rsid w:val="00CD185D"/>
    <w:rsid w:val="00D24509"/>
    <w:rsid w:val="00D44E5B"/>
    <w:rsid w:val="00D66AE9"/>
    <w:rsid w:val="00DA304F"/>
    <w:rsid w:val="00DF5C91"/>
    <w:rsid w:val="00DF6971"/>
    <w:rsid w:val="00E01B41"/>
    <w:rsid w:val="00E214B9"/>
    <w:rsid w:val="00E23897"/>
    <w:rsid w:val="00E76424"/>
    <w:rsid w:val="00F57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E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2E203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579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TECHNOPC</cp:lastModifiedBy>
  <cp:revision>12</cp:revision>
  <dcterms:created xsi:type="dcterms:W3CDTF">2019-02-20T15:04:00Z</dcterms:created>
  <dcterms:modified xsi:type="dcterms:W3CDTF">2019-02-21T19:59:00Z</dcterms:modified>
</cp:coreProperties>
</file>