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4EE8" w14:textId="66E28788" w:rsidR="00F14FDF" w:rsidRDefault="00F14FDF" w:rsidP="00F14FDF">
      <w:r>
        <w:t>Question 5 - Quels indicateur</w:t>
      </w:r>
      <w:r w:rsidR="00347E1D">
        <w:t>s</w:t>
      </w:r>
      <w:r>
        <w:t xml:space="preserve"> pour piloter une ligne de production, et selon quelles normes ?  </w:t>
      </w:r>
    </w:p>
    <w:p w14:paraId="75BC07D3" w14:textId="77777777" w:rsidR="00F14FDF" w:rsidRDefault="00F14FDF" w:rsidP="00F14FDF">
      <w:r>
        <w:t xml:space="preserve">Source : </w:t>
      </w:r>
    </w:p>
    <w:p w14:paraId="498518EC" w14:textId="77777777" w:rsidR="00F14FDF" w:rsidRDefault="00F14FDF" w:rsidP="00F14FDF">
      <w:pPr>
        <w:pStyle w:val="Paragraphedeliste"/>
        <w:numPr>
          <w:ilvl w:val="0"/>
          <w:numId w:val="1"/>
        </w:numPr>
      </w:pPr>
      <w:r>
        <w:t xml:space="preserve">ISO (2014). </w:t>
      </w:r>
      <w:r>
        <w:rPr>
          <w:i/>
          <w:iCs/>
        </w:rPr>
        <w:t>ISO 22400-</w:t>
      </w:r>
      <w:proofErr w:type="gramStart"/>
      <w:r>
        <w:rPr>
          <w:i/>
          <w:iCs/>
        </w:rPr>
        <w:t>2:</w:t>
      </w:r>
      <w:proofErr w:type="gramEnd"/>
      <w:r>
        <w:rPr>
          <w:i/>
          <w:iCs/>
        </w:rPr>
        <w:t>2014 - Systèmes d'automatisation et intégration - Indicateurs de la performance clé pour le management des opérations de fabrication - Partie 2 : Définitions et descriptions</w:t>
      </w:r>
      <w:r>
        <w:t xml:space="preserve">. Organisation internationale de normalisation. </w:t>
      </w:r>
      <w:hyperlink r:id="rId7" w:history="1">
        <w:r>
          <w:rPr>
            <w:rStyle w:val="Lienhypertexte"/>
          </w:rPr>
          <w:t>https://www.iso.org/fr/standard/54497.html</w:t>
        </w:r>
      </w:hyperlink>
    </w:p>
    <w:p w14:paraId="1219E589" w14:textId="77777777" w:rsidR="00F14FDF" w:rsidRDefault="00F14FDF" w:rsidP="00F14FDF">
      <w:pPr>
        <w:pStyle w:val="Paragraphedeliste"/>
        <w:numPr>
          <w:ilvl w:val="0"/>
          <w:numId w:val="1"/>
        </w:numPr>
      </w:pPr>
      <w:r>
        <w:t xml:space="preserve">Kang, N., Zhao, C., Li, J. et Horst, J. A. (2016). </w:t>
      </w:r>
      <w:r>
        <w:rPr>
          <w:lang w:val="en-US"/>
        </w:rPr>
        <w:t xml:space="preserve">A hierarchical structure of key performance indicators for operation management and continuous improvement in production systems. </w:t>
      </w:r>
      <w:r>
        <w:rPr>
          <w:i/>
          <w:iCs/>
          <w:lang w:val="en-US"/>
        </w:rPr>
        <w:t>International Journal of Production Research</w:t>
      </w:r>
      <w:r>
        <w:rPr>
          <w:lang w:val="en-US"/>
        </w:rPr>
        <w:t xml:space="preserve">, 54(21), 6333–6350. </w:t>
      </w:r>
      <w:hyperlink r:id="rId8" w:history="1">
        <w:r>
          <w:rPr>
            <w:rStyle w:val="Lienhypertexte"/>
          </w:rPr>
          <w:t>https://doi.org/10.1080/00207543.2015.113</w:t>
        </w:r>
        <w:bookmarkStart w:id="0" w:name="_Hlt242479937"/>
        <w:bookmarkStart w:id="1" w:name="_Hlt242479938"/>
        <w:r>
          <w:rPr>
            <w:rStyle w:val="Lienhypertexte"/>
          </w:rPr>
          <w:t>6</w:t>
        </w:r>
        <w:bookmarkEnd w:id="0"/>
        <w:bookmarkEnd w:id="1"/>
        <w:r>
          <w:rPr>
            <w:rStyle w:val="Lienhypertexte"/>
          </w:rPr>
          <w:t>082</w:t>
        </w:r>
      </w:hyperlink>
    </w:p>
    <w:p w14:paraId="06877D68" w14:textId="77777777" w:rsidR="00F14FDF" w:rsidRDefault="00F14FDF" w:rsidP="00F14FDF">
      <w:pPr>
        <w:pStyle w:val="Paragraphedeliste"/>
      </w:pPr>
      <w:hyperlink r:id="rId9" w:history="1">
        <w:r>
          <w:rPr>
            <w:rStyle w:val="Lienhypertexte"/>
          </w:rPr>
          <w:t>https://tsapps.nist.gov/publication/get_pdf.cfm?pu</w:t>
        </w:r>
        <w:bookmarkStart w:id="2" w:name="_Hlt242479930"/>
        <w:bookmarkStart w:id="3" w:name="_Hlt242479931"/>
        <w:r>
          <w:rPr>
            <w:rStyle w:val="Lienhypertexte"/>
          </w:rPr>
          <w:t>b</w:t>
        </w:r>
        <w:bookmarkEnd w:id="2"/>
        <w:bookmarkEnd w:id="3"/>
        <w:r>
          <w:rPr>
            <w:rStyle w:val="Lienhypertexte"/>
          </w:rPr>
          <w:t>_id=9</w:t>
        </w:r>
        <w:bookmarkStart w:id="4" w:name="_Hlt242479957"/>
        <w:bookmarkStart w:id="5" w:name="_Hlt242479958"/>
        <w:r>
          <w:rPr>
            <w:rStyle w:val="Lienhypertexte"/>
          </w:rPr>
          <w:t>1</w:t>
        </w:r>
        <w:bookmarkEnd w:id="4"/>
        <w:bookmarkEnd w:id="5"/>
        <w:r>
          <w:rPr>
            <w:rStyle w:val="Lienhypertexte"/>
          </w:rPr>
          <w:t>9754</w:t>
        </w:r>
      </w:hyperlink>
    </w:p>
    <w:p w14:paraId="16E2C0F2" w14:textId="77777777" w:rsidR="00F14FDF" w:rsidRDefault="00F14FDF" w:rsidP="00F14FDF"/>
    <w:p w14:paraId="1410C64E" w14:textId="616A61BB" w:rsidR="00F14FDF" w:rsidRDefault="00F14FDF" w:rsidP="00F14FDF">
      <w:r>
        <w:t>Il existe plusieurs dizaines d'indicateurs de performance pour piloter une ligne de production. Le risque n'est donc pas d'en manquer, mais de mal les choisir ou de les calculer de façon incohérente : deux usines qui ne mesurent pas un même indicateur de la même manière ne peuvent pas comparer leurs résultats. C'est pour répondre à ce problème que des normes ont été créé</w:t>
      </w:r>
      <w:r w:rsidR="00347E1D">
        <w:t>es</w:t>
      </w:r>
      <w:r>
        <w:t xml:space="preserve">. Au niveau international, la norme </w:t>
      </w:r>
      <w:r w:rsidRPr="00442656">
        <w:rPr>
          <w:b/>
          <w:bCs/>
        </w:rPr>
        <w:t>ISO 22400-2</w:t>
      </w:r>
      <w:r>
        <w:t xml:space="preserve">, publiée en 2014 et élaborée par le comité technique </w:t>
      </w:r>
      <w:r w:rsidRPr="00442656">
        <w:rPr>
          <w:b/>
          <w:bCs/>
        </w:rPr>
        <w:t>ISO/TC 184/SC 5</w:t>
      </w:r>
      <w:r>
        <w:t xml:space="preserve">, recense 34 KPI destinés à la gestion des opérations de fabrication. Pour chacun d'eux, elle précise la formule et ses éléments, l'unité, le groupe d'utilisateurs concerné et le type de production auquel il s'applique. </w:t>
      </w:r>
    </w:p>
    <w:p w14:paraId="62944F43" w14:textId="77777777" w:rsidR="00F14FDF" w:rsidRDefault="00F14FDF" w:rsidP="00F14FDF">
      <w:r>
        <w:t>Parmi ces indicateurs, l'</w:t>
      </w:r>
      <w:r w:rsidRPr="00442656">
        <w:rPr>
          <w:b/>
          <w:bCs/>
        </w:rPr>
        <w:t xml:space="preserve">OEE </w:t>
      </w:r>
      <w:r>
        <w:t>(</w:t>
      </w:r>
      <w:r>
        <w:rPr>
          <w:i/>
          <w:iCs/>
        </w:rPr>
        <w:t xml:space="preserve">Overall Equipment </w:t>
      </w:r>
      <w:proofErr w:type="spellStart"/>
      <w:r>
        <w:rPr>
          <w:i/>
          <w:iCs/>
        </w:rPr>
        <w:t>Effectiveness</w:t>
      </w:r>
      <w:proofErr w:type="spellEnd"/>
      <w:r>
        <w:t xml:space="preserve">, ou efficacité globale des équipements) est le plus représentatif de cette norme, car il synthétise en un seul chiffre la productivité réelle d'un équipement. Il se calcule avec cette formule : </w:t>
      </w:r>
    </w:p>
    <w:p w14:paraId="6EB1AEA1" w14:textId="77777777" w:rsidR="00F14FDF" w:rsidRPr="00442656" w:rsidRDefault="00F14FDF" w:rsidP="00F14FDF">
      <w:pPr>
        <w:rPr>
          <w:b/>
          <w:bCs/>
        </w:rPr>
      </w:pPr>
      <w:r w:rsidRPr="00442656">
        <w:rPr>
          <w:b/>
          <w:bCs/>
        </w:rPr>
        <w:t>OEE = Disponibilité × Performance × Qualité</w:t>
      </w:r>
    </w:p>
    <w:p w14:paraId="318548E8" w14:textId="7BB161AC" w:rsidR="00F14FDF" w:rsidRDefault="00F14FDF" w:rsidP="00F14FDF">
      <w:r>
        <w:t>La disponibilité est le rapport entre le temps de fonctionnement réel et le temps pendant lequel l'équipement devait produire. La performance compare la production réelle à la production théorique sur ce temps de fonctionnement. La qualité est la part des unités conformes dans le total produit. Un OEE de 100 % correspond à une production parfaite</w:t>
      </w:r>
      <w:r w:rsidR="00347E1D" w:rsidRPr="00347E1D">
        <w:t xml:space="preserve"> :</w:t>
      </w:r>
      <w:r>
        <w:t xml:space="preserve"> aucun arrêt, une vitesse maximale et aucun défaut. Le seuil de 85 %, souvent présenté comme le niveau « classe mondiale », provient de Nakajima</w:t>
      </w:r>
      <w:r w:rsidR="00347E1D" w:rsidRPr="00347E1D">
        <w:t xml:space="preserve"> ;</w:t>
      </w:r>
      <w:r>
        <w:t xml:space="preserve"> il correspond à environ 90 % de disponibilité, 95 % de performance et 99 % de qualité. Ce repère reste indicatif et dépend du type de production. L’intérêt principal</w:t>
      </w:r>
      <w:r w:rsidR="00347E1D" w:rsidRPr="00347E1D">
        <w:t xml:space="preserve"> de la formule est sa décomposition,</w:t>
      </w:r>
      <w:r>
        <w:t xml:space="preserve"> car à OEE égal, deux équipements peuvent souffrir de problèmes très différents (pannes, ralentissements ou défauts), qui appellent des actions différentes. </w:t>
      </w:r>
    </w:p>
    <w:p w14:paraId="614AADD8" w14:textId="77777777" w:rsidR="00F14FDF" w:rsidRDefault="00F14FDF" w:rsidP="00F14FDF">
      <w:r>
        <w:t xml:space="preserve">En France, la norme </w:t>
      </w:r>
      <w:r w:rsidRPr="004723D2">
        <w:rPr>
          <w:b/>
          <w:bCs/>
        </w:rPr>
        <w:t>NF E60-182</w:t>
      </w:r>
      <w:r>
        <w:t xml:space="preserve"> précise cette approche en distinguant trois indicateurs. Ils partagent le même numérateur, le temps utile, mais se différencient par la fenêtre de temps retenue au dénominateur : le temps requis pour le TRS, le temps d'ouverture pour le TRG et le temps total pour le TRE. On a donc toujours </w:t>
      </w:r>
      <w:r w:rsidRPr="003D35E2">
        <w:rPr>
          <w:b/>
          <w:bCs/>
        </w:rPr>
        <w:t>TRE &lt; TRG &lt; TRS</w:t>
      </w:r>
      <w:r>
        <w:t xml:space="preserve">. Cette distinction montre que la valeur d'un indicateur dépend directement de la base de temps choisie, qui doit donc être explicitement documentée. </w:t>
      </w:r>
    </w:p>
    <w:p w14:paraId="08FC0ED7" w14:textId="77777777" w:rsidR="00F14FDF" w:rsidRDefault="00F14FDF" w:rsidP="00F14FDF">
      <w:r>
        <w:t xml:space="preserve">Enfin, un seul indicateur ne suffit pas à piloter une ligne. Kang et al. (2016) proposent d'organiser les KPI de l'ISO 22400 selon une structure hiérarchique distinguant des KPI de base, des KPI globaux et leurs métriques de support, afin d'analyser leurs dépendances. Par exemple, l'OEE dépend de la disponibilité, elle-même expliquée par le temps moyen entre pannes (MTBF) et le </w:t>
      </w:r>
      <w:r>
        <w:lastRenderedPageBreak/>
        <w:t xml:space="preserve">temps moyen de réparation (MTTR). Chaque fonction de l'entreprise s'appuie ainsi sur ses propres indicateurs : MTBF et MTTR pour la maintenance, taux de rebut pour la qualité, délai de fabrication et respect des délais pour la logistique. Tous sont reliés entre eux et remontent vers des indicateurs de synthèse. </w:t>
      </w:r>
    </w:p>
    <w:p w14:paraId="48D1F9A3" w14:textId="77777777" w:rsidR="00F14FDF" w:rsidRDefault="00F14FDF" w:rsidP="00F14FDF"/>
    <w:p w14:paraId="5C7DAB25" w14:textId="69B59DC9" w:rsidR="004D1B34" w:rsidRPr="004D1B34" w:rsidRDefault="004D1B34" w:rsidP="004D1B34">
      <w:r w:rsidRPr="004D1B34">
        <w:t xml:space="preserve">Question 6 </w:t>
      </w:r>
      <w:r>
        <w:t>-</w:t>
      </w:r>
      <w:r w:rsidRPr="004D1B34">
        <w:t xml:space="preserve"> Agile, Waterfall, Kanban, Scrum : lequel choisir pour quel type de projet ?</w:t>
      </w:r>
    </w:p>
    <w:p w14:paraId="5C1B98BC" w14:textId="77777777" w:rsidR="004D1B34" w:rsidRPr="004D1B34" w:rsidRDefault="004D1B34" w:rsidP="004D1B34">
      <w:r w:rsidRPr="004D1B34">
        <w:t>Sources utilisées</w:t>
      </w:r>
    </w:p>
    <w:p w14:paraId="29BF4C86" w14:textId="77777777" w:rsidR="004D1B34" w:rsidRPr="004D1B34" w:rsidRDefault="004D1B34" w:rsidP="004D1B34">
      <w:pPr>
        <w:numPr>
          <w:ilvl w:val="0"/>
          <w:numId w:val="2"/>
        </w:numPr>
      </w:pPr>
      <w:r w:rsidRPr="004D1B34">
        <w:rPr>
          <w:lang w:val="en-US"/>
        </w:rPr>
        <w:t xml:space="preserve">Royce, W. W. (1970). Managing the development of large software systems. </w:t>
      </w:r>
      <w:proofErr w:type="spellStart"/>
      <w:r w:rsidRPr="004D1B34">
        <w:rPr>
          <w:i/>
          <w:iCs/>
        </w:rPr>
        <w:t>Proceedings</w:t>
      </w:r>
      <w:proofErr w:type="spellEnd"/>
      <w:r w:rsidRPr="004D1B34">
        <w:rPr>
          <w:i/>
          <w:iCs/>
        </w:rPr>
        <w:t xml:space="preserve"> of IEEE WESCON</w:t>
      </w:r>
      <w:r w:rsidRPr="004D1B34">
        <w:t>, 1–9.</w:t>
      </w:r>
    </w:p>
    <w:p w14:paraId="2AE77D8F" w14:textId="77777777" w:rsidR="004D1B34" w:rsidRPr="004D1B34" w:rsidRDefault="004D1B34" w:rsidP="004D1B34">
      <w:pPr>
        <w:numPr>
          <w:ilvl w:val="0"/>
          <w:numId w:val="2"/>
        </w:numPr>
      </w:pPr>
      <w:r w:rsidRPr="004D1B34">
        <w:t xml:space="preserve">Beck, K. et al. (2001). </w:t>
      </w:r>
      <w:r w:rsidRPr="004D1B34">
        <w:rPr>
          <w:i/>
          <w:iCs/>
        </w:rPr>
        <w:t>Manifeste pour le développement Agile de logiciels</w:t>
      </w:r>
      <w:r w:rsidRPr="004D1B34">
        <w:t xml:space="preserve">. </w:t>
      </w:r>
      <w:hyperlink r:id="rId10" w:history="1">
        <w:r w:rsidRPr="004D1B34">
          <w:rPr>
            <w:rStyle w:val="Lienhypertexte"/>
          </w:rPr>
          <w:t>https://agilemanifesto.org/iso/fr/manifesto.html</w:t>
        </w:r>
      </w:hyperlink>
    </w:p>
    <w:p w14:paraId="0DC8985D" w14:textId="77777777" w:rsidR="004D1B34" w:rsidRPr="004D1B34" w:rsidRDefault="004D1B34" w:rsidP="004D1B34">
      <w:pPr>
        <w:numPr>
          <w:ilvl w:val="0"/>
          <w:numId w:val="2"/>
        </w:numPr>
        <w:rPr>
          <w:lang w:val="en-US"/>
        </w:rPr>
      </w:pPr>
      <w:r w:rsidRPr="004D1B34">
        <w:t xml:space="preserve">Schwaber, K. et Sutherland, J. (2020). </w:t>
      </w:r>
      <w:r w:rsidRPr="004D1B34">
        <w:rPr>
          <w:i/>
          <w:iCs/>
          <w:lang w:val="en-US"/>
        </w:rPr>
        <w:t>The Scrum Guide</w:t>
      </w:r>
      <w:r w:rsidRPr="004D1B34">
        <w:rPr>
          <w:lang w:val="en-US"/>
        </w:rPr>
        <w:t xml:space="preserve">. </w:t>
      </w:r>
      <w:hyperlink r:id="rId11" w:history="1">
        <w:r w:rsidRPr="004D1B34">
          <w:rPr>
            <w:rStyle w:val="Lienhypertexte"/>
            <w:lang w:val="en-US"/>
          </w:rPr>
          <w:t>https://scrumguides.org</w:t>
        </w:r>
      </w:hyperlink>
    </w:p>
    <w:p w14:paraId="6389F137" w14:textId="77777777" w:rsidR="004D1B34" w:rsidRPr="004D1B34" w:rsidRDefault="004D1B34" w:rsidP="004D1B34">
      <w:pPr>
        <w:numPr>
          <w:ilvl w:val="0"/>
          <w:numId w:val="2"/>
        </w:numPr>
      </w:pPr>
      <w:r w:rsidRPr="004D1B34">
        <w:rPr>
          <w:lang w:val="en-US"/>
        </w:rPr>
        <w:t xml:space="preserve">Kuhrmann, M., Diebold, P., Münch, J., Tell, P., </w:t>
      </w:r>
      <w:proofErr w:type="spellStart"/>
      <w:r w:rsidRPr="004D1B34">
        <w:rPr>
          <w:lang w:val="en-US"/>
        </w:rPr>
        <w:t>Garousi</w:t>
      </w:r>
      <w:proofErr w:type="spellEnd"/>
      <w:r w:rsidRPr="004D1B34">
        <w:rPr>
          <w:lang w:val="en-US"/>
        </w:rPr>
        <w:t xml:space="preserve">, V., Felderer, M., </w:t>
      </w:r>
      <w:proofErr w:type="spellStart"/>
      <w:r w:rsidRPr="004D1B34">
        <w:rPr>
          <w:lang w:val="en-US"/>
        </w:rPr>
        <w:t>Trektere</w:t>
      </w:r>
      <w:proofErr w:type="spellEnd"/>
      <w:r w:rsidRPr="004D1B34">
        <w:rPr>
          <w:lang w:val="en-US"/>
        </w:rPr>
        <w:t xml:space="preserve">, K., McCaffery, F., Linssen, O., Hanser, E. et Prause, C. R. (2017). Hybrid software and system development in practice: Waterfall, Scrum, and beyond. </w:t>
      </w:r>
      <w:r w:rsidRPr="004D1B34">
        <w:rPr>
          <w:i/>
          <w:iCs/>
          <w:lang w:val="en-US"/>
        </w:rPr>
        <w:t>Proceedings of the 2017 International Conference on Software and System Process (ICSSP)</w:t>
      </w:r>
      <w:r w:rsidRPr="004D1B34">
        <w:rPr>
          <w:lang w:val="en-US"/>
        </w:rPr>
        <w:t xml:space="preserve">, ACM, 30–39. </w:t>
      </w:r>
      <w:hyperlink r:id="rId12" w:history="1">
        <w:r w:rsidRPr="004D1B34">
          <w:rPr>
            <w:rStyle w:val="Lienhypertexte"/>
          </w:rPr>
          <w:t>https://doi.org/10.1145/3084100.3084104</w:t>
        </w:r>
      </w:hyperlink>
      <w:r w:rsidRPr="004D1B34">
        <w:t xml:space="preserve"> (</w:t>
      </w:r>
      <w:proofErr w:type="spellStart"/>
      <w:r w:rsidRPr="004D1B34">
        <w:t>preprint</w:t>
      </w:r>
      <w:proofErr w:type="spellEnd"/>
      <w:r w:rsidRPr="004D1B34">
        <w:t xml:space="preserve"> gratuit : </w:t>
      </w:r>
      <w:hyperlink r:id="rId13" w:history="1">
        <w:r w:rsidRPr="004D1B34">
          <w:rPr>
            <w:rStyle w:val="Lienhypertexte"/>
          </w:rPr>
          <w:t>https://publications.uni.lu/handle/10993/31353</w:t>
        </w:r>
      </w:hyperlink>
      <w:r w:rsidRPr="004D1B34">
        <w:t>)</w:t>
      </w:r>
    </w:p>
    <w:p w14:paraId="60865D71" w14:textId="777318EF" w:rsidR="004D1B34" w:rsidRPr="004D1B34" w:rsidRDefault="004D1B34" w:rsidP="004D1B34">
      <w:r w:rsidRPr="004D1B34">
        <w:t xml:space="preserve">Le </w:t>
      </w:r>
      <w:r w:rsidRPr="004D1B34">
        <w:rPr>
          <w:b/>
          <w:bCs/>
        </w:rPr>
        <w:t>Waterfall</w:t>
      </w:r>
      <w:r w:rsidRPr="004D1B34">
        <w:t xml:space="preserve"> et l'</w:t>
      </w:r>
      <w:r w:rsidRPr="004D1B34">
        <w:rPr>
          <w:b/>
          <w:bCs/>
        </w:rPr>
        <w:t>Agile</w:t>
      </w:r>
      <w:r w:rsidRPr="004D1B34">
        <w:t xml:space="preserve"> sont deux grandes approches de la gestion de projet, alors que </w:t>
      </w:r>
      <w:r w:rsidRPr="004D1B34">
        <w:rPr>
          <w:b/>
          <w:bCs/>
        </w:rPr>
        <w:t>Scrum</w:t>
      </w:r>
      <w:r w:rsidRPr="004D1B34">
        <w:t xml:space="preserve"> et </w:t>
      </w:r>
      <w:r w:rsidRPr="004D1B34">
        <w:rPr>
          <w:b/>
          <w:bCs/>
        </w:rPr>
        <w:t>Kanban</w:t>
      </w:r>
      <w:r w:rsidRPr="004D1B34">
        <w:t xml:space="preserve"> sont des méthodes concrètes qui appliquent l'approche agile. Le choix se fait donc d'abord entre une logique prédictive et une logique adaptative, puis entre les méthodes qui les mettent en œuvre.</w:t>
      </w:r>
    </w:p>
    <w:p w14:paraId="1DBBA752" w14:textId="6EE91A70" w:rsidR="004D1B34" w:rsidRPr="004D1B34" w:rsidRDefault="004D1B34" w:rsidP="004D1B34">
      <w:r w:rsidRPr="004D1B34">
        <w:t xml:space="preserve">L'approche </w:t>
      </w:r>
      <w:r w:rsidRPr="004D1B34">
        <w:rPr>
          <w:b/>
          <w:bCs/>
        </w:rPr>
        <w:t>Waterfall</w:t>
      </w:r>
      <w:r>
        <w:t xml:space="preserve"> ou cascade </w:t>
      </w:r>
      <w:r w:rsidRPr="004D1B34">
        <w:t>organise le projet en phases successives</w:t>
      </w:r>
      <w:r w:rsidR="00347E1D" w:rsidRPr="00347E1D">
        <w:t xml:space="preserve"> :</w:t>
      </w:r>
      <w:r w:rsidRPr="004D1B34">
        <w:t xml:space="preserve"> expression des besoins, conception, développement, tests, puis livraison. Chaque phase doit être terminée avant de passer à la suivante, et le besoin est figé au départ dans un cahier des charges. Cette approche est souvent attribuée à Royc</w:t>
      </w:r>
      <w:r>
        <w:t>e</w:t>
      </w:r>
      <w:r w:rsidRPr="004D1B34">
        <w:t xml:space="preserve">, mais son article décrivait le modèle séquentiel pur pour en souligner les risques, notamment celui de découvrir les problèmes seulement lors des tests finaux, et proposait déjà des retours entre les phases. L'approche reste néanmoins adaptée aux projets dont le besoin est stable et bien compris, qui doivent être contractualisés ou qui nécessitent une documentation importante. </w:t>
      </w:r>
      <w:r>
        <w:t xml:space="preserve">Par exemple, dans le secteur de l’automobile, quand une personne commande une </w:t>
      </w:r>
      <w:r w:rsidR="00347E1D" w:rsidRPr="00347E1D">
        <w:t xml:space="preserve">nouvelle voiture, la méthode Waterfall est parfaitement adaptée </w:t>
      </w:r>
      <w:r w:rsidR="007C5BC7">
        <w:t>car</w:t>
      </w:r>
      <w:r w:rsidR="00347E1D" w:rsidRPr="00347E1D">
        <w:t xml:space="preserve"> entre la commande et la livraison, le client n’a pas besoin de voir l’avancement. Mais son principal problème est le manque de flexibilité </w:t>
      </w:r>
      <w:r w:rsidR="007C5BC7">
        <w:t xml:space="preserve">car </w:t>
      </w:r>
      <w:r w:rsidR="00347E1D" w:rsidRPr="00347E1D">
        <w:t>le client peut ne pas aimer le résultat si on ne le lui dévoile qu’à la fin, et cela peut coûter cher.</w:t>
      </w:r>
    </w:p>
    <w:p w14:paraId="430EC483" w14:textId="1383A1ED" w:rsidR="004D1B34" w:rsidRPr="004D1B34" w:rsidRDefault="004D1B34" w:rsidP="004D1B34">
      <w:r w:rsidRPr="004D1B34">
        <w:t xml:space="preserve">L'approche agile s'est construite en réaction à ces limites. Le Manifeste </w:t>
      </w:r>
      <w:r w:rsidRPr="004D1B34">
        <w:rPr>
          <w:b/>
          <w:bCs/>
        </w:rPr>
        <w:t>Agile</w:t>
      </w:r>
      <w:r w:rsidRPr="004D1B34">
        <w:t xml:space="preserve"> repose sur </w:t>
      </w:r>
      <w:r w:rsidR="002D4C09">
        <w:t>plusieurs</w:t>
      </w:r>
      <w:r w:rsidRPr="004D1B34">
        <w:t xml:space="preserve"> valeurs : privilégier les personnes et leurs interactions plutôt que les processus et les outils</w:t>
      </w:r>
      <w:r w:rsidR="002D4C09">
        <w:t xml:space="preserve">, </w:t>
      </w:r>
      <w:r w:rsidRPr="004D1B34">
        <w:t xml:space="preserve">la collaboration avec le client plutôt que la négociation contractuelle, et l'adaptation au changement plutôt que le suivi d'un plan. Le projet avance par cycles courts, chacun produisant une partie fonctionnelle du produit présentée au client, ce qui permet d'ajuster le besoin au fur et à mesure. </w:t>
      </w:r>
      <w:r w:rsidRPr="004D1B34">
        <w:rPr>
          <w:b/>
          <w:bCs/>
        </w:rPr>
        <w:t>Scrum</w:t>
      </w:r>
      <w:r w:rsidRPr="004D1B34">
        <w:t xml:space="preserve"> en est la méthode la plus structurée : selon le Scrum Guide, le travail est découpé en sprints d'un mois au plus, encadrés par des rôles et des événements réguliers</w:t>
      </w:r>
      <w:r w:rsidR="00347E1D" w:rsidRPr="00347E1D">
        <w:t xml:space="preserve"> (</w:t>
      </w:r>
      <w:r w:rsidRPr="004D1B34">
        <w:t>planification, point quotidien</w:t>
      </w:r>
      <w:r w:rsidR="00347E1D">
        <w:t xml:space="preserve">). </w:t>
      </w:r>
      <w:r w:rsidRPr="004D1B34">
        <w:t xml:space="preserve">Kanban est plus souple : issu du système de production de Toyota, il repose sur la visualisation des tâches dans un tableau et sur la limitation du travail en </w:t>
      </w:r>
      <w:r w:rsidRPr="004D1B34">
        <w:lastRenderedPageBreak/>
        <w:t>cours, sans cycles ni rôles imposés. Scrum convient aux équipes dédiées travaillant sur un produit dont le besoin évolue, Kanban aux flux de demandes continus ou aux petites équipes.</w:t>
      </w:r>
    </w:p>
    <w:p w14:paraId="125C3454" w14:textId="531F1834" w:rsidR="004D1B34" w:rsidRPr="004D1B34" w:rsidRDefault="004D1B34" w:rsidP="004D1B34">
      <w:r w:rsidRPr="004D1B34">
        <w:t>En pratique, ces approches sont rarement appliquées de façon pure. Kuhrmann et al</w:t>
      </w:r>
      <w:r>
        <w:t>.</w:t>
      </w:r>
      <w:r w:rsidRPr="004D1B34">
        <w:t xml:space="preserve"> </w:t>
      </w:r>
      <w:proofErr w:type="gramStart"/>
      <w:r w:rsidRPr="004D1B34">
        <w:t>ont</w:t>
      </w:r>
      <w:proofErr w:type="gramEnd"/>
      <w:r w:rsidRPr="004D1B34">
        <w:t xml:space="preserve"> mené une enquête sur les approches hybrides et constatent que les entreprises et les projets combinent des méthodes structurées et complètes avec des pratiques agiles flexibles pour faire face à l'évolution rapide des marchés. Leur étude, menée auprès de 69 participants, montre une grande variété d'approches combinées en pratique, et que ce recours aux approches hybrides ne dépend ni de la taille de l'entreprise ni de facteurs externes. Le choix d'une méthode ne se résume donc pas à « Waterfall ou Agile », mais consiste à combiner les pratiques adaptées au contexte du projet : stabilité du besoin, présence d'un contrat, disponibilité du client et taille de l'équipe. </w:t>
      </w:r>
    </w:p>
    <w:p w14:paraId="19CB270A" w14:textId="4A4E449B" w:rsidR="004751AC" w:rsidRPr="004751AC" w:rsidRDefault="004751AC" w:rsidP="004751AC">
      <w:r w:rsidRPr="004751AC">
        <w:t xml:space="preserve">Question 7 </w:t>
      </w:r>
      <w:r w:rsidRPr="004751AC">
        <w:t>-</w:t>
      </w:r>
      <w:r w:rsidRPr="004751AC">
        <w:t xml:space="preserve"> Quels risques et quelles bonnes pratiques pour l'usage des LLM en développement ?</w:t>
      </w:r>
    </w:p>
    <w:p w14:paraId="21A57ABC" w14:textId="77777777" w:rsidR="004751AC" w:rsidRPr="004751AC" w:rsidRDefault="004751AC" w:rsidP="004751AC">
      <w:r w:rsidRPr="004751AC">
        <w:t>Sources utilisées</w:t>
      </w:r>
    </w:p>
    <w:p w14:paraId="64623870" w14:textId="77777777" w:rsidR="004751AC" w:rsidRPr="004751AC" w:rsidRDefault="004751AC" w:rsidP="004751AC">
      <w:pPr>
        <w:numPr>
          <w:ilvl w:val="0"/>
          <w:numId w:val="3"/>
        </w:numPr>
      </w:pPr>
      <w:r w:rsidRPr="004751AC">
        <w:t xml:space="preserve">Perry, N., Srivastava, M., Kumar, D. et </w:t>
      </w:r>
      <w:proofErr w:type="spellStart"/>
      <w:r w:rsidRPr="004751AC">
        <w:t>Boneh</w:t>
      </w:r>
      <w:proofErr w:type="spellEnd"/>
      <w:r w:rsidRPr="004751AC">
        <w:t xml:space="preserve">, D. (2023). </w:t>
      </w:r>
      <w:r w:rsidRPr="004751AC">
        <w:rPr>
          <w:lang w:val="en-US"/>
        </w:rPr>
        <w:t xml:space="preserve">Do users write more insecure code with AI assistants? </w:t>
      </w:r>
      <w:r w:rsidRPr="004751AC">
        <w:rPr>
          <w:i/>
          <w:iCs/>
          <w:lang w:val="en-US"/>
        </w:rPr>
        <w:t>Proceedings of the 2023 ACM SIGSAC Conference on Computer and Communications Security (CCS '23)</w:t>
      </w:r>
      <w:r w:rsidRPr="004751AC">
        <w:rPr>
          <w:lang w:val="en-US"/>
        </w:rPr>
        <w:t xml:space="preserve">, 2785–2799. </w:t>
      </w:r>
      <w:hyperlink r:id="rId14" w:history="1">
        <w:r w:rsidRPr="004751AC">
          <w:rPr>
            <w:rStyle w:val="Lienhypertexte"/>
          </w:rPr>
          <w:t>https://doi.org/10.1145/3576915.3623157</w:t>
        </w:r>
      </w:hyperlink>
      <w:r w:rsidRPr="004751AC">
        <w:t xml:space="preserve"> (version gratuite : </w:t>
      </w:r>
      <w:hyperlink r:id="rId15" w:history="1">
        <w:r w:rsidRPr="004751AC">
          <w:rPr>
            <w:rStyle w:val="Lienhypertexte"/>
          </w:rPr>
          <w:t>https://arxiv.org/abs/2211.03622</w:t>
        </w:r>
      </w:hyperlink>
      <w:r w:rsidRPr="004751AC">
        <w:t>)</w:t>
      </w:r>
    </w:p>
    <w:p w14:paraId="271C1F18" w14:textId="77777777" w:rsidR="004751AC" w:rsidRPr="004751AC" w:rsidRDefault="004751AC" w:rsidP="004751AC">
      <w:pPr>
        <w:numPr>
          <w:ilvl w:val="0"/>
          <w:numId w:val="3"/>
        </w:numPr>
      </w:pPr>
      <w:r w:rsidRPr="004751AC">
        <w:rPr>
          <w:lang w:val="en-US"/>
        </w:rPr>
        <w:t xml:space="preserve">Spracklen, J., </w:t>
      </w:r>
      <w:proofErr w:type="spellStart"/>
      <w:r w:rsidRPr="004751AC">
        <w:rPr>
          <w:lang w:val="en-US"/>
        </w:rPr>
        <w:t>Wijewickrama</w:t>
      </w:r>
      <w:proofErr w:type="spellEnd"/>
      <w:r w:rsidRPr="004751AC">
        <w:rPr>
          <w:lang w:val="en-US"/>
        </w:rPr>
        <w:t xml:space="preserve">, R., Sakib, A. H. M. N., Maiti, A., Viswanath, B. et </w:t>
      </w:r>
      <w:proofErr w:type="spellStart"/>
      <w:r w:rsidRPr="004751AC">
        <w:rPr>
          <w:lang w:val="en-US"/>
        </w:rPr>
        <w:t>Jadliwala</w:t>
      </w:r>
      <w:proofErr w:type="spellEnd"/>
      <w:r w:rsidRPr="004751AC">
        <w:rPr>
          <w:lang w:val="en-US"/>
        </w:rPr>
        <w:t xml:space="preserve">, M. (2025). We have a package for you! A comprehensive analysis of package hallucinations by code generating LLMs. </w:t>
      </w:r>
      <w:r w:rsidRPr="004751AC">
        <w:rPr>
          <w:i/>
          <w:iCs/>
          <w:lang w:val="en-US"/>
        </w:rPr>
        <w:t>34th USENIX Security Symposium (USENIX Security 25)</w:t>
      </w:r>
      <w:r w:rsidRPr="004751AC">
        <w:rPr>
          <w:lang w:val="en-US"/>
        </w:rPr>
        <w:t xml:space="preserve">, 3687–3706. </w:t>
      </w:r>
      <w:hyperlink r:id="rId16" w:history="1">
        <w:r w:rsidRPr="004751AC">
          <w:rPr>
            <w:rStyle w:val="Lienhypertexte"/>
          </w:rPr>
          <w:t>https://www.usenix.org/conference/usenixsecurity25/presentation/spracklen</w:t>
        </w:r>
      </w:hyperlink>
    </w:p>
    <w:p w14:paraId="7CE19F9A" w14:textId="6D28C1A6" w:rsidR="004751AC" w:rsidRPr="004751AC" w:rsidRDefault="004751AC" w:rsidP="004751AC">
      <w:pPr>
        <w:numPr>
          <w:ilvl w:val="0"/>
          <w:numId w:val="3"/>
        </w:numPr>
      </w:pPr>
      <w:r w:rsidRPr="004751AC">
        <w:t xml:space="preserve">Riou, B. (2026). </w:t>
      </w:r>
      <w:r w:rsidRPr="004751AC">
        <w:rPr>
          <w:i/>
          <w:iCs/>
        </w:rPr>
        <w:t xml:space="preserve">Analyse et conception d'un outil décisionnel </w:t>
      </w:r>
      <w:r w:rsidR="00786F55">
        <w:rPr>
          <w:i/>
          <w:iCs/>
        </w:rPr>
        <w:t>-</w:t>
      </w:r>
      <w:r w:rsidRPr="004751AC">
        <w:rPr>
          <w:i/>
          <w:iCs/>
        </w:rPr>
        <w:t xml:space="preserve"> Projet MES4.0, Partie I</w:t>
      </w:r>
      <w:r w:rsidRPr="004751AC">
        <w:t xml:space="preserve"> [support de cours]. Stat &amp; More, BUT Science des Données, parcours VCOD, 3</w:t>
      </w:r>
      <w:r w:rsidRPr="004751AC">
        <w:rPr>
          <w:rFonts w:ascii="Arial" w:hAnsi="Arial" w:cs="Arial"/>
        </w:rPr>
        <w:t>ᵉ</w:t>
      </w:r>
      <w:r w:rsidRPr="004751AC">
        <w:t xml:space="preserve"> année, IUT Lumière – Université Lyon 2.</w:t>
      </w:r>
    </w:p>
    <w:p w14:paraId="10307B44" w14:textId="06664104" w:rsidR="004751AC" w:rsidRPr="004751AC" w:rsidRDefault="00596716" w:rsidP="004751AC">
      <w:r w:rsidRPr="00596716">
        <w:t>Depuis quelques années, l’IA a pris une place énorme dans notre vie, et ça ne fait que commencer. Nous sommes les dernières générations à avoir connu la vie avant son expansion : l’IA est présente partout, dans les études, dans le travail</w:t>
      </w:r>
      <w:r w:rsidR="00786F55">
        <w:t xml:space="preserve"> et même dans notre quotidien. </w:t>
      </w:r>
      <w:r w:rsidR="004D45C0">
        <w:t>Et c’est presque magique</w:t>
      </w:r>
      <w:r w:rsidRPr="00596716">
        <w:t xml:space="preserve"> : on a l’impression qu’elle résout tous nos problèmes. Mais derrière une IA, il y a beaucoup de mathématiques et surtout beaucoup de probabilités : l’IA essaie simplement de deviner le mot suivant le plus probable et ré</w:t>
      </w:r>
      <w:r w:rsidR="004D45C0">
        <w:t xml:space="preserve">pond ainsi. </w:t>
      </w:r>
      <w:r w:rsidRPr="00596716">
        <w:t xml:space="preserve">Pourtant, ce modèle, qui paraît presque </w:t>
      </w:r>
      <w:r w:rsidR="00523B6C">
        <w:t>magique</w:t>
      </w:r>
      <w:r w:rsidRPr="00596716">
        <w:t>, peut commettre beaucoup d’erreurs,</w:t>
      </w:r>
      <w:r w:rsidR="004D45C0">
        <w:t> par exemple :</w:t>
      </w:r>
    </w:p>
    <w:p w14:paraId="2EF593EE" w14:textId="6B98E0DF" w:rsidR="004751AC" w:rsidRPr="004751AC" w:rsidRDefault="004751AC" w:rsidP="004751AC">
      <w:pPr>
        <w:rPr>
          <w:lang w:val="en-US"/>
        </w:rPr>
      </w:pPr>
      <w:r w:rsidRPr="004751AC">
        <w:t xml:space="preserve">Le premier risque est celui des hallucinations, c'est-à-dire la production d'éléments qui n'existent pas : fonctions, références bibliographiques ou bibliothèques logicielles. Spracklen et al. </w:t>
      </w:r>
      <w:r w:rsidR="00523B6C" w:rsidRPr="004751AC">
        <w:t>Étudient</w:t>
      </w:r>
      <w:r w:rsidRPr="004751AC">
        <w:t xml:space="preserve"> un cas particulier, les paquets hallucinés, qui apparaissent lorsqu'un LLM génère du code recommandant ou utilisant un paquet qui n'existe pas. À partir de 16 LLM populaires et de 576 000 échantillons de code, ils mesurent des taux allant de 5,2 % pour les modèles commerciaux à 21,7 % pour les modèles open source. Ce problème dépasse la simple erreur : un attaquant peut enregistrer à l'avance sur les dépôts publics un paquet portant le nom halluciné et y placer du code malveillant, que le développeur installera en copiant la commande proposée par le modèle. Une hallucination devient ainsi une faille de sécurité. </w:t>
      </w:r>
    </w:p>
    <w:p w14:paraId="1E38DC18" w14:textId="5814CD5B" w:rsidR="004751AC" w:rsidRPr="004751AC" w:rsidRDefault="004751AC" w:rsidP="004751AC">
      <w:r w:rsidRPr="004751AC">
        <w:lastRenderedPageBreak/>
        <w:t xml:space="preserve">Le deuxième risque concerne la sécurité du code et le comportement des utilisateurs. Perry et al. </w:t>
      </w:r>
      <w:proofErr w:type="gramStart"/>
      <w:r w:rsidRPr="004751AC">
        <w:t>ont</w:t>
      </w:r>
      <w:proofErr w:type="gramEnd"/>
      <w:r w:rsidRPr="004751AC">
        <w:t xml:space="preserve"> mené une étude auprès de développeurs et constatent que ceux qui disposaient d'un assistant IA ont produit des solutions non sécurisées plus souvent que les autres pour quatre des cinq tâches proposées. Le résultat le plus préoccupant est que ces mêmes participants étaient aussi plus enclins à croire que leur code était sécurisé, ce qui révèle un excès de confiance. Le danger ne vient donc pas seulement des erreurs du modèle, mais aussi du fait que l'utilisateur les vérifie moins.</w:t>
      </w:r>
      <w:r w:rsidR="00786F55" w:rsidRPr="004751AC">
        <w:t xml:space="preserve"> </w:t>
      </w:r>
    </w:p>
    <w:p w14:paraId="066034E7" w14:textId="6771F895" w:rsidR="004751AC" w:rsidRPr="004751AC" w:rsidRDefault="004D45C0" w:rsidP="004751AC">
      <w:r>
        <w:t xml:space="preserve">Le document fourni </w:t>
      </w:r>
      <w:r w:rsidR="00596716" w:rsidRPr="00596716">
        <w:t>comme</w:t>
      </w:r>
      <w:r>
        <w:t xml:space="preserve"> guide pour cette SAE</w:t>
      </w:r>
      <w:r w:rsidR="004751AC" w:rsidRPr="004751AC">
        <w:t xml:space="preserve"> complète ces risques en identifiant huit points de vigilance pour un projet de développement : les hallucinations, les formules plausibles mais fausses, une sécurité faible par défaut, une documentation décrivant des fonctions absentes du code, un code incohérent, des dépendances inexistantes ou inutiles, une rédaction générique et la perte de maîtrise du code produit. Ce dernier point est particulièrement important dans un cadre de formation : un code généré mais non compris ne peut être ni maintenu, ni corrigé, ni expliqué.</w:t>
      </w:r>
    </w:p>
    <w:p w14:paraId="6E48FDF9" w14:textId="65F97C42" w:rsidR="00E734E1" w:rsidRDefault="004751AC">
      <w:r w:rsidRPr="004751AC">
        <w:t xml:space="preserve">Ces risques n'impliquent pas pour autant de renoncer aux LLM, mais d'encadrer leur usage. </w:t>
      </w:r>
      <w:r w:rsidR="00596716" w:rsidRPr="00596716">
        <w:t>Nous devons tous garder un esprit critique face à chaque réponse d’une IA, et nous en servir comme d’un outil qui nous fait gagner du temps, et non comme d’un outil qui prend trop de place dans notre travail (surtout professionnel).</w:t>
      </w:r>
      <w:r w:rsidR="00596716">
        <w:t xml:space="preserve"> </w:t>
      </w:r>
      <w:r w:rsidRPr="004751AC">
        <w:t xml:space="preserve"> </w:t>
      </w:r>
    </w:p>
    <w:sectPr w:rsidR="00E734E1" w:rsidSect="00F14FDF">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93EF" w14:textId="77777777" w:rsidR="00696F18" w:rsidRDefault="00696F18" w:rsidP="00347E1D">
      <w:pPr>
        <w:spacing w:after="0" w:line="240" w:lineRule="auto"/>
      </w:pPr>
      <w:r>
        <w:separator/>
      </w:r>
    </w:p>
  </w:endnote>
  <w:endnote w:type="continuationSeparator" w:id="0">
    <w:p w14:paraId="048647A3" w14:textId="77777777" w:rsidR="00696F18" w:rsidRDefault="00696F18" w:rsidP="00347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4C25" w14:textId="77777777" w:rsidR="00347E1D" w:rsidRDefault="00347E1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943E" w14:textId="77777777" w:rsidR="00347E1D" w:rsidRDefault="00347E1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9C7F" w14:textId="77777777" w:rsidR="00347E1D" w:rsidRDefault="00347E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8F10E" w14:textId="77777777" w:rsidR="00696F18" w:rsidRDefault="00696F18" w:rsidP="00347E1D">
      <w:pPr>
        <w:spacing w:after="0" w:line="240" w:lineRule="auto"/>
      </w:pPr>
      <w:r>
        <w:separator/>
      </w:r>
    </w:p>
  </w:footnote>
  <w:footnote w:type="continuationSeparator" w:id="0">
    <w:p w14:paraId="6B882E2A" w14:textId="77777777" w:rsidR="00696F18" w:rsidRDefault="00696F18" w:rsidP="00347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3DF6" w14:textId="77777777" w:rsidR="00347E1D" w:rsidRDefault="00347E1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05E3" w14:textId="77777777" w:rsidR="00347E1D" w:rsidRDefault="00347E1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1705" w14:textId="77777777" w:rsidR="00347E1D" w:rsidRDefault="00347E1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A5CB5"/>
    <w:multiLevelType w:val="multilevel"/>
    <w:tmpl w:val="C4A6CD4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6F7E7F95"/>
    <w:multiLevelType w:val="multilevel"/>
    <w:tmpl w:val="9C06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E877E5"/>
    <w:multiLevelType w:val="multilevel"/>
    <w:tmpl w:val="B934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507510">
    <w:abstractNumId w:val="0"/>
  </w:num>
  <w:num w:numId="2" w16cid:durableId="587037631">
    <w:abstractNumId w:val="2"/>
  </w:num>
  <w:num w:numId="3" w16cid:durableId="25586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FDF"/>
    <w:rsid w:val="002D4C09"/>
    <w:rsid w:val="00347E1D"/>
    <w:rsid w:val="004751AC"/>
    <w:rsid w:val="004D1B34"/>
    <w:rsid w:val="004D45C0"/>
    <w:rsid w:val="00523B6C"/>
    <w:rsid w:val="00596716"/>
    <w:rsid w:val="005974B9"/>
    <w:rsid w:val="005A7EAA"/>
    <w:rsid w:val="00696F18"/>
    <w:rsid w:val="00786F55"/>
    <w:rsid w:val="007C5BC7"/>
    <w:rsid w:val="00A13B9A"/>
    <w:rsid w:val="00E26776"/>
    <w:rsid w:val="00E734E1"/>
    <w:rsid w:val="00F14F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46C0"/>
  <w15:chartTrackingRefBased/>
  <w15:docId w15:val="{087EE13A-4126-4148-962B-41F1A252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FDF"/>
    <w:pPr>
      <w:suppressAutoHyphens/>
      <w:autoSpaceDN w:val="0"/>
      <w:spacing w:line="254" w:lineRule="auto"/>
    </w:pPr>
    <w:rPr>
      <w:rFonts w:ascii="Aptos" w:eastAsia="Aptos" w:hAnsi="Aptos" w:cs="Times New Roman"/>
      <w:kern w:val="3"/>
      <w14:ligatures w14:val="none"/>
    </w:rPr>
  </w:style>
  <w:style w:type="paragraph" w:styleId="Titre1">
    <w:name w:val="heading 1"/>
    <w:basedOn w:val="Normal"/>
    <w:next w:val="Normal"/>
    <w:link w:val="Titre1Car"/>
    <w:uiPriority w:val="9"/>
    <w:qFormat/>
    <w:rsid w:val="00F14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14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4FD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4FD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4FD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4F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4F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4F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4F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4FD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14F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4FD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4FD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4FD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4F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4F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4F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4FDF"/>
    <w:rPr>
      <w:rFonts w:eastAsiaTheme="majorEastAsia" w:cstheme="majorBidi"/>
      <w:color w:val="272727" w:themeColor="text1" w:themeTint="D8"/>
    </w:rPr>
  </w:style>
  <w:style w:type="paragraph" w:styleId="Titre">
    <w:name w:val="Title"/>
    <w:basedOn w:val="Normal"/>
    <w:next w:val="Normal"/>
    <w:link w:val="TitreCar"/>
    <w:uiPriority w:val="10"/>
    <w:qFormat/>
    <w:rsid w:val="00F14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4F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4F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4F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4FDF"/>
    <w:pPr>
      <w:spacing w:before="160"/>
      <w:jc w:val="center"/>
    </w:pPr>
    <w:rPr>
      <w:i/>
      <w:iCs/>
      <w:color w:val="404040" w:themeColor="text1" w:themeTint="BF"/>
    </w:rPr>
  </w:style>
  <w:style w:type="character" w:customStyle="1" w:styleId="CitationCar">
    <w:name w:val="Citation Car"/>
    <w:basedOn w:val="Policepardfaut"/>
    <w:link w:val="Citation"/>
    <w:uiPriority w:val="29"/>
    <w:rsid w:val="00F14FDF"/>
    <w:rPr>
      <w:i/>
      <w:iCs/>
      <w:color w:val="404040" w:themeColor="text1" w:themeTint="BF"/>
    </w:rPr>
  </w:style>
  <w:style w:type="paragraph" w:styleId="Paragraphedeliste">
    <w:name w:val="List Paragraph"/>
    <w:basedOn w:val="Normal"/>
    <w:qFormat/>
    <w:rsid w:val="00F14FDF"/>
    <w:pPr>
      <w:ind w:left="720"/>
      <w:contextualSpacing/>
    </w:pPr>
  </w:style>
  <w:style w:type="character" w:styleId="Accentuationintense">
    <w:name w:val="Intense Emphasis"/>
    <w:basedOn w:val="Policepardfaut"/>
    <w:uiPriority w:val="21"/>
    <w:qFormat/>
    <w:rsid w:val="00F14FDF"/>
    <w:rPr>
      <w:i/>
      <w:iCs/>
      <w:color w:val="0F4761" w:themeColor="accent1" w:themeShade="BF"/>
    </w:rPr>
  </w:style>
  <w:style w:type="paragraph" w:styleId="Citationintense">
    <w:name w:val="Intense Quote"/>
    <w:basedOn w:val="Normal"/>
    <w:next w:val="Normal"/>
    <w:link w:val="CitationintenseCar"/>
    <w:uiPriority w:val="30"/>
    <w:qFormat/>
    <w:rsid w:val="00F14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4FDF"/>
    <w:rPr>
      <w:i/>
      <w:iCs/>
      <w:color w:val="0F4761" w:themeColor="accent1" w:themeShade="BF"/>
    </w:rPr>
  </w:style>
  <w:style w:type="character" w:styleId="Rfrenceintense">
    <w:name w:val="Intense Reference"/>
    <w:basedOn w:val="Policepardfaut"/>
    <w:uiPriority w:val="32"/>
    <w:qFormat/>
    <w:rsid w:val="00F14FDF"/>
    <w:rPr>
      <w:b/>
      <w:bCs/>
      <w:smallCaps/>
      <w:color w:val="0F4761" w:themeColor="accent1" w:themeShade="BF"/>
      <w:spacing w:val="5"/>
    </w:rPr>
  </w:style>
  <w:style w:type="character" w:styleId="Lienhypertexte">
    <w:name w:val="Hyperlink"/>
    <w:basedOn w:val="Policepardfaut"/>
    <w:rsid w:val="00F14FDF"/>
    <w:rPr>
      <w:color w:val="467886"/>
      <w:u w:val="single"/>
    </w:rPr>
  </w:style>
  <w:style w:type="character" w:styleId="Mentionnonrsolue">
    <w:name w:val="Unresolved Mention"/>
    <w:basedOn w:val="Policepardfaut"/>
    <w:uiPriority w:val="99"/>
    <w:semiHidden/>
    <w:unhideWhenUsed/>
    <w:rsid w:val="004D1B34"/>
    <w:rPr>
      <w:color w:val="605E5C"/>
      <w:shd w:val="clear" w:color="auto" w:fill="E1DFDD"/>
    </w:rPr>
  </w:style>
  <w:style w:type="paragraph" w:styleId="En-tte">
    <w:name w:val="header"/>
    <w:basedOn w:val="Normal"/>
    <w:link w:val="En-tteCar"/>
    <w:uiPriority w:val="99"/>
    <w:unhideWhenUsed/>
    <w:rsid w:val="00347E1D"/>
    <w:pPr>
      <w:tabs>
        <w:tab w:val="center" w:pos="4536"/>
        <w:tab w:val="right" w:pos="9072"/>
      </w:tabs>
      <w:spacing w:after="0" w:line="240" w:lineRule="auto"/>
    </w:pPr>
  </w:style>
  <w:style w:type="character" w:customStyle="1" w:styleId="En-tteCar">
    <w:name w:val="En-tête Car"/>
    <w:basedOn w:val="Policepardfaut"/>
    <w:link w:val="En-tte"/>
    <w:uiPriority w:val="99"/>
    <w:rsid w:val="00347E1D"/>
    <w:rPr>
      <w:rFonts w:ascii="Aptos" w:eastAsia="Aptos" w:hAnsi="Aptos" w:cs="Times New Roman"/>
      <w:kern w:val="3"/>
      <w14:ligatures w14:val="none"/>
    </w:rPr>
  </w:style>
  <w:style w:type="paragraph" w:styleId="Pieddepage">
    <w:name w:val="footer"/>
    <w:basedOn w:val="Normal"/>
    <w:link w:val="PieddepageCar"/>
    <w:uiPriority w:val="99"/>
    <w:unhideWhenUsed/>
    <w:rsid w:val="00347E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47E1D"/>
    <w:rPr>
      <w:rFonts w:ascii="Aptos" w:eastAsia="Aptos" w:hAnsi="Aptos" w:cs="Times New Roman"/>
      <w:kern w:val="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207543.2015.1136082" TargetMode="External"/><Relationship Id="rId13" Type="http://schemas.openxmlformats.org/officeDocument/2006/relationships/hyperlink" Target="https://publications.uni.lu/handle/10993/31353"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iso.org/fr/standard/54497.html" TargetMode="External"/><Relationship Id="rId12" Type="http://schemas.openxmlformats.org/officeDocument/2006/relationships/hyperlink" Target="https://doi.org/10.1145/3084100.3084104"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usenix.org/conference/usenixsecurity25/presentation/spracklen"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rumguides.or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2211.03622" TargetMode="External"/><Relationship Id="rId23" Type="http://schemas.openxmlformats.org/officeDocument/2006/relationships/fontTable" Target="fontTable.xml"/><Relationship Id="rId10" Type="http://schemas.openxmlformats.org/officeDocument/2006/relationships/hyperlink" Target="https://agilemanifesto.org/iso/fr/manifesto.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sapps.nist.gov/publication/get_pdf.cfm?pub_id=919754" TargetMode="External"/><Relationship Id="rId14" Type="http://schemas.openxmlformats.org/officeDocument/2006/relationships/hyperlink" Target="https://doi.org/10.1145/3576915.3623157" TargetMode="External"/><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0B3FB0-B95E-4DB3-B06F-90CF9ACDE9F4}">
  <we:reference id="WA200010453" version="1.0.0.1" store="Omex" storeType="OMEX"/>
  <we:alternateReferences>
    <we:reference id="WA200010453" version="1.0.0.1" store="WA200010453" storeType="OMEX"/>
  </we:alternateReferences>
  <we:properties>
    <we:property name="claude.fileId" value="&quot;d989e1c8-79a5-41c5-b7f4-323e75b7a8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448</TotalTime>
  <Pages>4</Pages>
  <Words>1919</Words>
  <Characters>10464</Characters>
  <Application>Microsoft Office Word</Application>
  <DocSecurity>0</DocSecurity>
  <Lines>156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Lamouchi Wissem</dc:creator>
  <cp:keywords/>
  <dc:description/>
  <cp:lastModifiedBy>Lamouchi Wissem</cp:lastModifiedBy>
  <cp:revision>3</cp:revision>
  <dcterms:created xsi:type="dcterms:W3CDTF">2026-10-10T11:51:00Z</dcterms:created>
  <dcterms:modified xsi:type="dcterms:W3CDTF">2026-10-10T19:19:00Z</dcterms:modified>
</cp:coreProperties>
</file>