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Eu,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${user_name}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, na função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${user_role},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portador do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CPF: ${user_document},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doravante designado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Usuário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, abaixo identificado e qualificado, declaro estar recebendo para o uso especificado neste termo e sem transferência de propriedade, nesta data, da empresa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Midia Simples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, doravante designada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Empresa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, um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Notebook,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da marca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${product_brand},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modelo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${product_model}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,  nº de série </w:t>
      </w:r>
      <w:r w:rsidDel="00000000" w:rsidR="00000000" w:rsidRPr="00000000">
        <w:rPr>
          <w:b w:val="1"/>
          <w:i w:val="0"/>
          <w:sz w:val="24"/>
          <w:szCs w:val="24"/>
          <w:u w:val="none"/>
          <w:rtl w:val="0"/>
        </w:rPr>
        <w:t xml:space="preserve">${product_serial_number} </w:t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contendo a seguinte configuração padrão de 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0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7.0" w:type="dxa"/>
        <w:jc w:val="left"/>
        <w:tblInd w:w="113.0" w:type="dxa"/>
        <w:tblLayout w:type="fixed"/>
        <w:tblLook w:val="0000"/>
      </w:tblPr>
      <w:tblGrid>
        <w:gridCol w:w="2438"/>
        <w:gridCol w:w="6631"/>
        <w:gridCol w:w="708"/>
        <w:tblGridChange w:id="0">
          <w:tblGrid>
            <w:gridCol w:w="2438"/>
            <w:gridCol w:w="6631"/>
            <w:gridCol w:w="708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3855" w:right="408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PROCESSADOR: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${product_processor}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-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Mhz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MEMÓRIA: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${product_memory}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Gb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 RÍGIDO: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${product_disk}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Gb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${accessories_table}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0" w:right="91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equipamento será destinado para a execução de minhas atribuições profissionais, mediante as condições abaixo, que são, desde já, por mim integralmente aceitas: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0" w:line="240" w:lineRule="auto"/>
        <w:ind w:left="474" w:right="0" w:hanging="36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instrumento vigorará imediatamente a partir da assinatura.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0" w:line="276" w:lineRule="auto"/>
        <w:ind w:left="474" w:right="117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se declara ciente da Política de Concessão de Equipamentos e também dos critérios de Flex Office da Empresa.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Desta forma, os colaboradores usuários de notebook que não sejam elegíveis ao regime de trabalho em Flex Office não deverão se ausentar da companhia portando o notebook, salvo se para exercício de alguma atividade externa (reunião, por exemplo).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0" w:line="276" w:lineRule="auto"/>
        <w:ind w:left="474" w:right="114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equipamento é um bem que compõe a base de ativos imobilizados da Empresa, sendo assim, é de responsabilidade do Usuário zelar pelo bom uso do mesmo, evitando assim quebra, danos por mau uso,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colagem de adesivo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s, exposição ao sol e outros procedimentos que inibam o bom funcionamento do mesmo.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1" w:line="276" w:lineRule="auto"/>
        <w:ind w:left="474" w:right="119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manutenção do equipamento deverá seguir conforme descrito na Política de Concessão de Notebook, vedado qualquer intervenção técnica não autorizada.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0" w:line="276" w:lineRule="auto"/>
        <w:ind w:left="474" w:right="116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expressamente proibida a abertura do equipamento pelo Usuário ou por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terceiros não autorizados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apenas as equipes de suporte do Service Desk estão autorizadas a realizar a manutenção, upgrade ou alterações de hardware do equipamento. Em caso de dúvida ou problema, deve-se abrir um chamado. Sendo identificado alguma irregularidade no equipamento, o Usuário e superior imediato serão notificados e será aberto um incidente de Segurança Patrimonial e o Human Resources – HR Management será acionado.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199" w:line="276" w:lineRule="auto"/>
        <w:ind w:left="474" w:right="119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se obriga a observar e cumprir, as normas, políticas e procedimentos da TIM relativos à Segurança da Informação, bem como se compromete a respeitar a propriedade intelectual referente ao equipamento que está sendo recebido.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1" w:line="276" w:lineRule="auto"/>
        <w:ind w:left="474" w:right="118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em posse deste equipamento não poderá efetuar (ou permitir) instalações de hardware que alterem a características original da entrega. Ficando o usuário responsável por toda e qualquer instalação ilegal de hardware, acima descrito, enquanto o mesmo estiver em seu poder, isentando a Empresa de qualquer responsabilidade e/ou despesas associadas.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1" w:line="276" w:lineRule="auto"/>
        <w:ind w:left="474" w:right="119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em posse deste equipamento não poderá efetuar (ou permitir) instalações de softwares e hardware não homologados pela área de IT (Informática) da Empresa, bem como softwares que não possuam respectiva licença do fabricante, ficando o Usuário responsável por toda e qualquer instalação ilegal de programas/softwares e/ou hardware no equipamento acima descrito, enquanto o mesmo estiver em seu poder isentando a Empresa de qualquer responsabilidade e/ou despesas associadas.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1" w:line="276" w:lineRule="auto"/>
        <w:ind w:left="474" w:right="119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se declara ciente de que os arquivos trocados via internet por intermédio deste equipamento, bem como a instalação de quaisquer softwares poderão ser monitorados pela empresa, no decorrer da relação contratual, eis que o equipamento está sendo concedido como ferramenta de trabalho.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1" w:line="276" w:lineRule="auto"/>
        <w:ind w:left="474" w:right="120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equipamento fica à disposição do Usuário, sendo terminantemente proibido emprestá-lo ou repassá-lo, a qualquer título, para outras pessoas;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0" w:line="276" w:lineRule="auto"/>
        <w:ind w:left="474" w:right="125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deverá devolver o equipamento e respectivos acessórios à Empresa, a qualquer tempo, mediante simples solicitação, no prazo máximo de 24 (vinte e quatro) horas, contados após o recebimento do comunicado realizado pela área solicitante;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199" w:line="276" w:lineRule="auto"/>
        <w:ind w:left="474" w:right="121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este equipamento é um bem que compõe a base de ativos imobilizados da Empresa, no caso de desligamento, o Usuário deve devolver o equipamento e respectivos acessórios à Empresa no dia em que for comunicada a dispensa e/ou demissão.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1" w:line="276" w:lineRule="auto"/>
        <w:ind w:left="474" w:right="119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da devolução do equipamento acima descrito à Empresa, incluindo seus acessórios, este deverá estar em perfeitas condições de uso, ressalvado o desgaste natural;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0" w:line="276" w:lineRule="auto"/>
        <w:ind w:left="474" w:right="118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utilização deste equipamento é oferecida por liberalidade da Empresa e está reserva-se o direito de suspendê-lo a qualquer momento, sem justificativa;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0" w:line="276" w:lineRule="auto"/>
        <w:ind w:left="474" w:right="123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suporte ergonômico, teclado e mouse externos se fazem necessários no posto de trabalho considerando-se os aspectos ergonômicos, tais como: altura do monitor e posicionamento dos membros superiores.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202" w:line="276" w:lineRule="auto"/>
        <w:ind w:left="474" w:right="117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Empresa não será responsável pelos gastos e custos relativos ao extravio ou quebra do equipamento, quando caracterizado mau uso do mesmo. A reposição/conserto deve ser paga pelo Usuário, a menos que de outra forma seja aprovado pelo superior imediato e Human Resources – HR Management.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198" w:line="276" w:lineRule="auto"/>
        <w:ind w:left="474" w:right="119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reposição do equipamento por perda, o valor de pagamento do equipamento deverá ter sua depreciação calculada pela função CFO - CSA – Contabilidade Geral, exceto em casos de roubo ou furto. No caso de mau uso, detectado em laudo técnico, a reposição da peça (display e teclado), o valor de pagamento será o que consta na nota fiscal de aquisição. A possibilidade, bem como a quantidade de parcelamentos, será negociada junto a HR Management.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198" w:line="276" w:lineRule="auto"/>
        <w:ind w:left="474" w:right="119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não ocorra a devolução do equipamento à Empresa, no prazo e local determinados, a mesma poderá adotar imediatamente as medidas cabíveis para reaver sua posse, reconhecendo e confessando desde já o Usuário que a não devolução do equipamento implicará na obrigação de pagamento  do  valor  de  venda  do  equipamento  nesta  data, equivalente  a  R$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${product_price} (${product_price_string})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Esse valor a ser descontado deverá ter sua depreciação calculada pela função CFO - CSA – Contabilidade Geral, Controles Ativo Imobilizado e Estoques, conforme definido no POP.017 - Ativo Imobilizado.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199" w:line="276" w:lineRule="auto"/>
        <w:ind w:left="0" w:right="91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por concordar integralmente com o acima estipulado, assino o presente Termo de Responsabilidade e autorização de débito, em duas vias, juntamente com as testemunhas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5"/>
        </w:tabs>
        <w:spacing w:after="0" w:before="199" w:line="276" w:lineRule="auto"/>
        <w:ind w:left="0" w:right="91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5"/>
        </w:tabs>
        <w:spacing w:after="0" w:before="199" w:line="276" w:lineRule="auto"/>
        <w:ind w:left="0" w:right="91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5.0" w:type="dxa"/>
        <w:jc w:val="left"/>
        <w:tblInd w:w="164.0" w:type="dxa"/>
        <w:tblLayout w:type="fixed"/>
        <w:tblLook w:val="0000"/>
      </w:tblPr>
      <w:tblGrid>
        <w:gridCol w:w="4302"/>
        <w:gridCol w:w="4313"/>
        <w:tblGridChange w:id="0">
          <w:tblGrid>
            <w:gridCol w:w="4302"/>
            <w:gridCol w:w="4313"/>
          </w:tblGrid>
        </w:tblGridChange>
      </w:tblGrid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6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${local}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${date}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794" w:right="-1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Anexo 1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-17144</wp:posOffset>
          </wp:positionH>
          <wp:positionV relativeFrom="paragraph">
            <wp:posOffset>-440689</wp:posOffset>
          </wp:positionV>
          <wp:extent cx="1732915" cy="73850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2915" cy="7385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74" w:hanging="361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1462" w:hanging="361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444" w:hanging="361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426" w:hanging="361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408" w:hanging="361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390" w:hanging="361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372" w:hanging="361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7354" w:hanging="36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8336" w:hanging="36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