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2mgyj2ggjcp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Feature Engineering: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 engineering is the process of creating new features from existing data or modifying existing features to enhance the performance of machine learning models.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Aspects of feature engineering: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 Creation: Generating new features from raw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 Transformation: Scaling, encoding, or transforming features to meet model requirements.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 Extraction: Reducing the dimensionality of data while preserving essential information.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fkajsy30i0e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Feature Selection: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Feature selection is the process of choosing a subset of relevant features to improve model performance and reduce overfitting.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Methods of feature selection: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Filter Methods: Statistically measure feature importance (e.g., correlation, chi-squared) independently of the learning algorithm.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Wrapper Methods: Use a predictive model to evaluate feature subsets' performance (e.g., forward selection, backward elimination).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jnnw5w29v1r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Filter vs. Wrapper Approaches: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Filter Methods: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Pros: Fast, less prone to overfitting, suitable for high-dimensional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Cons: Ignores feature dependencies, may not be optimal for complex models.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Wrapper Methods: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Pros: Considers feature interactions, suitable for complex models, can find optimal subsets.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Cons: Computationally expensive, prone to overfitting.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fu2ay5oqx3p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Feature Selection Process: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i. Data Collection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ii. Data Preprocessing (e.g., scaling, encoding)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iii. Feature Selection (filter or wrapper methods)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iv. Model Training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v. Model Evaluation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vi. Iterate if necessary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Feature Extraction Principle: Reduce dimensionality while preserving information. Example: Principal Component Analysis (PCA).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Common Feature Extraction Algorithms: PCA, Linear Discriminant Analysis (LDA), t-Distributed Stochastic Neighbor Embedding (t-SNE).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89tm29zbrtm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Feature Engineering in Text Categorization: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text categorization, feature engineering includes tasks like: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Text preprocessing (e.g., tokenization, stemming).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Feature creation (e.g., TF-IDF vectors, word embeddings).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Handling categorical features (e.g., one-hot encoding of words).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7k4lkorcif2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Cosine Similarity: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Cosine similarity is a metric used to measure the similarity between two non-zero vectors.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Cosine Similarity Calculation: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Dot product of vectors A and B divided by the product of their magnitudes.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Cosine Similarity Example Calculation: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Cosine Similarity = (A · B) / (||A|| * ||B||)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xm6n5jsf6j9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Distance Metrics: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i. Hamming Distance: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Formula: Number of positions at which two strings of equal length differ.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Hamming Distance between "10001011" and "11001111" = 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ii. Jaccard Index and Similarity Matching Coefficient: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Jaccard Index: Intersection size divided by union size.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Similarity Matching Coefficient: Intersection size divided by the smaller set's size.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Calculation: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Intersection = {1, 0, 0, 0, 1, 0, 0, 1}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Jaccard Index = |Intersection| / |Union| = 4 / 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Similarity Matching Coefficient = |Intersection| / |Smaller Set| = 4 / 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x943bb4pouv6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High-Dimensional Data: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High-dimensional datasets have a large number of features compared to samples.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Real-life examples include gene expression data, text data with many words, and image data with many pixels.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Challenges: Increased computation time, overfitting, difficulty visualizing data.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Solutions: Feature selection, dimensionality reduction (e.g., PCA), regularization.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ui89lg2033z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 Notes: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PCA (Principal Component Analysis): Dimensionality reduction technique.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 of Vectors: Vectors represent data points in multidimensional space.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Embedded Technique: Feature selection techniques embedded within the learning algorithm.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r00xmthjf0xf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Comparisons: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i. Sequential Backward Exclusion vs. Sequential Forward Selection: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Backward Exclusion removes features iteratively, starting with all features.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Forward Selection adds features iteratively, starting with none.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ii. Filter vs. Wrapper Methods: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Filter methods evaluate feature importance independently of the learning algorithm.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Wrapper methods use a predictive model to evaluate feature subsets.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iii. SMC vs. Jaccard Coefficient: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SMC (Similarity Matching Coefficient) is based on intersection size and the smaller set's size.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Jaccard Coefficient is based on intersection size and union size.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