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„</w:t>
      </w:r>
      <w:r>
        <w:rPr/>
        <w:t xml:space="preserve">Świadectwa zamieszczone w niniejszym tomie zostały poddane jedynie redakcji technicznej i językowej w zakresie niezbędnym dla zachowania płynności lektury. Zachowano indywidualny styl, słownictwo i sposób wypowiedzi autorów, uznając je za integralną część ich świadectwa.” </w:t>
        <w:br/>
        <w:br/>
        <w:br/>
        <w:br/>
      </w:r>
      <w:r>
        <w:rPr>
          <w:sz w:val="24"/>
          <w:szCs w:val="24"/>
        </w:rPr>
        <w:t>1. Analiza logiki układu i architektury książki</w:t>
      </w:r>
    </w:p>
    <w:p>
      <w:pPr>
        <w:pStyle w:val="BodyText"/>
        <w:ind w:hanging="0" w:start="0" w:end="0"/>
        <w:rPr/>
      </w:pPr>
      <w:r>
        <w:rPr/>
        <w:t>Obecna struktura oparta na 5 rozdziałach (odpowiadających katalogom w repozytorium) tworzy </w:t>
      </w:r>
      <w:r>
        <w:rPr>
          <w:rStyle w:val="Strong"/>
        </w:rPr>
        <w:t>bardzo logiczną, klasyczną konstrukcję monograficzno-pamiątkową</w:t>
      </w:r>
      <w:r>
        <w:rPr/>
        <w:t>:</w:t>
      </w:r>
    </w:p>
    <w:p>
      <w:pPr>
        <w:pStyle w:val="Tekstwstpniesformatowany"/>
        <w:spacing w:before="0" w:after="283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Fonts w:eastAsia="NSimSun" w:cs="Arial" w:ascii="Liberation Serif" w:hAnsi="Liberation Serif"/>
          <w:sz w:val="24"/>
          <w:szCs w:val="24"/>
        </w:rPr>
        <w:t>text</w:t>
      </w:r>
    </w:p>
    <w:p>
      <w:pPr>
        <w:pStyle w:val="Tekstwstpniesformatowany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kstrdowy"/>
          <w:rFonts w:ascii="Liberation Serif" w:hAnsi="Liberation Serif"/>
          <w:sz w:val="24"/>
          <w:szCs w:val="24"/>
        </w:rPr>
        <w:t>[ROZDZIAŁ I: Fundamenty i Powszechność]</w:t>
      </w:r>
    </w:p>
    <w:p>
      <w:pPr>
        <w:pStyle w:val="Tekstwstpniesformatowany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kstrdowy"/>
          <w:rFonts w:ascii="Liberation Serif" w:hAnsi="Liberation Serif"/>
          <w:sz w:val="24"/>
          <w:szCs w:val="24"/>
        </w:rPr>
        <w:t xml:space="preserve"> └── </w:t>
      </w:r>
      <w:r>
        <w:rPr>
          <w:rStyle w:val="Tekstrdowy"/>
          <w:rFonts w:ascii="Liberation Serif" w:hAnsi="Liberation Serif"/>
          <w:sz w:val="24"/>
          <w:szCs w:val="24"/>
        </w:rPr>
        <w:t>Skąd wyrasta ruch? (Historia powszechna, Frank Duff, misjonarze, charyzmat)</w:t>
      </w:r>
    </w:p>
    <w:p>
      <w:pPr>
        <w:pStyle w:val="Tekstwstpniesformatowany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kstrdowy"/>
          <w:rFonts w:ascii="Liberation Serif" w:hAnsi="Liberation Serif"/>
          <w:sz w:val="24"/>
          <w:szCs w:val="24"/>
        </w:rPr>
        <w:t xml:space="preserve">       │</w:t>
      </w:r>
    </w:p>
    <w:p>
      <w:pPr>
        <w:pStyle w:val="Tekstwstpniesformatowany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kstrdowy"/>
          <w:rFonts w:ascii="Liberation Serif" w:hAnsi="Liberation Serif"/>
          <w:sz w:val="24"/>
          <w:szCs w:val="24"/>
        </w:rPr>
        <w:t xml:space="preserve">       ▼</w:t>
      </w:r>
    </w:p>
    <w:p>
      <w:pPr>
        <w:pStyle w:val="Tekstwstpniesformatowany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kstrdowy"/>
          <w:rFonts w:ascii="Liberation Serif" w:hAnsi="Liberation Serif"/>
          <w:sz w:val="24"/>
          <w:szCs w:val="24"/>
        </w:rPr>
        <w:t>[ROZDZIAŁ II: Teologia i Duszpasterstwo]</w:t>
      </w:r>
    </w:p>
    <w:p>
      <w:pPr>
        <w:pStyle w:val="Tekstwstpniesformatowany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kstrdowy"/>
          <w:rFonts w:ascii="Liberation Serif" w:hAnsi="Liberation Serif"/>
          <w:sz w:val="24"/>
          <w:szCs w:val="24"/>
        </w:rPr>
        <w:t xml:space="preserve"> └── </w:t>
      </w:r>
      <w:r>
        <w:rPr>
          <w:rStyle w:val="Tekstrdowy"/>
          <w:rFonts w:ascii="Liberation Serif" w:hAnsi="Liberation Serif"/>
          <w:sz w:val="24"/>
          <w:szCs w:val="24"/>
        </w:rPr>
        <w:t>Jak Kościół i kapłani patrzą na Legion? (Papieże Pius XI i Jan Paweł II + 23 księży opiekunów)</w:t>
      </w:r>
    </w:p>
    <w:p>
      <w:pPr>
        <w:pStyle w:val="Tekstwstpniesformatowany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kstrdowy"/>
          <w:rFonts w:ascii="Liberation Serif" w:hAnsi="Liberation Serif"/>
          <w:sz w:val="24"/>
          <w:szCs w:val="24"/>
        </w:rPr>
        <w:t xml:space="preserve">       │</w:t>
      </w:r>
    </w:p>
    <w:p>
      <w:pPr>
        <w:pStyle w:val="Tekstwstpniesformatowany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kstrdowy"/>
          <w:rFonts w:ascii="Liberation Serif" w:hAnsi="Liberation Serif"/>
          <w:sz w:val="24"/>
          <w:szCs w:val="24"/>
        </w:rPr>
        <w:t xml:space="preserve">       ▼</w:t>
      </w:r>
    </w:p>
    <w:p>
      <w:pPr>
        <w:pStyle w:val="Tekstwstpniesformatowany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kstrdowy"/>
          <w:rFonts w:ascii="Liberation Serif" w:hAnsi="Liberation Serif"/>
          <w:sz w:val="24"/>
          <w:szCs w:val="24"/>
        </w:rPr>
        <w:t>[ROZDZIAŁ III: Żywy Kościół (Świeccy)]</w:t>
      </w:r>
    </w:p>
    <w:p>
      <w:pPr>
        <w:pStyle w:val="Tekstwstpniesformatowany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kstrdowy"/>
          <w:rFonts w:ascii="Liberation Serif" w:hAnsi="Liberation Serif"/>
          <w:sz w:val="24"/>
          <w:szCs w:val="24"/>
        </w:rPr>
        <w:t xml:space="preserve"> └── </w:t>
      </w:r>
      <w:r>
        <w:rPr>
          <w:rStyle w:val="Tekstrdowy"/>
          <w:rFonts w:ascii="Liberation Serif" w:hAnsi="Liberation Serif"/>
          <w:sz w:val="24"/>
          <w:szCs w:val="24"/>
        </w:rPr>
        <w:t>Jak Legion zmienia życie? (35 osobistych świadectw legionistów z różnych parafii)</w:t>
      </w:r>
    </w:p>
    <w:p>
      <w:pPr>
        <w:pStyle w:val="Tekstwstpniesformatowany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kstrdowy"/>
          <w:rFonts w:ascii="Liberation Serif" w:hAnsi="Liberation Serif"/>
          <w:sz w:val="24"/>
          <w:szCs w:val="24"/>
        </w:rPr>
        <w:t xml:space="preserve">       │</w:t>
      </w:r>
    </w:p>
    <w:p>
      <w:pPr>
        <w:pStyle w:val="Tekstwstpniesformatowany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kstrdowy"/>
          <w:rFonts w:ascii="Liberation Serif" w:hAnsi="Liberation Serif"/>
          <w:sz w:val="24"/>
          <w:szCs w:val="24"/>
        </w:rPr>
        <w:t xml:space="preserve">       ▼</w:t>
      </w:r>
    </w:p>
    <w:p>
      <w:pPr>
        <w:pStyle w:val="Tekstwstpniesformatowany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kstrdowy"/>
          <w:rFonts w:ascii="Liberation Serif" w:hAnsi="Liberation Serif"/>
          <w:sz w:val="24"/>
          <w:szCs w:val="24"/>
        </w:rPr>
        <w:t>[ROZDZIAŁ IV: Kronika i Struktury Lokalne]</w:t>
      </w:r>
    </w:p>
    <w:p>
      <w:pPr>
        <w:pStyle w:val="Tekstwstpniesformatowany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kstrdowy"/>
          <w:rFonts w:ascii="Liberation Serif" w:hAnsi="Liberation Serif"/>
          <w:sz w:val="24"/>
          <w:szCs w:val="24"/>
        </w:rPr>
        <w:t xml:space="preserve"> └── </w:t>
      </w:r>
      <w:r>
        <w:rPr>
          <w:rStyle w:val="Tekstrdowy"/>
          <w:rFonts w:ascii="Liberation Serif" w:hAnsi="Liberation Serif"/>
          <w:sz w:val="24"/>
          <w:szCs w:val="24"/>
        </w:rPr>
        <w:t>Jak jesteśmy zorganizowani na Zamojszczyźnie? (Historia Komicjum, Kurii i Prezydiów)</w:t>
      </w:r>
    </w:p>
    <w:p>
      <w:pPr>
        <w:pStyle w:val="Tekstwstpniesformatowany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kstrdowy"/>
          <w:rFonts w:ascii="Liberation Serif" w:hAnsi="Liberation Serif"/>
          <w:sz w:val="24"/>
          <w:szCs w:val="24"/>
        </w:rPr>
        <w:t xml:space="preserve">       │</w:t>
      </w:r>
    </w:p>
    <w:p>
      <w:pPr>
        <w:pStyle w:val="Tekstwstpniesformatowany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kstrdowy"/>
          <w:rFonts w:ascii="Liberation Serif" w:hAnsi="Liberation Serif"/>
          <w:sz w:val="24"/>
          <w:szCs w:val="24"/>
        </w:rPr>
        <w:t xml:space="preserve">       ▼</w:t>
      </w:r>
    </w:p>
    <w:p>
      <w:pPr>
        <w:pStyle w:val="Tekstwstpniesformatowany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kstrdowy"/>
          <w:rFonts w:ascii="Liberation Serif" w:hAnsi="Liberation Serif"/>
          <w:sz w:val="24"/>
          <w:szCs w:val="24"/>
        </w:rPr>
        <w:t>[ROZDZIAŁ V: Owoce Kulturowe i Artystyczne]</w:t>
      </w:r>
    </w:p>
    <w:p>
      <w:pPr>
        <w:pStyle w:val="Tekstwstpniesformatowany"/>
        <w:spacing w:before="0" w:after="283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Tekstrdowy"/>
          <w:rFonts w:ascii="Liberation Serif" w:hAnsi="Liberation Serif"/>
          <w:sz w:val="24"/>
          <w:szCs w:val="24"/>
        </w:rPr>
        <w:t xml:space="preserve"> └── </w:t>
      </w:r>
      <w:r>
        <w:rPr>
          <w:rStyle w:val="Tekstrdowy"/>
          <w:rFonts w:ascii="Liberation Serif" w:hAnsi="Liberation Serif"/>
          <w:sz w:val="24"/>
          <w:szCs w:val="24"/>
        </w:rPr>
        <w:t>Jak ewangelizujemy przez kulturę? (Sztuki teatralne Julii Rodzik i poemat jubileuszowy)</w:t>
      </w:r>
    </w:p>
    <w:p>
      <w:pPr>
        <w:pStyle w:val="BodyText"/>
        <w:ind w:hanging="0" w:start="0" w:end="0"/>
        <w:rPr/>
      </w:pPr>
      <w:r>
        <w:rPr>
          <w:rStyle w:val="Strong"/>
        </w:rPr>
        <w:t>Wniosek redaktorski:</w:t>
      </w:r>
      <w:r>
        <w:rPr/>
        <w:t> Ta architektura (od ogółu do szczegółu, od teorii/teologii do praktyki życia i sztuki) jest bardzo trafna i czytelna dla odbiorcy.</w:t>
      </w:r>
    </w:p>
    <w:p>
      <w:pPr>
        <w:pStyle w:val="Liniapozioma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2. Wzajemne zależności i najciekawsze powiązania między rozdziałami</w:t>
      </w:r>
    </w:p>
    <w:p>
      <w:pPr>
        <w:pStyle w:val="BodyText"/>
        <w:ind w:hanging="0" w:start="0" w:end="0"/>
        <w:rPr/>
      </w:pPr>
      <w:r>
        <w:rPr/>
        <w:t>Analiza wykryła niezwykle silne, naturalne pomosty łączące poszczególne rozdziały, które warto wyeksponować w książce (np. w przypisach odsyłających lub we wstępie od Autora):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>
          <w:rStyle w:val="Strong"/>
        </w:rPr>
        <w:t>Postać ks. prałata Zdzisława Ciżmińskiego: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0" w:after="0"/>
        <w:ind w:hanging="283" w:start="1418" w:end="0"/>
        <w:rPr/>
      </w:pPr>
      <w:r>
        <w:rPr/>
        <w:t>Jest absolutnym „zwornikiem” całej publikacji. W </w:t>
      </w:r>
      <w:r>
        <w:rPr>
          <w:rStyle w:val="Strong"/>
        </w:rPr>
        <w:t>Rozdziale I (#7)</w:t>
      </w:r>
      <w:r>
        <w:rPr/>
        <w:t> przedstawiony jest jego oficjalny biogram jako diecezjalnego kierownika duchowego. W </w:t>
      </w:r>
      <w:r>
        <w:rPr>
          <w:rStyle w:val="Strong"/>
        </w:rPr>
        <w:t>Rozdziale II (#3)</w:t>
      </w:r>
      <w:r>
        <w:rPr/>
        <w:t> znajduje się jego niezwykle obszerna, osobista relacja z 20 lat posługi. Z kolei w </w:t>
      </w:r>
      <w:r>
        <w:rPr>
          <w:rStyle w:val="Strong"/>
        </w:rPr>
        <w:t>Rozdziale IV</w:t>
      </w:r>
      <w:r>
        <w:rPr/>
        <w:t> jego nazwisko przewija się ponad 50 razy przy okazjach zakładania kolejnych rad i prezydiów na Zamojszczyźnie.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>
          <w:rStyle w:val="Strong"/>
        </w:rPr>
        <w:t>Postać Claire Connolly (Klary Pater):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spacing w:before="0" w:after="0"/>
        <w:ind w:hanging="283" w:start="1418" w:end="0"/>
        <w:rPr/>
      </w:pPr>
      <w:r>
        <w:rPr/>
        <w:t>W </w:t>
      </w:r>
      <w:r>
        <w:rPr>
          <w:rStyle w:val="Strong"/>
        </w:rPr>
        <w:t>Rozdziale I (#5)</w:t>
      </w:r>
      <w:r>
        <w:rPr/>
        <w:t> poznajemy jej historię przybycia z Irlandii z ramienia Concilium w latach 80. XX w. Jej praca u podstaw znajduje swoje bezpośrednie odzwierciedlenie w kronikach </w:t>
      </w:r>
      <w:r>
        <w:rPr>
          <w:rStyle w:val="Strong"/>
        </w:rPr>
        <w:t>Rozdziału IV</w:t>
      </w:r>
      <w:r>
        <w:rPr/>
        <w:t>, gdzie relacjonowane są prowadzone przez nią pierwsze rekolekcje i spotkania formacyjne w Łabuniach i Zamościu.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>
          <w:rStyle w:val="Strong"/>
        </w:rPr>
        <w:t>Duet Julia Rodzik i sztuka „Z Maryją na ludzkich drogach”: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0" w:leader="none"/>
        </w:tabs>
        <w:ind w:hanging="283" w:start="1418" w:end="0"/>
        <w:rPr/>
      </w:pPr>
      <w:r>
        <w:rPr/>
        <w:t>W </w:t>
      </w:r>
      <w:r>
        <w:rPr>
          <w:rStyle w:val="Strong"/>
        </w:rPr>
        <w:t>Rozdziale III (#30)</w:t>
      </w:r>
      <w:r>
        <w:rPr/>
        <w:t> znajduje się osobiste świadectwo Julii Rodzik zatytułowane </w:t>
      </w:r>
      <w:r>
        <w:rPr>
          <w:rStyle w:val="Emphasis"/>
        </w:rPr>
        <w:t>„Z Maryją na ludzkich drogach – świadectwo”</w:t>
      </w:r>
      <w:r>
        <w:rPr/>
        <w:t>, w którym opisuje ona 30 lat swojej służby. Natomiast w </w:t>
      </w:r>
      <w:r>
        <w:rPr>
          <w:rStyle w:val="Strong"/>
        </w:rPr>
        <w:t>Rozdziale V (#1)</w:t>
      </w:r>
      <w:r>
        <w:rPr/>
        <w:t> umieszczona jest jej sztuka teatralna nosząca dokładnie ten sam tytuł (</w:t>
      </w:r>
      <w:r>
        <w:rPr>
          <w:rStyle w:val="Emphasis"/>
        </w:rPr>
        <w:t>„Z Maryją na ludzkich drogach”</w:t>
      </w:r>
      <w:r>
        <w:rPr/>
        <w:t>). To kapitalna klamra kompozycyjna – czytelnik najpierw czyta świadectwo autorki, a w ostatnim rozdziale widzi artystyczny owoc jej doświadczeń apostolskich.</w:t>
      </w:r>
    </w:p>
    <w:p>
      <w:pPr>
        <w:pStyle w:val="Liniapozioma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3. Chronologia Legionu Maryi na Zamojszczyźnie (Oś czasu)</w:t>
      </w:r>
    </w:p>
    <w:p>
      <w:pPr>
        <w:pStyle w:val="BodyText"/>
        <w:ind w:hanging="0" w:start="0" w:end="0"/>
        <w:rPr/>
      </w:pPr>
      <w:r>
        <w:rPr/>
        <w:t>Z rozproszonych w dziesiątkach plików dat wyłania się spójna chronologia wydarzeń, która stanowi fundament historyczny książki: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>
          <w:rStyle w:val="Strong"/>
        </w:rPr>
        <w:t>1921 r. (7 września):</w:t>
      </w:r>
      <w:r>
        <w:rPr/>
        <w:t> Frank Duff zakłada w Dublinie pierwsze Prezydium Legionu Maryi (Rozdział I).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>
          <w:rStyle w:val="Strong"/>
        </w:rPr>
        <w:t>1948 r.:</w:t>
      </w:r>
      <w:r>
        <w:rPr/>
        <w:t> Anatol Kaszczuk zakłada pierwsze (krótkotrwałe z powodów politycznych) grupy w Polsce (Rozdział I).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>
          <w:rStyle w:val="Strong"/>
        </w:rPr>
        <w:t>Lata 80. XX w.:</w:t>
      </w:r>
      <w:r>
        <w:rPr/>
        <w:t> Przybycie Claire Connolly (Klary Pater) z Irlandii. Za zgodą ówczesnego biskupa lubelskiego Bolesława Pylaka rozpoczyna się zasiew Legionu na Lubelszczyźnie i Zamojszczyźnie.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>
          <w:rStyle w:val="Strong"/>
        </w:rPr>
        <w:t>17 grudnia 1991 r. – KOLEBKA:</w:t>
      </w:r>
      <w:r>
        <w:rPr/>
        <w:t> W ówczesnej kolegiacie zamojskiej (obecnej Katedrze Zamojskiej) powstaje </w:t>
      </w:r>
      <w:r>
        <w:rPr>
          <w:rStyle w:val="Strong"/>
        </w:rPr>
        <w:t>I Prezydium pw. Matki Bożej Nieustającej Pomocy</w:t>
      </w:r>
      <w:r>
        <w:rPr/>
        <w:t> przy wsparciu ks. Zdzisława Ciżmińskiego – historyczny początek ruchu w regionie (Rozdział IV #18, #19, #28).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>
          <w:rStyle w:val="Strong"/>
        </w:rPr>
        <w:t>1992–1994 r.:</w:t>
      </w:r>
      <w:r>
        <w:rPr/>
        <w:t> Błyskawiczne pączkowanie kolejnych prezydiów w Zamościu (pw. MB Licheńskiej, MB Królowej Różańca, MB Fatimskiej).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>
          <w:rStyle w:val="Strong"/>
        </w:rPr>
        <w:t>Listopad 1994 r.:</w:t>
      </w:r>
      <w:r>
        <w:rPr/>
        <w:t> Powstanie pierwszej </w:t>
      </w:r>
      <w:r>
        <w:rPr>
          <w:rStyle w:val="Strong"/>
        </w:rPr>
        <w:t>Kurii LM w Zamościu</w:t>
      </w:r>
      <w:r>
        <w:rPr/>
        <w:t> obejmującej rozrastające się grupy.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Lata 1995–2006:</w:t>
      </w:r>
      <w:r>
        <w:rPr/>
        <w:t> Ekspansja ruchu na całą Diecezję Zamojsko-Lubaczowską (powstanie Kurii w Tomaszowie Lubelskim, Lubaczowie, Hrubieszowie, Biłgoraju – 2006 r.). Przekształcenie Kurii Zamojskiej w jednostkę wyższego rzędu – </w:t>
      </w:r>
      <w:r>
        <w:rPr>
          <w:rStyle w:val="Strong"/>
        </w:rPr>
        <w:t>Komicjum</w:t>
      </w:r>
      <w:r>
        <w:rPr/>
        <w:t>.</w:t>
      </w:r>
    </w:p>
    <w:p>
      <w:pPr>
        <w:pStyle w:val="Liniapozioma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ind w:hanging="0" w:start="0" w:end="0"/>
        <w:rPr>
          <w:sz w:val="24"/>
          <w:szCs w:val="24"/>
        </w:rPr>
      </w:pPr>
      <w:r>
        <w:rPr>
          <w:sz w:val="24"/>
          <w:szCs w:val="24"/>
        </w:rPr>
        <w:t>4. Co jeszcze warto zrobić? Możliwe rodzaje dalszej korekty i redakcji</w:t>
      </w:r>
    </w:p>
    <w:p>
      <w:pPr>
        <w:pStyle w:val="BodyText"/>
        <w:ind w:hanging="0" w:start="0" w:end="0"/>
        <w:rPr/>
      </w:pPr>
      <w:r>
        <w:rPr/>
        <w:t>Jeśli chcesz, aby książka osiągnęła najwyższy standard wydawniczy przed przekazaniem do składu graficznego (DTP), rozważ następujące działania redaktorskie:</w:t>
      </w:r>
    </w:p>
    <w:p>
      <w:pPr>
        <w:pStyle w:val="Heading4"/>
        <w:spacing w:before="0" w:after="283"/>
        <w:ind w:hanging="0" w:start="0" w:end="0"/>
        <w:rPr/>
      </w:pPr>
      <w:r>
        <w:rPr/>
        <w:t>A. Reorganizacja układu wewnętrznego Rozdziału IV (Kluczowa rekomendacja!)</w:t>
      </w:r>
    </w:p>
    <w:p>
      <w:pPr>
        <w:pStyle w:val="BodyText"/>
        <w:ind w:hanging="0" w:start="0" w:end="0"/>
        <w:rPr/>
      </w:pPr>
      <w:r>
        <w:rPr/>
        <w:t>Obecnie w Rozdziale IV teksty ułożone są alfabetycznie wg nazw plików z repozytorium, przez co np. artykuły o Katedrze Zamojskiej, Szczebrzeszynie czy Tomaszowie są rozproszone w różnych miejscach (np. Zamość to pozycje #19, #20, #21, #24, #28, #29, przemieszane z Perespą i Zwierzyńcem).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>
          <w:rStyle w:val="Strong"/>
        </w:rPr>
        <w:t>Zalecana zmiana:</w:t>
      </w:r>
      <w:r>
        <w:rPr/>
        <w:t> Ułożenie Rozdziału IV w </w:t>
      </w:r>
      <w:r>
        <w:rPr>
          <w:rStyle w:val="Strong"/>
        </w:rPr>
        <w:t>kluczu hierarchiczno-geograficznym</w:t>
      </w:r>
      <w:r>
        <w:rPr/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start="1418" w:end="0"/>
        <w:rPr/>
      </w:pPr>
      <w:r>
        <w:rPr>
          <w:rStyle w:val="Emphasis"/>
        </w:rPr>
        <w:t>Komicjum Zamość</w:t>
      </w:r>
      <w:r>
        <w:rPr/>
        <w:t> i prezydia zamojskie (jako stolica diecezji i kolebka ruchu).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hanging="283" w:start="1418" w:end="0"/>
        <w:rPr/>
      </w:pPr>
      <w:r>
        <w:rPr>
          <w:rStyle w:val="Emphasis"/>
        </w:rPr>
        <w:t>Kurie rejonowe</w:t>
      </w:r>
      <w:r>
        <w:rPr/>
        <w:t> (Biłgoraj, Tomaszów Lubelski, Hrubieszów, Lubaczów, Jarosław).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start="1418" w:end="0"/>
        <w:rPr/>
      </w:pPr>
      <w:r>
        <w:rPr>
          <w:rStyle w:val="Emphasis"/>
        </w:rPr>
        <w:t>Prezydia parafialne</w:t>
      </w:r>
      <w:r>
        <w:rPr/>
        <w:t> przyporządkowane do odpowiednich Kurii lub ułożone alfabetycznie miejscowościami (Grabowiec, Krasnobród, Oleszyce, Perespa, Szczebrzeszyn, Zwierzyniec, Żdanów itd.).</w:t>
      </w:r>
    </w:p>
    <w:p>
      <w:pPr>
        <w:pStyle w:val="Heading4"/>
        <w:spacing w:before="0" w:after="283"/>
        <w:ind w:hanging="0" w:start="0" w:end="0"/>
        <w:rPr/>
      </w:pPr>
      <w:r>
        <w:rPr/>
        <w:t>B. Korekta redakcyjno-skrótowa (Eliminacja duplikacji historycznych w Rozdziale IV)</w:t>
      </w:r>
    </w:p>
    <w:p>
      <w:pPr>
        <w:pStyle w:val="BodyText"/>
        <w:ind w:hanging="0" w:start="0" w:end="0"/>
        <w:rPr/>
      </w:pPr>
      <w:r>
        <w:rPr/>
        <w:t>Ponieważ kroniki parafialne pisały różne osoby, w kilku artykułach Rozdziału IV powtarzają się niemal słowo w słowo te same akapity o początkach Legionu w 1991 r. przy kolegiacie (np. w plikach #19, #24, #28 i #29).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Możliwe działanie:</w:t>
      </w:r>
      <w:r>
        <w:rPr/>
        <w:t> Redaktor może połączyć rozproszone kroniki zamojskie w jeden spójny, wyczerpujący podrozdział o Zamościu, usuwając kilkukrotne powtórzenia tych samych dat i nazwisk założycieli.</w:t>
      </w:r>
    </w:p>
    <w:p>
      <w:pPr>
        <w:pStyle w:val="Heading4"/>
        <w:spacing w:before="0" w:after="283"/>
        <w:ind w:hanging="0" w:start="0" w:end="0"/>
        <w:rPr/>
      </w:pPr>
      <w:r>
        <w:rPr/>
        <w:t>C. Redakcja nagłówków i indeksacja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>
          <w:rStyle w:val="Strong"/>
        </w:rPr>
        <w:t>Opracowanie Indeksu Nazwisk i Miejscowości:</w:t>
      </w:r>
      <w:r>
        <w:rPr/>
        <w:t> W publikacjach historyczno-pamiątkowych czytelnicy (zwłaszcza księża i legioniści) szukają przede wszystkim swoich parafii i nazwisk. Wygenerowanie indeksu na końcu książki ogromnie podniesie jej wartość.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 w:end="0"/>
        <w:rPr/>
      </w:pPr>
      <w:r>
        <w:rPr>
          <w:rStyle w:val="Strong"/>
        </w:rPr>
        <w:t>Wstęp Autora/Redaktora:</w:t>
      </w:r>
      <w:r>
        <w:rPr/>
        <w:t> Przygotowanie krótkiego wprowadzenia (2-3 strony) podsumowującego historię i cel wydania publikacji.</w:t>
      </w:r>
    </w:p>
    <w:p>
      <w:pPr>
        <w:pStyle w:val="Heading4"/>
        <w:spacing w:before="0" w:after="283"/>
        <w:ind w:hanging="0" w:start="0" w:end="0"/>
        <w:rPr/>
      </w:pPr>
      <w:r>
        <w:rPr/>
        <w:t>D. Korekta techniczna przedeksploatacyjna (po składzie w DTP)</w:t>
      </w:r>
    </w:p>
    <w:p>
      <w:pPr>
        <w:pStyle w:val="BodyText"/>
        <w:ind w:hanging="0" w:start="0" w:end="0"/>
        <w:rPr/>
      </w:pPr>
      <w:r>
        <w:rPr/>
        <w:t>Gdy grafik złoży tekst w programie typu Adobe InDesign, konieczna będzie tzw. </w:t>
      </w:r>
      <w:r>
        <w:rPr>
          <w:rStyle w:val="Strong"/>
        </w:rPr>
        <w:t>korekta szczotkowa</w:t>
      </w:r>
      <w:r>
        <w:rPr/>
        <w:t>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/>
        <w:t>Usunięcie „wiszących spójników” (</w:t>
      </w:r>
      <w:r>
        <w:rPr>
          <w:rStyle w:val="Emphasis"/>
        </w:rPr>
        <w:t>i, w, z, o, a</w:t>
      </w:r>
      <w:r>
        <w:rPr/>
        <w:t>) z końców wierszy.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 w:end="0"/>
        <w:rPr/>
      </w:pPr>
      <w:r>
        <w:rPr/>
        <w:t>Kontrola podziału wyrazów przy przenoszeniu do nowej linii.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 w:end="0"/>
        <w:rPr/>
      </w:pPr>
      <w:r>
        <w:rPr/>
        <w:t>Sprawdzenie podpisów pod zdjęciami (jeśli do książki zostaną dołączone fotografie ze spotkań </w:t>
      </w:r>
      <w:r>
        <w:rPr>
          <w:rStyle w:val="Emphasis"/>
        </w:rPr>
        <w:t>Acies</w:t>
      </w:r>
      <w:r>
        <w:rPr/>
        <w:t> czy pielgrzymek).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Mono">
    <w:altName w:val="Courier New"/>
    <w:charset w:val="ee" w:characterSet="windows-125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ee" w:characterSet="windows-125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pl-PL" w:eastAsia="zh-CN" w:bidi="hi-IN"/>
    </w:rPr>
  </w:style>
  <w:style w:type="paragraph" w:styleId="Heading3">
    <w:name w:val="heading 3"/>
    <w:basedOn w:val="Nagwek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Nagwek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Tekstrdowy">
    <w:name w:val="Tekst źródłowy"/>
    <w:qFormat/>
    <w:rPr>
      <w:rFonts w:ascii="Liberation Mono" w:hAnsi="Liberation Mono" w:eastAsia="NSimSun" w:cs="Liberation Mono"/>
    </w:rPr>
  </w:style>
  <w:style w:type="character" w:styleId="Znakinumeracji">
    <w:name w:val="Znaki numeracji"/>
    <w:qFormat/>
    <w:rPr/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Arial"/>
    </w:rPr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niapozioma">
    <w:name w:val="Linia pozioma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LibreOffice/26.2.4.2$Windows_X86_64 LibreOffice_project/0229ac93fcf0d7cbc6376066c6f35021cef002dc</Application>
  <AppVersion>15.0000</AppVersion>
  <Pages>3</Pages>
  <Words>885</Words>
  <Characters>5609</Characters>
  <CharactersWithSpaces>6482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2026-07-04T14:01:46Z</dcterms:created>
  <dc:creator/>
  <dc:description/>
  <dc:language>pl-PL</dc:language>
  <cp:lastModifiedBy/>
  <dcterms:modified xsi:type="dcterms:W3CDTF">2026-07-04T16:16:42Z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