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(2.14),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время с последнего чтения и возраст — монотонной функцией, подобранной на данных настройки. EWMA служит также базовой политикой из функционального требования F-12. Модель и базовые оценки передают прогноз одному и тому же планировщику, поэтому при сравнении политик различается только оценка спроса, а разница в задержке чтения показывает вклад прогноза, а не алгоритма планирования.</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признаки модели образуют табличные данные, на которых ансамбли деревьев не уступают нейронным сетям по качеству при меньших затратах [34]. Кроме того, такие модели обучаются на процессоре и показывают значимость признаков.</w:t>
      </w:r>
    </w:p>
    <w:p>
      <w:pPr>
        <w:pStyle w:val="a2"/>
      </w:pPr>
      <w:r>
        <w:t xml:space="preserve">Однократный всплеск без предвестников модель не предсказывает, а новый объект оценивает грубо. На равномерной случайной нагрузке все объекты читаются с одинаковой вероятностью, и прошлые обращения не говорят о будущих, поэтому ни одна политика не может выбрать объекты для HOT лучше другой. Этот сценарий служит проверкой самого эксперимента: если модель покажет на нём выигрыш, значит, в эксперименте есть ошибка, например утечка будущих данных в признаки или неравные условия сравнения.</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[35], [36],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События поступают с задержкой, поэтому в момент обучения</w:t>
      </w:r>
      <w:r>
        <w:t xml:space="preserve"> </w:t>
      </w:r>
      <m:oMath>
        <m:sSup>
          <m:e>
            <m:r>
              <m:t>T</m:t>
            </m:r>
          </m:e>
          <m:sup>
            <m:r>
              <m:rPr>
                <m:sty m:val="p"/>
              </m:rPr>
              <m:t>′</m:t>
            </m:r>
          </m:sup>
        </m:sSup>
      </m:oMath>
      <w:r>
        <w:t xml:space="preserve"> </w:t>
      </w:r>
      <w:r>
        <w:t xml:space="preserve">история полна не до</w:t>
      </w:r>
      <w:r>
        <w:t xml:space="preserve"> </w:t>
      </w:r>
      <m:oMath>
        <m:sSup>
          <m:e>
            <m:r>
              <m:t>T</m:t>
            </m:r>
          </m:e>
          <m:sup>
            <m:r>
              <m:rPr>
                <m:sty m:val="p"/>
              </m:rPr>
              <m:t>′</m:t>
            </m:r>
          </m:sup>
        </m:sSup>
      </m:oMath>
      <w:r>
        <w:t xml:space="preserve">, а до более раннего момента</w:t>
      </w:r>
      <w:r>
        <w:t xml:space="preserve"> </w:t>
      </w:r>
      <m:oMath>
        <m:r>
          <m:t>W</m:t>
        </m:r>
        <m:r>
          <m:rPr>
            <m:sty m:val="p"/>
          </m:rPr>
          <m:t>(</m:t>
        </m:r>
        <m:sSup>
          <m:e>
            <m:r>
              <m:t>T</m:t>
            </m:r>
          </m:e>
          <m:sup>
            <m:r>
              <m:rPr>
                <m:sty m:val="p"/>
              </m:rPr>
              <m:t>′</m:t>
            </m:r>
          </m:sup>
        </m:sSup>
        <m:r>
          <m:rPr>
            <m:sty m:val="p"/>
          </m:rPr>
          <m:t>)</m:t>
        </m:r>
      </m:oMath>
      <w:r>
        <w:t xml:space="preserve"> </w:t>
      </w:r>
      <w:r>
        <w:t xml:space="preserve">— границы полноты истории, до которой все события уже получены, а пропуски отмечены. По тому же правилу [35], [36]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граница полноты истории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и все чтения за него уже получены, иначе метка</w:t>
      </w:r>
      <w:r>
        <w:t xml:space="preserve"> </w:t>
      </w:r>
      <m:oMath>
        <m:sSub>
          <m:e>
            <m:r>
              <m:t>N</m:t>
            </m:r>
          </m:e>
          <m:sub>
            <m:r>
              <m:t>i</m:t>
            </m:r>
          </m:sub>
        </m:sSub>
      </m:oMath>
      <w:r>
        <w:t xml:space="preserve"> </w:t>
      </w:r>
      <w:r>
        <w:t xml:space="preserve">оказалась бы заниженной. Пример с незавершённым интервалом не теряется, а используется при следующем обновлении модели. Примеры с неполной историей исключаются, а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[42].</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6083999" cy="1718543"/>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_h.png" id="75" name="Picture"/>
                    <pic:cNvPicPr>
                      <a:picLocks noChangeArrowheads="1" noChangeAspect="1"/>
                    </pic:cNvPicPr>
                  </pic:nvPicPr>
                  <pic:blipFill>
                    <a:blip r:embed="rId73"/>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_h.png" id="80" name="Picture"/>
                    <pic:cNvPicPr>
                      <a:picLocks noChangeArrowheads="1" noChangeAspect="1"/>
                    </pic:cNvPicPr>
                  </pic:nvPicPr>
                  <pic:blipFill>
                    <a:blip r:embed="rId78"/>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[42]: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[44], а применяется в сервисе СППР через библиотеку leaves, читающую модели LightGBM на Go [45]. Для данных СППР и потока событий используются уже развёрнутые в OpenS3 PostgreSQL, транзакции которого защищают команды и миграции [46], и Kafka, отделяющая публикацию событий от обработки [47].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1">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2">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3">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4">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5">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6">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7">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8">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49">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0">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1">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2">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2026-10-25T17:09:02Z</dcterms:created>
  <dcterms:modified xsi:type="dcterms:W3CDTF">2026-10-25T17:09:02Z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