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2.png" ContentType="image/png"/>
  <Override PartName="/word/media/rId97.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5">
            <w:r>
              <w:t>ВВЕДЕНИЕ</w:t>
            </w:r>
          </w:hyperlink>
          <w:r>
            <w:tab/>
          </w:r>
          <w:fldSimple w:instr="PAGEREF &quot;GOSTHeading165&quot; \h" w:dirty="true">
            <w:r>
              <w:t>—</w:t>
            </w:r>
          </w:fldSimple>
        </w:p>
        <w:p>
          <w:pPr>
            <w:pStyle w:val="10"/>
          </w:pPr>
          <w:hyperlink w:anchor="GOSTHeading166">
            <w:r>
              <w:t>ЛИТЕРАТУРНЫЙ ОБЗОР</w:t>
            </w:r>
          </w:hyperlink>
          <w:r>
            <w:tab/>
          </w:r>
          <w:fldSimple w:instr="PAGEREF &quot;GOSTHeading166&quot; \h" w:dirty="true">
            <w:r>
              <w:t>—</w:t>
            </w:r>
          </w:fldSimple>
        </w:p>
        <w:p>
          <w:pPr>
            <w:pStyle w:val="10"/>
          </w:pPr>
          <w:hyperlink w:anchor="GOSTHeading167">
            <w:r>
              <w:t>1 ИССЛЕДОВАТЕЛЬСКИЙ РАЗДЕЛ</w:t>
            </w:r>
          </w:hyperlink>
          <w:r>
            <w:tab/>
          </w:r>
          <w:fldSimple w:instr="PAGEREF &quot;GOSTHeading167&quot; \h" w:dirty="true">
            <w:r>
              <w:t>—</w:t>
            </w:r>
          </w:fldSimple>
        </w:p>
        <w:p>
          <w:pPr>
            <w:pStyle w:val="22"/>
          </w:pPr>
          <w:hyperlink w:anchor="GOSTHeading168">
            <w:r>
              <w:t>1.1 Анализ предметной области</w:t>
            </w:r>
          </w:hyperlink>
          <w:r>
            <w:tab/>
          </w:r>
          <w:fldSimple w:instr="PAGEREF &quot;GOSTHeading168&quot; \h" w:dirty="true">
            <w:r>
              <w:t>—</w:t>
            </w:r>
          </w:fldSimple>
        </w:p>
        <w:p>
          <w:pPr>
            <w:pStyle w:val="31"/>
          </w:pPr>
          <w:hyperlink w:anchor="GOSTHeading169">
            <w:r>
              <w:t>1.1.1 Предметная область и участники процесса</w:t>
            </w:r>
          </w:hyperlink>
          <w:r>
            <w:tab/>
          </w:r>
          <w:fldSimple w:instr="PAGEREF &quot;GOSTHeading169&quot; \h" w:dirty="true">
            <w:r>
              <w:t>—</w:t>
            </w:r>
          </w:fldSimple>
        </w:p>
        <w:p>
          <w:pPr>
            <w:pStyle w:val="31"/>
          </w:pPr>
          <w:hyperlink w:anchor="GOSTHeading170">
            <w:r>
              <w:t>1.1.2 Объектная модель и единица размещения</w:t>
            </w:r>
          </w:hyperlink>
          <w:r>
            <w:tab/>
          </w:r>
          <w:fldSimple w:instr="PAGEREF &quot;GOSTHeading170&quot; \h" w:dirty="true">
            <w:r>
              <w:t>—</w:t>
            </w:r>
          </w:fldSimple>
        </w:p>
        <w:p>
          <w:pPr>
            <w:pStyle w:val="31"/>
          </w:pPr>
          <w:hyperlink w:anchor="GOSTHeading171">
            <w:r>
              <w:t>1.1.3 Классы хранения и характеристики ресурсов</w:t>
            </w:r>
          </w:hyperlink>
          <w:r>
            <w:tab/>
          </w:r>
          <w:fldSimple w:instr="PAGEREF &quot;GOSTHeading171&quot; \h" w:dirty="true">
            <w:r>
              <w:t>—</w:t>
            </w:r>
          </w:fldSimple>
        </w:p>
        <w:p>
          <w:pPr>
            <w:pStyle w:val="31"/>
          </w:pPr>
          <w:hyperlink w:anchor="GOSTHeading172">
            <w:r>
              <w:t>1.1.4 Востребованность и история обращений</w:t>
            </w:r>
          </w:hyperlink>
          <w:r>
            <w:tab/>
          </w:r>
          <w:fldSimple w:instr="PAGEREF &quot;GOSTHeading172&quot; \h" w:dirty="true">
            <w:r>
              <w:t>—</w:t>
            </w:r>
          </w:fldSimple>
        </w:p>
        <w:p>
          <w:pPr>
            <w:pStyle w:val="31"/>
          </w:pPr>
          <w:hyperlink w:anchor="GOSTHeading173">
            <w:r>
              <w:t>1.1.5 Способы управления размещением</w:t>
            </w:r>
          </w:hyperlink>
          <w:r>
            <w:tab/>
          </w:r>
          <w:fldSimple w:instr="PAGEREF &quot;GOSTHeading173&quot; \h" w:dirty="true">
            <w:r>
              <w:t>—</w:t>
            </w:r>
          </w:fldSimple>
        </w:p>
        <w:p>
          <w:pPr>
            <w:pStyle w:val="31"/>
          </w:pPr>
          <w:hyperlink w:anchor="GOSTHeading174">
            <w:r>
              <w:t>1.1.6 Ресурсные ограничения и затраты</w:t>
            </w:r>
          </w:hyperlink>
          <w:r>
            <w:tab/>
          </w:r>
          <w:fldSimple w:instr="PAGEREF &quot;GOSTHeading174&quot; \h" w:dirty="true">
            <w:r>
              <w:t>—</w:t>
            </w:r>
          </w:fldSimple>
        </w:p>
        <w:p>
          <w:pPr>
            <w:pStyle w:val="31"/>
          </w:pPr>
          <w:hyperlink w:anchor="GOSTHeading175">
            <w:r>
              <w:t>1.1.7 Согласованность и безопасное перемещение</w:t>
            </w:r>
          </w:hyperlink>
          <w:r>
            <w:tab/>
          </w:r>
          <w:fldSimple w:instr="PAGEREF &quot;GOSTHeading175&quot; \h" w:dirty="true">
            <w:r>
              <w:t>—</w:t>
            </w:r>
          </w:fldSimple>
        </w:p>
        <w:p>
          <w:pPr>
            <w:pStyle w:val="31"/>
          </w:pPr>
          <w:hyperlink w:anchor="GOSTHeading176">
            <w:r>
              <w:t>1.1.8 Источники данных и условия исследования</w:t>
            </w:r>
          </w:hyperlink>
          <w:r>
            <w:tab/>
          </w:r>
          <w:fldSimple w:instr="PAGEREF &quot;GOSTHeading176&quot; \h" w:dirty="true">
            <w:r>
              <w:t>—</w:t>
            </w:r>
          </w:fldSimple>
        </w:p>
        <w:p>
          <w:pPr>
            <w:pStyle w:val="22"/>
          </w:pPr>
          <w:hyperlink w:anchor="GOSTHeading177">
            <w:r>
              <w:t>1.2 Анализ существующих решений</w:t>
            </w:r>
          </w:hyperlink>
          <w:r>
            <w:tab/>
          </w:r>
          <w:fldSimple w:instr="PAGEREF &quot;GOSTHeading177&quot; \h" w:dirty="true">
            <w:r>
              <w:t>—</w:t>
            </w:r>
          </w:fldSimple>
        </w:p>
        <w:p>
          <w:pPr>
            <w:pStyle w:val="31"/>
          </w:pPr>
          <w:hyperlink w:anchor="GOSTHeading178">
            <w:r>
              <w:t>1.2.1 Анализ критериев</w:t>
            </w:r>
          </w:hyperlink>
          <w:r>
            <w:tab/>
          </w:r>
          <w:fldSimple w:instr="PAGEREF &quot;GOSTHeading178&quot; \h" w:dirty="true">
            <w:r>
              <w:t>—</w:t>
            </w:r>
          </w:fldSimple>
        </w:p>
        <w:p>
          <w:pPr>
            <w:pStyle w:val="31"/>
          </w:pPr>
          <w:hyperlink w:anchor="GOSTHeading179">
            <w:r>
              <w:t>1.2.2 Обзор аналогов</w:t>
            </w:r>
          </w:hyperlink>
          <w:r>
            <w:tab/>
          </w:r>
          <w:fldSimple w:instr="PAGEREF &quot;GOSTHeading179&quot; \h" w:dirty="true">
            <w:r>
              <w:t>—</w:t>
            </w:r>
          </w:fldSimple>
        </w:p>
        <w:p>
          <w:pPr>
            <w:pStyle w:val="31"/>
          </w:pPr>
          <w:hyperlink w:anchor="GOSTHeading180">
            <w:r>
              <w:t>1.2.3 Сопоставление аналогов</w:t>
            </w:r>
          </w:hyperlink>
          <w:r>
            <w:tab/>
          </w:r>
          <w:fldSimple w:instr="PAGEREF &quot;GOSTHeading180&quot; \h" w:dirty="true">
            <w:r>
              <w:t>—</w:t>
            </w:r>
          </w:fldSimple>
        </w:p>
        <w:p>
          <w:pPr>
            <w:pStyle w:val="22"/>
          </w:pPr>
          <w:hyperlink w:anchor="GOSTHeading181">
            <w:r>
              <w:t>1.3 Требования к разрабатываемой системе</w:t>
            </w:r>
          </w:hyperlink>
          <w:r>
            <w:tab/>
          </w:r>
          <w:fldSimple w:instr="PAGEREF &quot;GOSTHeading181&quot; \h" w:dirty="true">
            <w:r>
              <w:t>—</w:t>
            </w:r>
          </w:fldSimple>
        </w:p>
        <w:p>
          <w:pPr>
            <w:pStyle w:val="31"/>
          </w:pPr>
          <w:hyperlink w:anchor="GOSTHeading182">
            <w:r>
              <w:t>1.3.1 Назначение и границы разрабатываемого расширения</w:t>
            </w:r>
          </w:hyperlink>
          <w:r>
            <w:tab/>
          </w:r>
          <w:fldSimple w:instr="PAGEREF &quot;GOSTHeading182&quot; \h" w:dirty="true">
            <w:r>
              <w:t>—</w:t>
            </w:r>
          </w:fldSimple>
        </w:p>
        <w:p>
          <w:pPr>
            <w:pStyle w:val="31"/>
          </w:pPr>
          <w:hyperlink w:anchor="GOSTHeading183">
            <w:r>
              <w:t>1.3.2 Требования к выполняемым функциям</w:t>
            </w:r>
          </w:hyperlink>
          <w:r>
            <w:tab/>
          </w:r>
          <w:fldSimple w:instr="PAGEREF &quot;GOSTHeading183&quot; \h" w:dirty="true">
            <w:r>
              <w:t>—</w:t>
            </w:r>
          </w:fldSimple>
        </w:p>
        <w:p>
          <w:pPr>
            <w:pStyle w:val="31"/>
          </w:pPr>
          <w:hyperlink w:anchor="GOSTHeading184">
            <w:r>
              <w:t>1.3.3 Требования к надёжности и сохранности данных</w:t>
            </w:r>
          </w:hyperlink>
          <w:r>
            <w:tab/>
          </w:r>
          <w:fldSimple w:instr="PAGEREF &quot;GOSTHeading184&quot; \h" w:dirty="true">
            <w:r>
              <w:t>—</w:t>
            </w:r>
          </w:fldSimple>
        </w:p>
        <w:p>
          <w:pPr>
            <w:pStyle w:val="31"/>
          </w:pPr>
          <w:hyperlink w:anchor="GOSTHeading185">
            <w:r>
              <w:t>1.3.4 Требования к доступу и интерфейсу администратора</w:t>
            </w:r>
          </w:hyperlink>
          <w:r>
            <w:tab/>
          </w:r>
          <w:fldSimple w:instr="PAGEREF &quot;GOSTHeading185&quot; \h" w:dirty="true">
            <w:r>
              <w:t>—</w:t>
            </w:r>
          </w:fldSimple>
        </w:p>
        <w:p>
          <w:pPr>
            <w:pStyle w:val="31"/>
          </w:pPr>
          <w:hyperlink w:anchor="GOSTHeading186">
            <w:r>
              <w:t>1.3.5 Требования к ресурсам, совместимости и контролю выполнения</w:t>
            </w:r>
          </w:hyperlink>
          <w:r>
            <w:tab/>
          </w:r>
          <w:fldSimple w:instr="PAGEREF &quot;GOSTHeading186&quot; \h" w:dirty="true">
            <w:r>
              <w:t>—</w:t>
            </w:r>
          </w:fldSimple>
        </w:p>
        <w:p>
          <w:pPr>
            <w:pStyle w:val="31"/>
          </w:pPr>
          <w:hyperlink w:anchor="GOSTHeading187">
            <w:r>
              <w:t>1.3.6 Требования к жизненному циклу модели</w:t>
            </w:r>
          </w:hyperlink>
          <w:r>
            <w:tab/>
          </w:r>
          <w:fldSimple w:instr="PAGEREF &quot;GOSTHeading187&quot; \h" w:dirty="true">
            <w:r>
              <w:t>—</w:t>
            </w:r>
          </w:fldSimple>
        </w:p>
        <w:p>
          <w:pPr>
            <w:pStyle w:val="31"/>
          </w:pPr>
          <w:hyperlink w:anchor="GOSTHeading188">
            <w:r>
              <w:t>1.3.7 Требования к проверке эффективности и минимальному результату</w:t>
            </w:r>
          </w:hyperlink>
          <w:r>
            <w:tab/>
          </w:r>
          <w:fldSimple w:instr="PAGEREF &quot;GOSTHeading188&quot; \h" w:dirty="true">
            <w:r>
              <w:t>—</w:t>
            </w:r>
          </w:fldSimple>
        </w:p>
        <w:p>
          <w:pPr>
            <w:pStyle w:val="22"/>
          </w:pPr>
          <w:hyperlink w:anchor="GOSTHeading189">
            <w:r>
              <w:t>1.4 Выводы по исследовательскому разделу</w:t>
            </w:r>
          </w:hyperlink>
          <w:r>
            <w:tab/>
          </w:r>
          <w:fldSimple w:instr="PAGEREF &quot;GOSTHeading189&quot; \h" w:dirty="true">
            <w:r>
              <w:t>—</w:t>
            </w:r>
          </w:fldSimple>
        </w:p>
        <w:p>
          <w:pPr>
            <w:pStyle w:val="10"/>
          </w:pPr>
          <w:hyperlink w:anchor="GOSTHeading190">
            <w:r>
              <w:t>2 АНАЛИТИЧЕСКИЙ РАЗДЕЛ</w:t>
            </w:r>
          </w:hyperlink>
          <w:r>
            <w:tab/>
          </w:r>
          <w:fldSimple w:instr="PAGEREF &quot;GOSTHeading190&quot; \h" w:dirty="true">
            <w:r>
              <w:t>—</w:t>
            </w:r>
          </w:fldSimple>
        </w:p>
        <w:p>
          <w:pPr>
            <w:pStyle w:val="22"/>
          </w:pPr>
          <w:hyperlink w:anchor="GOSTHeading191">
            <w:r>
              <w:t>2.1 Математическое и алгоритмическое обеспечение</w:t>
            </w:r>
          </w:hyperlink>
          <w:r>
            <w:tab/>
          </w:r>
          <w:fldSimple w:instr="PAGEREF &quot;GOSTHeading191&quot; \h" w:dirty="true">
            <w:r>
              <w:t>—</w:t>
            </w:r>
          </w:fldSimple>
        </w:p>
        <w:p>
          <w:pPr>
            <w:pStyle w:val="31"/>
          </w:pPr>
          <w:hyperlink w:anchor="GOSTHeading192">
            <w:r>
              <w:t>2.1.1 Постановка задачи размещения</w:t>
            </w:r>
          </w:hyperlink>
          <w:r>
            <w:tab/>
          </w:r>
          <w:fldSimple w:instr="PAGEREF &quot;GOSTHeading192&quot; \h" w:dirty="true">
            <w:r>
              <w:t>—</w:t>
            </w:r>
          </w:fldSimple>
        </w:p>
        <w:p>
          <w:pPr>
            <w:pStyle w:val="31"/>
          </w:pPr>
          <w:hyperlink w:anchor="GOSTHeading193">
            <w:r>
              <w:t>2.1.2 Модель прогнозирования востребованности</w:t>
            </w:r>
          </w:hyperlink>
          <w:r>
            <w:tab/>
          </w:r>
          <w:fldSimple w:instr="PAGEREF &quot;GOSTHeading193&quot; \h" w:dirty="true">
            <w:r>
              <w:t>—</w:t>
            </w:r>
          </w:fldSimple>
        </w:p>
        <w:p>
          <w:pPr>
            <w:pStyle w:val="31"/>
          </w:pPr>
          <w:hyperlink w:anchor="GOSTHeading194">
            <w:r>
              <w:t>2.1.3 Обработка данных и формирование обучающих примеров</w:t>
            </w:r>
          </w:hyperlink>
          <w:r>
            <w:tab/>
          </w:r>
          <w:fldSimple w:instr="PAGEREF &quot;GOSTHeading194&quot; \h" w:dirty="true">
            <w:r>
              <w:t>—</w:t>
            </w:r>
          </w:fldSimple>
        </w:p>
        <w:p>
          <w:pPr>
            <w:pStyle w:val="31"/>
          </w:pPr>
          <w:hyperlink w:anchor="GOSTHeading195">
            <w:r>
              <w:t>2.1.4 Обучение, проверка и ввод модели в работу</w:t>
            </w:r>
          </w:hyperlink>
          <w:r>
            <w:tab/>
          </w:r>
          <w:fldSimple w:instr="PAGEREF &quot;GOSTHeading195&quot; \h" w:dirty="true">
            <w:r>
              <w:t>—</w:t>
            </w:r>
          </w:fldSimple>
        </w:p>
        <w:p>
          <w:pPr>
            <w:pStyle w:val="31"/>
          </w:pPr>
          <w:hyperlink w:anchor="GOSTHeading196">
            <w:r>
              <w:t>2.1.5 Алгоритм формирования плана размещения</w:t>
            </w:r>
          </w:hyperlink>
          <w:r>
            <w:tab/>
          </w:r>
          <w:fldSimple w:instr="PAGEREF &quot;GOSTHeading196&quot; \h" w:dirty="true">
            <w:r>
              <w:t>—</w:t>
            </w:r>
          </w:fldSimple>
        </w:p>
        <w:p>
          <w:pPr>
            <w:pStyle w:val="31"/>
          </w:pPr>
          <w:hyperlink w:anchor="GOSTHeading197">
            <w:r>
              <w:t>2.1.6 Объяснение рекомендаций</w:t>
            </w:r>
          </w:hyperlink>
          <w:r>
            <w:tab/>
          </w:r>
          <w:fldSimple w:instr="PAGEREF &quot;GOSTHeading197&quot; \h" w:dirty="true">
            <w:r>
              <w:t>—</w:t>
            </w:r>
          </w:fldSimple>
        </w:p>
        <w:p>
          <w:pPr>
            <w:pStyle w:val="31"/>
          </w:pPr>
          <w:hyperlink w:anchor="GOSTHeading198">
            <w:r>
              <w:t>2.1.7 Протокол безопасного переноса</w:t>
            </w:r>
          </w:hyperlink>
          <w:r>
            <w:tab/>
          </w:r>
          <w:fldSimple w:instr="PAGEREF &quot;GOSTHeading198&quot; \h" w:dirty="true">
            <w:r>
              <w:t>—</w:t>
            </w:r>
          </w:fldSimple>
        </w:p>
        <w:p>
          <w:pPr>
            <w:pStyle w:val="22"/>
          </w:pPr>
          <w:hyperlink w:anchor="GOSTHeading199">
            <w:r>
              <w:t>2.2 Модели процессов</w:t>
            </w:r>
          </w:hyperlink>
          <w:r>
            <w:tab/>
          </w:r>
          <w:fldSimple w:instr="PAGEREF &quot;GOSTHeading199&quot; \h" w:dirty="true">
            <w:r>
              <w:t>—</w:t>
            </w:r>
          </w:fldSimple>
        </w:p>
        <w:p>
          <w:pPr>
            <w:pStyle w:val="31"/>
          </w:pPr>
          <w:hyperlink w:anchor="GOSTHeading200">
            <w:r>
              <w:t>2.2.1 Исходный процесс управления размещением</w:t>
            </w:r>
          </w:hyperlink>
          <w:r>
            <w:tab/>
          </w:r>
          <w:fldSimple w:instr="PAGEREF &quot;GOSTHeading200&quot; \h" w:dirty="true">
            <w:r>
              <w:t>—</w:t>
            </w:r>
          </w:fldSimple>
        </w:p>
        <w:p>
          <w:pPr>
            <w:pStyle w:val="31"/>
          </w:pPr>
          <w:hyperlink w:anchor="GOSTHeading201">
            <w:r>
              <w:t>2.2.2 Проектируемый процесс</w:t>
            </w:r>
          </w:hyperlink>
          <w:r>
            <w:tab/>
          </w:r>
          <w:fldSimple w:instr="PAGEREF &quot;GOSTHeading201&quot; \h" w:dirty="true">
            <w:r>
              <w:t>—</w:t>
            </w:r>
          </w:fldSimple>
        </w:p>
        <w:p>
          <w:pPr>
            <w:pStyle w:val="31"/>
          </w:pPr>
          <w:hyperlink w:anchor="GOSTHeading202">
            <w:r>
              <w:t>2.2.3 Сравнение процессов</w:t>
            </w:r>
          </w:hyperlink>
          <w:r>
            <w:tab/>
          </w:r>
          <w:fldSimple w:instr="PAGEREF &quot;GOSTHeading202&quot; \h" w:dirty="true">
            <w:r>
              <w:t>—</w:t>
            </w:r>
          </w:fldSimple>
        </w:p>
        <w:p>
          <w:pPr>
            <w:pStyle w:val="22"/>
          </w:pPr>
          <w:hyperlink w:anchor="GOSTHeading203">
            <w:r>
              <w:t>2.3 Архитектура системы</w:t>
            </w:r>
          </w:hyperlink>
          <w:r>
            <w:tab/>
          </w:r>
          <w:fldSimple w:instr="PAGEREF &quot;GOSTHeading203&quot; \h" w:dirty="true">
            <w:r>
              <w:t>—</w:t>
            </w:r>
          </w:fldSimple>
        </w:p>
        <w:p>
          <w:pPr>
            <w:pStyle w:val="31"/>
          </w:pPr>
          <w:hyperlink w:anchor="GOSTHeading204">
            <w:r>
              <w:t>2.3.1 Изменения компонентов OpenS3</w:t>
            </w:r>
          </w:hyperlink>
          <w:r>
            <w:tab/>
          </w:r>
          <w:fldSimple w:instr="PAGEREF &quot;GOSTHeading204&quot; \h" w:dirty="true">
            <w:r>
              <w:t>—</w:t>
            </w:r>
          </w:fldSimple>
        </w:p>
        <w:p>
          <w:pPr>
            <w:pStyle w:val="31"/>
          </w:pPr>
          <w:hyperlink w:anchor="GOSTHeading205">
            <w:r>
              <w:t>2.3.2 Компонентная модель</w:t>
            </w:r>
          </w:hyperlink>
          <w:r>
            <w:tab/>
          </w:r>
          <w:fldSimple w:instr="PAGEREF &quot;GOSTHeading205&quot; \h" w:dirty="true">
            <w:r>
              <w:t>—</w:t>
            </w:r>
          </w:fldSimple>
        </w:p>
        <w:p>
          <w:pPr>
            <w:pStyle w:val="31"/>
          </w:pPr>
          <w:hyperlink w:anchor="GOSTHeading206">
            <w:r>
              <w:t>2.3.3 Модель данных</w:t>
            </w:r>
          </w:hyperlink>
          <w:r>
            <w:tab/>
          </w:r>
          <w:fldSimple w:instr="PAGEREF &quot;GOSTHeading206&quot; \h" w:dirty="true">
            <w:r>
              <w:t>—</w:t>
            </w:r>
          </w:fldSimple>
        </w:p>
        <w:p>
          <w:pPr>
            <w:pStyle w:val="31"/>
          </w:pPr>
          <w:hyperlink w:anchor="GOSTHeading207">
            <w:r>
              <w:t>2.3.4 Анализ архитектуры</w:t>
            </w:r>
          </w:hyperlink>
          <w:r>
            <w:tab/>
          </w:r>
          <w:fldSimple w:instr="PAGEREF &quot;GOSTHeading207&quot; \h" w:dirty="true">
            <w:r>
              <w:t>—</w:t>
            </w:r>
          </w:fldSimple>
        </w:p>
        <w:p>
          <w:pPr>
            <w:pStyle w:val="31"/>
          </w:pPr>
          <w:hyperlink w:anchor="GOSTHeading208">
            <w:r>
              <w:t>2.3.5 Соответствие требованиям</w:t>
            </w:r>
          </w:hyperlink>
          <w:r>
            <w:tab/>
          </w:r>
          <w:fldSimple w:instr="PAGEREF &quot;GOSTHeading208&quot; \h" w:dirty="true">
            <w:r>
              <w:t>—</w:t>
            </w:r>
          </w:fldSimple>
        </w:p>
        <w:p>
          <w:pPr>
            <w:pStyle w:val="22"/>
          </w:pPr>
          <w:hyperlink w:anchor="GOSTHeading209">
            <w:r>
              <w:t>2.4 Обоснование инструментов реализации</w:t>
            </w:r>
          </w:hyperlink>
          <w:r>
            <w:tab/>
          </w:r>
          <w:fldSimple w:instr="PAGEREF &quot;GOSTHeading209&quot; \h" w:dirty="true">
            <w:r>
              <w:t>—</w:t>
            </w:r>
          </w:fldSimple>
        </w:p>
        <w:p>
          <w:pPr>
            <w:pStyle w:val="22"/>
          </w:pPr>
          <w:hyperlink w:anchor="GOSTHeading210">
            <w:r>
              <w:t>2.5 Выводы по аналитическому разделу</w:t>
            </w:r>
          </w:hyperlink>
          <w:r>
            <w:tab/>
          </w:r>
          <w:fldSimple w:instr="PAGEREF &quot;GOSTHeading210&quot; \h" w:dirty="true">
            <w:r>
              <w:t>—</w:t>
            </w:r>
          </w:fldSimple>
        </w:p>
        <w:p>
          <w:pPr>
            <w:pStyle w:val="10"/>
          </w:pPr>
          <w:hyperlink w:anchor="GOSTHeading211">
            <w:r>
              <w:t>СПИСОК ИСПОЛЬЗОВАННЫХ ИСТОЧНИКОВ</w:t>
            </w:r>
          </w:hyperlink>
          <w:r>
            <w:tab/>
          </w:r>
          <w:fldSimple w:instr="PAGEREF &quot;GOSTHeading211&quot; \h" w:dirty="true">
            <w:r>
              <w:t>—</w:t>
            </w:r>
          </w:fldSimple>
        </w:p>
        <w:p>
          <w:pPr>
            <w:spacing w:before="0" w:after="0" w:line="1" w:lineRule="exact"/>
          </w:pPr>
          <w:r>
            <w:fldChar w:fldCharType="end"/>
          </w:r>
        </w:p>
      </w:sdtContent>
    </w:sdt>
    <w:bookmarkStart w:id="25" w:name="введение"/>
    <w:p>
      <w:pPr>
        <w:pStyle w:val="GOSTStructuralHeading"/>
      </w:pPr>
      <w:bookmarkStart w:id="165" w:name="GOSTHeading165"/>
      <w:r>
        <w:t xml:space="preserve">ВВЕДЕНИЕ</w:t>
      </w:r>
      <w:bookmarkEnd w:id="16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6" w:name="GOSTHeading166"/>
      <w:r>
        <w:t xml:space="preserve">ЛИТЕРАТУРНЫЙ ОБЗОР</w:t>
      </w:r>
      <w:bookmarkEnd w:id="16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7" w:name="GOSTHeading167"/>
      <w:r>
        <w:t xml:space="preserve">1 ИССЛЕДОВАТЕЛЬСКИЙ РАЗДЕЛ</w:t>
      </w:r>
      <w:bookmarkEnd w:id="16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8" w:name="GOSTHeading168"/>
      <w:r>
        <w:t xml:space="preserve">1.1 Анализ предметной области</w:t>
      </w:r>
      <w:bookmarkEnd w:id="168"/>
    </w:p>
    <w:bookmarkStart w:id="27" w:name="предметная-область-и-участники-процесса"/>
    <w:p>
      <w:pPr>
        <w:pStyle w:val="30"/>
      </w:pPr>
      <w:bookmarkStart w:id="169" w:name="GOSTHeading169"/>
      <w:r>
        <w:t xml:space="preserve">1.1.1 Предметная область и участники процесса</w:t>
      </w:r>
      <w:bookmarkEnd w:id="16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0" w:name="GOSTHeading170"/>
      <w:r>
        <w:t xml:space="preserve">1.1.2 Объектная модель и единица размещения</w:t>
      </w:r>
      <w:bookmarkEnd w:id="170"/>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1" w:name="GOSTHeading171"/>
      <w:r>
        <w:t xml:space="preserve">1.1.3 Классы хранения и характеристики ресурсов</w:t>
      </w:r>
      <w:bookmarkEnd w:id="17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2" w:name="GOSTHeading172"/>
      <w:r>
        <w:t xml:space="preserve">1.1.4 Востребованность и история обращений</w:t>
      </w:r>
      <w:bookmarkEnd w:id="17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3" w:name="GOSTHeading173"/>
      <w:r>
        <w:t xml:space="preserve">1.1.5 Способы управления размещением</w:t>
      </w:r>
      <w:bookmarkEnd w:id="17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4" w:name="GOSTHeading174"/>
      <w:r>
        <w:t xml:space="preserve">1.1.6 Ресурсные ограничения и затраты</w:t>
      </w:r>
      <w:bookmarkEnd w:id="17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5" w:name="GOSTHeading175"/>
      <w:r>
        <w:t xml:space="preserve">1.1.7 Согласованность и безопасное перемещение</w:t>
      </w:r>
      <w:bookmarkEnd w:id="17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6" w:name="GOSTHeading176"/>
      <w:r>
        <w:t xml:space="preserve">1.1.8 Источники данных и условия исследования</w:t>
      </w:r>
      <w:bookmarkEnd w:id="176"/>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7" w:name="GOSTHeading177"/>
      <w:r>
        <w:t xml:space="preserve">1.2 Анализ существующих решений</w:t>
      </w:r>
      <w:bookmarkEnd w:id="17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8" w:name="GOSTHeading178"/>
      <w:r>
        <w:t xml:space="preserve">1.2.1 Анализ критериев</w:t>
      </w:r>
      <w:bookmarkEnd w:id="17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79" w:name="GOSTHeading179"/>
      <w:r>
        <w:t xml:space="preserve">1.2.2 Обзор аналогов</w:t>
      </w:r>
      <w:bookmarkEnd w:id="17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0" w:name="GOSTHeading180"/>
      <w:r>
        <w:t xml:space="preserve">1.2.3 Сопоставление аналогов</w:t>
      </w:r>
      <w:bookmarkEnd w:id="180"/>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давность доступа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1" w:name="GOSTHeading181"/>
      <w:r>
        <w:t xml:space="preserve">1.3 Требования к разрабатываемой системе</w:t>
      </w:r>
      <w:bookmarkEnd w:id="181"/>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2" w:name="GOSTHeading182"/>
      <w:r>
        <w:t xml:space="preserve">1.3.1 Назначение и границы разрабатываемого расширения</w:t>
      </w:r>
      <w:bookmarkEnd w:id="18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3" w:name="GOSTHeading183"/>
      <w:r>
        <w:t xml:space="preserve">1.3.2 Требования к выполняемым функциям</w:t>
      </w:r>
      <w:bookmarkEnd w:id="183"/>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4" w:name="GOSTHeading184"/>
      <w:r>
        <w:t xml:space="preserve">1.3.3 Требования к надёжности и сохранности данных</w:t>
      </w:r>
      <w:bookmarkEnd w:id="18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5" w:name="GOSTHeading185"/>
      <w:r>
        <w:t xml:space="preserve">1.3.4 Требования к доступу и интерфейсу администратора</w:t>
      </w:r>
      <w:bookmarkEnd w:id="18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6" w:name="GOSTHeading186"/>
      <w:r>
        <w:t xml:space="preserve">1.3.5 Требования к ресурсам, совместимости и контролю выполнения</w:t>
      </w:r>
      <w:bookmarkEnd w:id="186"/>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7" w:name="GOSTHeading187"/>
      <w:r>
        <w:t xml:space="preserve">1.3.6 Требования к жизненному циклу модели</w:t>
      </w:r>
      <w:bookmarkEnd w:id="18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8" w:name="GOSTHeading188"/>
      <w:r>
        <w:t xml:space="preserve">1.3.7 Требования к проверке эффективности и минимальному результату</w:t>
      </w:r>
      <w:bookmarkEnd w:id="18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89" w:name="GOSTHeading189"/>
      <w:r>
        <w:t xml:space="preserve">1.4 Выводы по исследовательскому разделу</w:t>
      </w:r>
      <w:bookmarkEnd w:id="18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10" w:name="аналитический-раздел"/>
    <w:p>
      <w:pPr>
        <w:pStyle w:val="1"/>
      </w:pPr>
      <w:bookmarkStart w:id="190" w:name="GOSTHeading190"/>
      <w:r>
        <w:t xml:space="preserve">2 АНАЛИТИЧЕСКИЙ РАЗДЕЛ</w:t>
      </w:r>
      <w:bookmarkEnd w:id="190"/>
    </w:p>
    <w:p>
      <w:pPr>
        <w:pStyle w:val="FirstParagraph"/>
      </w:pPr>
      <w:r>
        <w:t xml:space="preserve">В разделе формализуется задача размещения и выбираются модель прогноза и алгоритм построения плана, описывается процесс управления размещением до и после внедрения СППР, определяется архитектура системы и её связь с OpenS3, обосновывается выбор инструментов реализации.</w:t>
      </w:r>
    </w:p>
    <w:bookmarkStart w:id="77" w:name="X84bd9294f1307ff8601e5cfa6da9c74af29fe47"/>
    <w:p>
      <w:pPr>
        <w:pStyle w:val="21"/>
      </w:pPr>
      <w:bookmarkStart w:id="191" w:name="GOSTHeading191"/>
      <w:r>
        <w:t xml:space="preserve">2.1 Математическое и алгоритмическое обеспечение</w:t>
      </w:r>
      <w:bookmarkEnd w:id="191"/>
    </w:p>
    <w:p>
      <w:pPr>
        <w:pStyle w:val="FirstParagraph"/>
      </w:pPr>
      <w:r>
        <w:t xml:space="preserve">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bookmarkStart w:id="56" w:name="постановка-задачи-размещения"/>
    <w:p>
      <w:pPr>
        <w:pStyle w:val="30"/>
      </w:pPr>
      <w:bookmarkStart w:id="192" w:name="GOSTHeading192"/>
      <w:r>
        <w:t xml:space="preserve">2.1.1 Постановка задачи размещения</w:t>
      </w:r>
      <w:bookmarkEnd w:id="192"/>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pPr>
        <w:pStyle w:val="a2"/>
      </w:pPr>
      <w:r>
        <w:t xml:space="preserve">Цикл планирования начинается в момент</w:t>
      </w:r>
      <w:r>
        <w:t xml:space="preserve"> </w:t>
      </w:r>
      <m:oMath>
        <m:r>
          <m:t>T</m:t>
        </m:r>
      </m:oMath>
      <w:r>
        <w:t xml:space="preserve"> </w:t>
      </w:r>
      <w:r>
        <w:t xml:space="preserve">и повторяется с шагом 300 с. Для каждого объекта из множества</w:t>
      </w:r>
      <w:r>
        <w:t xml:space="preserve"> </w:t>
      </w:r>
      <m:oMath>
        <m:r>
          <m:t>I</m:t>
        </m:r>
      </m:oMath>
      <w:r>
        <w:t xml:space="preserve"> </w:t>
      </w:r>
      <w:r>
        <w:t xml:space="preserve">выбирается класс хранения по плану</w:t>
      </w:r>
      <w:r>
        <w:t xml:space="preserve"> </w:t>
      </w:r>
      <m:oMath>
        <m:sSub>
          <m:e>
            <m:r>
              <m:t>h</m:t>
            </m:r>
          </m:e>
          <m:sub>
            <m:r>
              <m:t>i</m:t>
            </m:r>
          </m:sub>
        </m:sSub>
      </m:oMath>
      <w:r>
        <w:t xml:space="preserve">. Закреплённые объекты, то есть объекты с запретом переноса, участвующие в выполняемом переносе или перенесённые раньше минимального интервала, сохраняют текущее размещение:</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 </w:t>
      </w:r>
      <w:r>
        <w:t xml:space="preserve">(требование F-05). Предыдущие версии объектов в</w:t>
      </w:r>
      <w:r>
        <w:t xml:space="preserve"> </w:t>
      </w:r>
      <m:oMath>
        <m:r>
          <m:t>I</m:t>
        </m:r>
      </m:oMath>
      <w:r>
        <w:t xml:space="preserve"> </w:t>
      </w:r>
      <w:r>
        <w:t xml:space="preserve">не входят, их объём учитывается в ограничениях ёмкости.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973"/>
        <w:gridCol w:w="3641"/>
        <w:gridCol w:w="1270"/>
        <w:gridCol w:w="2754"/>
      </w:tblGrid>
      <w:tr>
        <w:trPr>
          <w:tblHeader w:val="on"/>
          <w:cantSplit/>
        </w:trPr>
        <w:tc>
          <w:tcPr>
            <w:tcW w:w="1973"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3641"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c>
          <w:tcPr>
            <w:tcW w:w="1270" w:type="dxa"/>
          </w:tcPr>
          <w:p>
            <w:pPr>
              <w:pStyle w:val="Compact"/>
              <w:keepNext w:val="0"/>
              <w:pageBreakBefore w:val="0"/>
              <w:suppressAutoHyphens w:val="1"/>
              <w:spacing w:before="0" w:after="0" w:line="240" w:lineRule="auto"/>
              <w:ind w:firstLine="0" w:left="0" w:right="0"/>
              <w:jc w:val="center"/>
            </w:pPr>
            <w:r>
              <w:rPr>
                <w:b w:val="1"/>
                <w:sz w:val="24"/>
                <w:szCs w:val="24"/>
              </w:rPr>
              <w:t xml:space="preserve">Единица</w:t>
            </w:r>
          </w:p>
        </w:tc>
        <w:tc>
          <w:tcPr>
            <w:tcW w:w="2754" w:type="dxa"/>
          </w:tcPr>
          <w:p>
            <w:pPr>
              <w:pStyle w:val="Compact"/>
              <w:keepNext w:val="0"/>
              <w:pageBreakBefore w:val="0"/>
              <w:suppressAutoHyphens w:val="1"/>
              <w:spacing w:before="0" w:after="0" w:line="240" w:lineRule="auto"/>
              <w:ind w:firstLine="0" w:left="0" w:right="0"/>
              <w:jc w:val="center"/>
            </w:pPr>
            <w:r>
              <w:rPr>
                <w:b w:val="1"/>
                <w:sz w:val="24"/>
                <w:szCs w:val="24"/>
              </w:rPr>
              <w:t xml:space="preserve">Откуда значение</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r>
                <m:t>T</m:t>
              </m:r>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цикла планирования</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r>
                <m:t>I</m:t>
              </m:r>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Решение алгоритма</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r>
                <m:t>H</m:t>
              </m:r>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(2.17)</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(2.13)</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истории обращений</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v</m:t>
                  </m:r>
                </m:e>
                <m:sub>
                  <m:r>
                    <m:rPr>
                      <m:sty m:val="p"/>
                    </m:rPr>
                    <m:t>H</m:t>
                  </m:r>
                  <m:r>
                    <m:rPr>
                      <m:sty m:val="p"/>
                    </m:rPr>
                    <m:t>O</m:t>
                  </m:r>
                  <m:r>
                    <m:rPr>
                      <m:sty m:val="p"/>
                    </m:rPr>
                    <m:t>T</m:t>
                  </m:r>
                </m:sub>
              </m:sSub>
            </m:oMath>
            <w:r>
              <w:rPr>
                <w:sz w:val="24"/>
                <w:szCs w:val="24"/>
              </w:rPr>
              <w:t xml:space="preserve">,</w:t>
            </w:r>
            <w:r>
              <w:rPr>
                <w:sz w:val="24"/>
                <w:szCs w:val="24"/>
              </w:rPr>
              <w:t xml:space="preserve"> </w:t>
            </w:r>
            <m:oMath>
              <m:sSub>
                <m:e>
                  <m:r>
                    <m:t>v</m:t>
                  </m:r>
                </m:e>
                <m:sub>
                  <m:r>
                    <m:rPr>
                      <m:sty m:val="p"/>
                    </m:rPr>
                    <m:t>C</m:t>
                  </m:r>
                  <m:r>
                    <m:rPr>
                      <m:sty m:val="p"/>
                    </m:rPr>
                    <m:t>O</m:t>
                  </m:r>
                  <m:r>
                    <m:rPr>
                      <m:sty m:val="p"/>
                    </m:rPr>
                    <m:t>L</m:t>
                  </m:r>
                  <m:r>
                    <m:rPr>
                      <m:sty m:val="p"/>
                    </m:rPr>
                    <m:t>D</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МиБ/мс</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t>u</m:t>
                  </m:r>
                </m:e>
                <m:sub>
                  <m:r>
                    <m:rPr>
                      <m:sty m:val="p"/>
                    </m:rPr>
                    <m:t>H</m:t>
                  </m:r>
                  <m:r>
                    <m:rPr>
                      <m:sty m:val="p"/>
                    </m:rPr>
                    <m:t>O</m:t>
                  </m:r>
                  <m:r>
                    <m:rPr>
                      <m:sty m:val="p"/>
                    </m:rPr>
                    <m:t>T</m:t>
                  </m:r>
                </m:sub>
              </m:sSub>
            </m:oMath>
            <w:r>
              <w:rPr>
                <w:sz w:val="24"/>
                <w:szCs w:val="24"/>
              </w:rPr>
              <w:t xml:space="preserve">,</w:t>
            </w:r>
            <w:r>
              <w:rPr>
                <w:sz w:val="24"/>
                <w:szCs w:val="24"/>
              </w:rPr>
              <w:t xml:space="preserve"> </w:t>
            </w:r>
            <m:oMath>
              <m:sSub>
                <m:e>
                  <m:r>
                    <m:t>u</m:t>
                  </m:r>
                </m:e>
                <m:sub>
                  <m:r>
                    <m:rPr>
                      <m:sty m:val="p"/>
                    </m:rPr>
                    <m:t>C</m:t>
                  </m:r>
                  <m:r>
                    <m:rPr>
                      <m:sty m:val="p"/>
                    </m:rPr>
                    <m:t>O</m:t>
                  </m:r>
                  <m:r>
                    <m:rPr>
                      <m:sty m:val="p"/>
                    </m:rPr>
                    <m:t>L</m:t>
                  </m:r>
                  <m:r>
                    <m:rPr>
                      <m:sty m:val="p"/>
                    </m:rPr>
                    <m:t>D</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Администратор</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Sup>
                <m:e>
                  <m:r>
                    <m:t>S</m:t>
                  </m:r>
                </m:e>
                <m:sub>
                  <m:r>
                    <m:rPr>
                      <m:sty m:val="p"/>
                    </m:rPr>
                    <m:t>H</m:t>
                  </m:r>
                  <m:r>
                    <m:rPr>
                      <m:sty m:val="p"/>
                    </m:rPr>
                    <m:t>O</m:t>
                  </m:r>
                  <m:r>
                    <m:rPr>
                      <m:sty m:val="p"/>
                    </m:rPr>
                    <m:t>T</m:t>
                  </m:r>
                </m:sub>
                <m:sup>
                  <m:r>
                    <m:rPr>
                      <m:sty m:val="p"/>
                    </m:rPr>
                    <m:t>t</m:t>
                  </m:r>
                  <m:r>
                    <m:rPr>
                      <m:sty m:val="p"/>
                    </m:rPr>
                    <m:t>m</m:t>
                  </m:r>
                  <m:r>
                    <m:rPr>
                      <m:sty m:val="p"/>
                    </m:rPr>
                    <m:t>p</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Sup>
                <m:e>
                  <m:r>
                    <m:t>S</m:t>
                  </m:r>
                </m:e>
                <m:sub>
                  <m:r>
                    <m:rPr>
                      <m:sty m:val="p"/>
                    </m:rPr>
                    <m:t>H</m:t>
                  </m:r>
                  <m:r>
                    <m:rPr>
                      <m:sty m:val="p"/>
                    </m:rPr>
                    <m:t>O</m:t>
                  </m:r>
                  <m:r>
                    <m:rPr>
                      <m:sty m:val="p"/>
                    </m:rPr>
                    <m:t>T</m:t>
                  </m:r>
                </m:sub>
                <m:sup>
                  <m:r>
                    <m:rPr>
                      <m:sty m:val="p"/>
                    </m:rPr>
                    <m:t>o</m:t>
                  </m:r>
                  <m:r>
                    <m:rPr>
                      <m:sty m:val="p"/>
                    </m:rPr>
                    <m:t>l</m:t>
                  </m:r>
                  <m:r>
                    <m:rPr>
                      <m:sty m:val="p"/>
                    </m:rPr>
                    <m:t>d</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r>
                <m:t>B</m:t>
              </m:r>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Бюджет задаёт администратор, остаток вычисляется</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r>
                <m:t>P</m:t>
              </m:r>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мс/МиБ</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973"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3641"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754"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bl>
    <w:bookmarkEnd w:id="55"/>
    <w:p>
      <w:pPr>
        <w:pStyle w:val="a2"/>
        <w:spacing w:before="120"/>
      </w:pPr>
      <w:r>
        <w:t xml:space="preserve">В таблице приведены исходные данные модели и переменная решения. Величины, которые вычисляются по формулам, поясняются под формулами.</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rPr>
                <m:sty m:val="p"/>
              </m:rPr>
              <m:t>H</m:t>
            </m:r>
            <m:r>
              <m:rPr>
                <m:sty m:val="p"/>
              </m:rPr>
              <m:t>O</m:t>
            </m:r>
            <m:r>
              <m:rPr>
                <m:sty m:val="p"/>
              </m:rPr>
              <m:t>T</m:t>
            </m:r>
          </m:sub>
        </m:sSub>
        <m:r>
          <m:rPr>
            <m:sty m:val="p"/>
          </m:rPr>
          <m:t>(</m:t>
        </m:r>
        <m:r>
          <m:t>d</m:t>
        </m:r>
        <m:r>
          <m:rPr>
            <m:sty m:val="p"/>
          </m:rPr>
          <m:t>)</m:t>
        </m:r>
        <m:r>
          <m:rPr>
            <m:sty m:val="p"/>
          </m:rPr>
          <m:t>=</m:t>
        </m:r>
        <m:sSub>
          <m:e>
            <m:r>
              <m:t>c</m:t>
            </m:r>
          </m:e>
          <m:sub>
            <m:r>
              <m:rPr>
                <m:sty m:val="p"/>
              </m:rPr>
              <m:t>H</m:t>
            </m:r>
            <m:r>
              <m:rPr>
                <m:sty m:val="p"/>
              </m:rPr>
              <m:t>O</m:t>
            </m:r>
            <m:r>
              <m:rPr>
                <m:sty m:val="p"/>
              </m:rPr>
              <m:t>T</m:t>
            </m:r>
          </m:sub>
        </m:sSub>
        <m:r>
          <m:rPr>
            <m:sty m:val="p"/>
          </m:rPr>
          <m:t>+</m:t>
        </m:r>
        <m:f>
          <m:fPr>
            <m:type m:val="bar"/>
          </m:fPr>
          <m:num>
            <m:r>
              <m:t>d</m:t>
            </m:r>
          </m:num>
          <m:den>
            <m:sSub>
              <m:e>
                <m:r>
                  <m:t>v</m:t>
                </m:r>
              </m:e>
              <m:sub>
                <m:r>
                  <m:rPr>
                    <m:sty m:val="p"/>
                  </m:rPr>
                  <m:t>H</m:t>
                </m:r>
                <m:r>
                  <m:rPr>
                    <m:sty m:val="p"/>
                  </m:rPr>
                  <m:t>O</m:t>
                </m:r>
                <m:r>
                  <m:rPr>
                    <m:sty m:val="p"/>
                  </m:rPr>
                  <m:t>T</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rPr>
                <m:sty m:val="p"/>
              </m:rPr>
              <m:t>H</m:t>
            </m:r>
            <m:r>
              <m:rPr>
                <m:sty m:val="p"/>
              </m:rPr>
              <m:t>O</m:t>
            </m:r>
            <m:r>
              <m:rPr>
                <m:sty m:val="p"/>
              </m:rPr>
              <m:t>T</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HOT, мс;</w:t>
      </w:r>
    </w:p>
    <w:p>
      <w:pPr>
        <w:pStyle w:val="Where"/>
      </w:pPr>
      <w:r>
        <w:tab/>
      </w:r>
      <m:oMath>
        <m:r>
          <m:t>d</m:t>
        </m:r>
      </m:oMath>
      <w:r>
        <w:t xml:space="preserve"> </w:t>
      </w:r>
      <w:r>
        <w:t xml:space="preserve">– объём одного чтения, МиБ;</w:t>
      </w:r>
    </w:p>
    <w:p>
      <w:pPr>
        <w:pStyle w:val="Where"/>
      </w:pPr>
      <w:r>
        <w:tab/>
      </w:r>
      <m:oMath>
        <m:sSub>
          <m:e>
            <m:r>
              <m:t>c</m:t>
            </m:r>
          </m:e>
          <m:sub>
            <m:r>
              <m:rPr>
                <m:sty m:val="p"/>
              </m:rPr>
              <m:t>H</m:t>
            </m:r>
            <m:r>
              <m:rPr>
                <m:sty m:val="p"/>
              </m:rPr>
              <m:t>O</m:t>
            </m:r>
            <m:r>
              <m:rPr>
                <m:sty m:val="p"/>
              </m:rPr>
              <m:t>T</m:t>
            </m:r>
          </m:sub>
        </m:sSub>
      </m:oMath>
      <w:r>
        <w:t xml:space="preserve"> </w:t>
      </w:r>
      <w:r>
        <w:t xml:space="preserve">– постоянная часть времени чтения в HOT, не зависящая от объёма, мс;</w:t>
      </w:r>
    </w:p>
    <w:p>
      <w:pPr>
        <w:pStyle w:val="Where"/>
      </w:pPr>
      <w:r>
        <w:tab/>
      </w:r>
      <m:oMath>
        <m:sSub>
          <m:e>
            <m:r>
              <m:t>v</m:t>
            </m:r>
          </m:e>
          <m:sub>
            <m:r>
              <m:rPr>
                <m:sty m:val="p"/>
              </m:rPr>
              <m:t>H</m:t>
            </m:r>
            <m:r>
              <m:rPr>
                <m:sty m:val="p"/>
              </m:rPr>
              <m:t>O</m:t>
            </m:r>
            <m:r>
              <m:rPr>
                <m:sty m:val="p"/>
              </m:rPr>
              <m:t>T</m:t>
            </m:r>
          </m:sub>
        </m:sSub>
      </m:oMath>
      <w:r>
        <w:t xml:space="preserve"> </w:t>
      </w:r>
      <w:r>
        <w:t xml:space="preserve">– скорость передачи данных в HOT, МиБ/мс.</w:t>
      </w:r>
    </w:p>
    <w:p>
      <w:pPr>
        <w:pStyle w:val="a2"/>
      </w:pPr>
      <w:r>
        <w:t xml:space="preserve">Для COLD используется формула (2.2) с параметрами COLD.</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rPr>
                <m:sty m:val="p"/>
              </m:rPr>
              <m:t>C</m:t>
            </m:r>
            <m:r>
              <m:rPr>
                <m:sty m:val="p"/>
              </m:rPr>
              <m:t>O</m:t>
            </m:r>
            <m:r>
              <m:rPr>
                <m:sty m:val="p"/>
              </m:rPr>
              <m:t>L</m:t>
            </m:r>
            <m:r>
              <m:rPr>
                <m:sty m:val="p"/>
              </m:rPr>
              <m:t>D</m:t>
            </m:r>
          </m:sub>
        </m:sSub>
        <m:r>
          <m:rPr>
            <m:sty m:val="p"/>
          </m:rPr>
          <m:t>(</m:t>
        </m:r>
        <m:r>
          <m:t>d</m:t>
        </m:r>
        <m:r>
          <m:rPr>
            <m:sty m:val="p"/>
          </m:rPr>
          <m:t>)</m:t>
        </m:r>
        <m:r>
          <m:rPr>
            <m:sty m:val="p"/>
          </m:rPr>
          <m:t>=</m:t>
        </m:r>
        <m:sSub>
          <m:e>
            <m:r>
              <m:t>c</m:t>
            </m:r>
          </m:e>
          <m:sub>
            <m:r>
              <m:rPr>
                <m:sty m:val="p"/>
              </m:rPr>
              <m:t>C</m:t>
            </m:r>
            <m:r>
              <m:rPr>
                <m:sty m:val="p"/>
              </m:rPr>
              <m:t>O</m:t>
            </m:r>
            <m:r>
              <m:rPr>
                <m:sty m:val="p"/>
              </m:rPr>
              <m:t>L</m:t>
            </m:r>
            <m:r>
              <m:rPr>
                <m:sty m:val="p"/>
              </m:rPr>
              <m:t>D</m:t>
            </m:r>
          </m:sub>
        </m:sSub>
        <m:r>
          <m:rPr>
            <m:sty m:val="p"/>
          </m:rPr>
          <m:t>+</m:t>
        </m:r>
        <m:f>
          <m:fPr>
            <m:type m:val="bar"/>
          </m:fPr>
          <m:num>
            <m:r>
              <m:t>d</m:t>
            </m:r>
          </m:num>
          <m:den>
            <m:sSub>
              <m:e>
                <m:r>
                  <m:t>v</m:t>
                </m:r>
              </m:e>
              <m:sub>
                <m:r>
                  <m:rPr>
                    <m:sty m:val="p"/>
                  </m:rPr>
                  <m:t>C</m:t>
                </m:r>
                <m:r>
                  <m:rPr>
                    <m:sty m:val="p"/>
                  </m:rPr>
                  <m:t>O</m:t>
                </m:r>
                <m:r>
                  <m:rPr>
                    <m:sty m:val="p"/>
                  </m:rPr>
                  <m:t>L</m:t>
                </m:r>
                <m:r>
                  <m:rPr>
                    <m:sty m:val="p"/>
                  </m:rPr>
                  <m:t>D</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Where"/>
      </w:pPr>
      <w:r>
        <w:t xml:space="preserve">где</w:t>
      </w:r>
      <w:r>
        <w:tab/>
      </w:r>
      <m:oMath>
        <m:sSub>
          <m:e>
            <m:r>
              <m:t>t</m:t>
            </m:r>
          </m:e>
          <m:sub>
            <m:r>
              <m:rPr>
                <m:sty m:val="p"/>
              </m:rPr>
              <m:t>C</m:t>
            </m:r>
            <m:r>
              <m:rPr>
                <m:sty m:val="p"/>
              </m:rPr>
              <m:t>O</m:t>
            </m:r>
            <m:r>
              <m:rPr>
                <m:sty m:val="p"/>
              </m:rPr>
              <m:t>L</m:t>
            </m:r>
            <m:r>
              <m:rPr>
                <m:sty m:val="p"/>
              </m:rPr>
              <m:t>D</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COLD, мс;</w:t>
      </w:r>
    </w:p>
    <w:p>
      <w:pPr>
        <w:pStyle w:val="Where"/>
      </w:pPr>
      <w:r>
        <w:tab/>
      </w:r>
      <m:oMath>
        <m:sSub>
          <m:e>
            <m:r>
              <m:t>c</m:t>
            </m:r>
          </m:e>
          <m:sub>
            <m:r>
              <m:rPr>
                <m:sty m:val="p"/>
              </m:rPr>
              <m:t>C</m:t>
            </m:r>
            <m:r>
              <m:rPr>
                <m:sty m:val="p"/>
              </m:rPr>
              <m:t>O</m:t>
            </m:r>
            <m:r>
              <m:rPr>
                <m:sty m:val="p"/>
              </m:rPr>
              <m:t>L</m:t>
            </m:r>
            <m:r>
              <m:rPr>
                <m:sty m:val="p"/>
              </m:rPr>
              <m:t>D</m:t>
            </m:r>
          </m:sub>
        </m:sSub>
      </m:oMath>
      <w:r>
        <w:t xml:space="preserve"> </w:t>
      </w:r>
      <w:r>
        <w:t xml:space="preserve">– постоянная часть времени чтения в COLD, мс;</w:t>
      </w:r>
    </w:p>
    <w:p>
      <w:pPr>
        <w:pStyle w:val="Where"/>
      </w:pPr>
      <w:r>
        <w:tab/>
      </w:r>
      <m:oMath>
        <m:sSub>
          <m:e>
            <m:r>
              <m:t>v</m:t>
            </m:r>
          </m:e>
          <m:sub>
            <m:r>
              <m:rPr>
                <m:sty m:val="p"/>
              </m:rPr>
              <m:t>C</m:t>
            </m:r>
            <m:r>
              <m:rPr>
                <m:sty m:val="p"/>
              </m:rPr>
              <m:t>O</m:t>
            </m:r>
            <m:r>
              <m:rPr>
                <m:sty m:val="p"/>
              </m:rPr>
              <m:t>L</m:t>
            </m:r>
            <m:r>
              <m:rPr>
                <m:sty m:val="p"/>
              </m:rPr>
              <m:t>D</m:t>
            </m:r>
          </m:sub>
        </m:sSub>
      </m:oMath>
      <w:r>
        <w:t xml:space="preserve"> </w:t>
      </w:r>
      <w:r>
        <w:t xml:space="preserve">– скорость передачи данных в COLD,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HOT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rPr>
                <m:sty m:val="p"/>
              </m:rPr>
              <m:t>H</m:t>
            </m:r>
            <m:r>
              <m:rPr>
                <m:sty m:val="p"/>
              </m:rPr>
              <m:t>O</m:t>
            </m:r>
            <m:r>
              <m:rPr>
                <m:sty m:val="p"/>
              </m:rPr>
              <m:t>T</m:t>
            </m:r>
          </m:sup>
        </m:sSubSup>
        <m:r>
          <m:rPr>
            <m:sty m:val="p"/>
          </m:rPr>
          <m:t>=</m:t>
        </m:r>
        <m:sSub>
          <m:e>
            <m:acc>
              <m:accPr>
                <m:chr m:val="̂"/>
              </m:accPr>
              <m:e>
                <m:r>
                  <m:t>N</m:t>
                </m:r>
              </m:e>
            </m:acc>
          </m:e>
          <m:sub>
            <m:r>
              <m:t>i</m:t>
            </m:r>
          </m:sub>
        </m:sSub>
        <m:r>
          <m:t> </m:t>
        </m:r>
        <m:sSub>
          <m:e>
            <m:r>
              <m:t>c</m:t>
            </m:r>
          </m:e>
          <m:sub>
            <m:r>
              <m:rPr>
                <m:sty m:val="p"/>
              </m:rPr>
              <m:t>H</m:t>
            </m:r>
            <m:r>
              <m:rPr>
                <m:sty m:val="p"/>
              </m:rPr>
              <m:t>O</m:t>
            </m:r>
            <m:r>
              <m:rPr>
                <m:sty m:val="p"/>
              </m:rPr>
              <m:t>T</m:t>
            </m:r>
          </m:sub>
        </m:sSub>
        <m:r>
          <m:rPr>
            <m:sty m:val="p"/>
          </m:rPr>
          <m:t>+</m:t>
        </m:r>
        <m:f>
          <m:fPr>
            <m:type m:val="bar"/>
          </m:fPr>
          <m:num>
            <m:sSub>
              <m:e>
                <m:acc>
                  <m:accPr>
                    <m:chr m:val="̂"/>
                  </m:accPr>
                  <m:e>
                    <m:r>
                      <m:t>D</m:t>
                    </m:r>
                  </m:e>
                </m:acc>
              </m:e>
              <m:sub>
                <m:r>
                  <m:t>i</m:t>
                </m:r>
              </m:sub>
            </m:sSub>
          </m:num>
          <m:den>
            <m:sSub>
              <m:e>
                <m:r>
                  <m:t>v</m:t>
                </m:r>
              </m:e>
              <m:sub>
                <m:r>
                  <m:rPr>
                    <m:sty m:val="p"/>
                  </m:rPr>
                  <m:t>H</m:t>
                </m:r>
                <m:r>
                  <m:rPr>
                    <m:sty m:val="p"/>
                  </m:rPr>
                  <m:t>O</m:t>
                </m:r>
                <m:r>
                  <m:rPr>
                    <m:sty m:val="p"/>
                  </m:rPr>
                  <m:t>T</m:t>
                </m:r>
              </m:sub>
            </m:sSub>
          </m:den>
        </m:f>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Sup>
          <m:e>
            <m:r>
              <m:t>L</m:t>
            </m:r>
          </m:e>
          <m:sub>
            <m:r>
              <m:t>i</m:t>
            </m:r>
          </m:sub>
          <m:sup>
            <m:r>
              <m:rPr>
                <m:sty m:val="p"/>
              </m:rPr>
              <m:t>H</m:t>
            </m:r>
            <m:r>
              <m:rPr>
                <m:sty m:val="p"/>
              </m:rPr>
              <m:t>O</m:t>
            </m:r>
            <m:r>
              <m:rPr>
                <m:sty m:val="p"/>
              </m:rPr>
              <m:t>T</m:t>
            </m:r>
          </m:sup>
        </m:sSubSup>
      </m:oMath>
      <w:r>
        <w:t xml:space="preserve"> </w:t>
      </w:r>
      <w:r>
        <w:t xml:space="preserve">– ожидаемая суммарная задержка чтений объекта</w:t>
      </w:r>
      <w:r>
        <w:t xml:space="preserve"> </w:t>
      </w:r>
      <m:oMath>
        <m:r>
          <m:t>i</m:t>
        </m:r>
      </m:oMath>
      <w:r>
        <w:t xml:space="preserve"> </w:t>
      </w:r>
      <w:r>
        <w:t xml:space="preserve">в HOT за горизонт, мс;</w:t>
      </w:r>
    </w:p>
    <w:p>
      <w:pPr>
        <w:pStyle w:val="Where"/>
      </w:pPr>
      <w:r>
        <w:tab/>
      </w:r>
      <m:oMath>
        <m:sSub>
          <m:e>
            <m:acc>
              <m:accPr>
                <m:chr m:val="̂"/>
              </m:accPr>
              <m:e>
                <m:r>
                  <m:t>N</m:t>
                </m:r>
              </m:e>
            </m:acc>
          </m:e>
          <m:sub>
            <m:r>
              <m:t>i</m:t>
            </m:r>
          </m:sub>
        </m:sSub>
      </m:oMath>
      <w:r>
        <w:t xml:space="preserve"> </w:t>
      </w:r>
      <w:r>
        <w:t xml:space="preserve">– прогноз числа чтений объекта за горизонт (Таблица 2.1);</w:t>
      </w:r>
    </w:p>
    <w:p>
      <w:pPr>
        <w:pStyle w:val="Where"/>
      </w:pPr>
      <w:r>
        <w:tab/>
      </w:r>
      <m:oMath>
        <m:sSub>
          <m:e>
            <m:acc>
              <m:accPr>
                <m:chr m:val="̂"/>
              </m:accPr>
              <m:e>
                <m:r>
                  <m:t>D</m:t>
                </m:r>
              </m:e>
            </m:acc>
          </m:e>
          <m:sub>
            <m:r>
              <m:t>i</m:t>
            </m:r>
          </m:sub>
        </m:sSub>
      </m:oMath>
      <w:r>
        <w:t xml:space="preserve"> </w:t>
      </w:r>
      <w:r>
        <w:t xml:space="preserve">– прогноз прочитанного объёма объекта за горизонт, МиБ (Таблица 2.1).</w:t>
      </w:r>
    </w:p>
    <w:p>
      <w:pPr>
        <w:pStyle w:val="a2"/>
      </w:pPr>
      <w:r>
        <w:t xml:space="preserve">Для COLD задержка определяется аналогично по формуле (2.4).</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rPr>
                <m:sty m:val="p"/>
              </m:rPr>
              <m:t>C</m:t>
            </m:r>
            <m:r>
              <m:rPr>
                <m:sty m:val="p"/>
              </m:rPr>
              <m:t>O</m:t>
            </m:r>
            <m:r>
              <m:rPr>
                <m:sty m:val="p"/>
              </m:rPr>
              <m:t>L</m:t>
            </m:r>
            <m:r>
              <m:rPr>
                <m:sty m:val="p"/>
              </m:rPr>
              <m:t>D</m:t>
            </m:r>
          </m:sup>
        </m:sSubSup>
        <m:r>
          <m:rPr>
            <m:sty m:val="p"/>
          </m:rPr>
          <m:t>=</m:t>
        </m:r>
        <m:sSub>
          <m:e>
            <m:acc>
              <m:accPr>
                <m:chr m:val="̂"/>
              </m:accPr>
              <m:e>
                <m:r>
                  <m:t>N</m:t>
                </m:r>
              </m:e>
            </m:acc>
          </m:e>
          <m:sub>
            <m:r>
              <m:t>i</m:t>
            </m:r>
          </m:sub>
        </m:sSub>
        <m:r>
          <m:t> </m:t>
        </m:r>
        <m:sSub>
          <m:e>
            <m:r>
              <m:t>c</m:t>
            </m:r>
          </m:e>
          <m:sub>
            <m:r>
              <m:rPr>
                <m:sty m:val="p"/>
              </m:rPr>
              <m:t>C</m:t>
            </m:r>
            <m:r>
              <m:rPr>
                <m:sty m:val="p"/>
              </m:rPr>
              <m:t>O</m:t>
            </m:r>
            <m:r>
              <m:rPr>
                <m:sty m:val="p"/>
              </m:rPr>
              <m:t>L</m:t>
            </m:r>
            <m:r>
              <m:rPr>
                <m:sty m:val="p"/>
              </m:rPr>
              <m:t>D</m:t>
            </m:r>
          </m:sub>
        </m:sSub>
        <m:r>
          <m:rPr>
            <m:sty m:val="p"/>
          </m:rPr>
          <m:t>+</m:t>
        </m:r>
        <m:f>
          <m:fPr>
            <m:type m:val="bar"/>
          </m:fPr>
          <m:num>
            <m:sSub>
              <m:e>
                <m:acc>
                  <m:accPr>
                    <m:chr m:val="̂"/>
                  </m:accPr>
                  <m:e>
                    <m:r>
                      <m:t>D</m:t>
                    </m:r>
                  </m:e>
                </m:acc>
              </m:e>
              <m:sub>
                <m:r>
                  <m:t>i</m:t>
                </m:r>
              </m:sub>
            </m:sSub>
          </m:num>
          <m:den>
            <m:sSub>
              <m:e>
                <m:r>
                  <m:t>v</m:t>
                </m:r>
              </m:e>
              <m:sub>
                <m:r>
                  <m:rPr>
                    <m:sty m:val="p"/>
                  </m:rPr>
                  <m:t>C</m:t>
                </m:r>
                <m:r>
                  <m:rPr>
                    <m:sty m:val="p"/>
                  </m:rPr>
                  <m:t>O</m:t>
                </m:r>
                <m:r>
                  <m:rPr>
                    <m:sty m:val="p"/>
                  </m:rPr>
                  <m:t>L</m:t>
                </m:r>
                <m:r>
                  <m:rPr>
                    <m:sty m:val="p"/>
                  </m:rPr>
                  <m:t>D</m:t>
                </m:r>
              </m:sub>
            </m:sSub>
          </m:den>
        </m:f>
        <m:r>
          <m:rPr>
            <m:sty m:val="p"/>
          </m:rPr>
          <m:t>,</m:t>
        </m:r>
      </m:oMath>
      <w:r>
        <w:tab/>
      </w:r>
      <w:r>
        <w:rPr>
          <w:rFonts w:ascii="Times New Roman" w:hAnsi="Times New Roman" w:cs="Times New Roman" w:eastAsia="Times New Roman"/>
          <w:b w:val="0"/>
          <w:bCs w:val="0"/>
          <w:i w:val="0"/>
          <w:iCs w:val="0"/>
          <w:color w:val="000000"/>
          <w:sz w:val="28"/>
          <w:szCs w:val="28"/>
        </w:rPr>
        <w:t>(2.4)</w:t>
      </w:r>
    </w:p>
    <w:p>
      <w:pPr>
        <w:pStyle w:val="Where"/>
      </w:pPr>
      <w:r>
        <w:t xml:space="preserve">где</w:t>
      </w:r>
      <w:r>
        <w:tab/>
      </w:r>
      <m:oMath>
        <m:sSubSup>
          <m:e>
            <m:r>
              <m:t>L</m:t>
            </m:r>
          </m:e>
          <m:sub>
            <m:r>
              <m:t>i</m:t>
            </m:r>
          </m:sub>
          <m:sup>
            <m:r>
              <m:rPr>
                <m:sty m:val="p"/>
              </m:rPr>
              <m:t>C</m:t>
            </m:r>
            <m:r>
              <m:rPr>
                <m:sty m:val="p"/>
              </m:rPr>
              <m:t>O</m:t>
            </m:r>
            <m:r>
              <m:rPr>
                <m:sty m:val="p"/>
              </m:rPr>
              <m:t>L</m:t>
            </m:r>
            <m:r>
              <m:rPr>
                <m:sty m:val="p"/>
              </m:rPr>
              <m:t>D</m:t>
            </m:r>
          </m:sup>
        </m:sSubSup>
      </m:oMath>
      <w:r>
        <w:t xml:space="preserve"> </w:t>
      </w:r>
      <w:r>
        <w:t xml:space="preserve">– ожидаемая суммарная задержка чтений объекта</w:t>
      </w:r>
      <w:r>
        <w:t xml:space="preserve"> </w:t>
      </w:r>
      <m:oMath>
        <m:r>
          <m:t>i</m:t>
        </m:r>
      </m:oMath>
      <w:r>
        <w:t xml:space="preserve"> </w:t>
      </w:r>
      <w:r>
        <w:t xml:space="preserve">в COLD за горизонт, мс.</w:t>
      </w:r>
    </w:p>
    <w:p>
      <w:pPr>
        <w:pStyle w:val="a2"/>
      </w:pPr>
      <w:r>
        <w:t xml:space="preserve">Выигрыш от размещения объекта в HOT равен разности задержек (2.4) и (2.3) и вычисляется по формуле (2.5).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(2.5)</w:t>
      </w:r>
    </w:p>
    <w:p>
      <w:pPr>
        <w:pStyle w:val="Where"/>
      </w:pPr>
      <w:r>
        <w:t xml:space="preserve">где</w:t>
      </w:r>
      <w:r>
        <w:tab/>
      </w:r>
      <m:oMath>
        <m:sSub>
          <m:e>
            <m:r>
              <m:rPr>
                <m:sty m:val="p"/>
              </m:rPr>
              <m:t>Δ</m:t>
            </m:r>
          </m:e>
          <m:sub>
            <m:r>
              <m:t>i</m:t>
            </m:r>
          </m:sub>
        </m:sSub>
      </m:oMath>
      <w:r>
        <w:t xml:space="preserve"> </w:t>
      </w:r>
      <w:r>
        <w:t xml:space="preserve">– выигрыш от размещения объекта</w:t>
      </w:r>
      <w:r>
        <w:t xml:space="preserve"> </w:t>
      </w:r>
      <m:oMath>
        <m:r>
          <m:t>i</m:t>
        </m:r>
      </m:oMath>
      <w:r>
        <w:t xml:space="preserve"> </w:t>
      </w:r>
      <w:r>
        <w:t xml:space="preserve">в HOT, то есть уменьшение его суммарной задержки за горизонт,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r>
          <m:t>h</m:t>
        </m:r>
      </m:oMath>
      <w:r>
        <w:t xml:space="preserve"> </w:t>
      </w:r>
      <w:r>
        <w:t xml:space="preserve">– план, то есть вектор решений</w:t>
      </w:r>
      <w:r>
        <w:t xml:space="preserve"> </w:t>
      </w:r>
      <m:oMath>
        <m:sSub>
          <m:e>
            <m:r>
              <m:t>h</m:t>
            </m:r>
          </m:e>
          <m:sub>
            <m:r>
              <m:t>i</m:t>
            </m:r>
          </m:sub>
        </m:sSub>
      </m:oMath>
      <w:r>
        <w:t xml:space="preserve"> </w:t>
      </w:r>
      <w:r>
        <w:t xml:space="preserve">по всем объектам</w:t>
      </w:r>
      <w:r>
        <w:t xml:space="preserve"> </w:t>
      </w:r>
      <m:oMath>
        <m:r>
          <m:t>I</m:t>
        </m:r>
      </m:oMath>
      <w:r>
        <w:t xml:space="preserve">;</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Where"/>
      </w:pPr>
      <w:r>
        <w:tab/>
      </w:r>
      <m:oMath>
        <m:r>
          <m:t>P</m:t>
        </m:r>
      </m:oMath>
      <w:r>
        <w:t xml:space="preserve"> </w:t>
      </w:r>
      <w:r>
        <w:t xml:space="preserve">– штраф за перенос 1 МиБ, мс/МиБ.</w:t>
      </w:r>
    </w:p>
    <w:p>
      <w:pPr>
        <w:pStyle w:val="a2"/>
      </w:pPr>
      <w:r>
        <w:t xml:space="preserve">Первая сумма – выигрыш объектов в HOT. Вторая сумма – объём копирования переносимых объектов, а вводимый в работе штраф</w:t>
      </w:r>
      <w:r>
        <w:t xml:space="preserve"> </w:t>
      </w:r>
      <m:oMath>
        <m:r>
          <m:t>P</m:t>
        </m:r>
      </m:oMath>
      <w:r>
        <w:t xml:space="preserve"> </w:t>
      </w:r>
      <w:r>
        <w:t xml:space="preserve">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t>s</m:t>
                </m:r>
              </m:e>
              <m:sub>
                <m:r>
                  <m:t>i</m:t>
                </m:r>
              </m:sub>
            </m:sSub>
          </m:e>
        </m:nary>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Sup>
          <m:e>
            <m:r>
              <m:t>S</m:t>
            </m:r>
          </m:e>
          <m:sub>
            <m:r>
              <m:rPr>
                <m:sty m:val="p"/>
              </m:rPr>
              <m:t>H</m:t>
            </m:r>
            <m:r>
              <m:rPr>
                <m:sty m:val="p"/>
              </m:rPr>
              <m:t>O</m:t>
            </m:r>
            <m:r>
              <m:rPr>
                <m:sty m:val="p"/>
              </m:rPr>
              <m:t>T</m:t>
            </m:r>
          </m:sub>
          <m:sup>
            <m:r>
              <m:rPr>
                <m:sty m:val="p"/>
              </m:rPr>
              <m:t>o</m:t>
            </m:r>
            <m:r>
              <m:rPr>
                <m:sty m:val="p"/>
              </m:rPr>
              <m:t>l</m:t>
            </m:r>
            <m:r>
              <m:rPr>
                <m:sty m:val="p"/>
              </m:rPr>
              <m:t>d</m:t>
            </m:r>
          </m:sup>
        </m:sSubSup>
        <m:r>
          <m:rPr>
            <m:sty m:val="p"/>
          </m:rPr>
          <m:t>≤</m:t>
        </m:r>
        <m:sSub>
          <m:e>
            <m:r>
              <m:t>u</m:t>
            </m:r>
          </m:e>
          <m:sub>
            <m:r>
              <m:rPr>
                <m:sty m:val="p"/>
              </m:rPr>
              <m:t>H</m:t>
            </m:r>
            <m:r>
              <m:rPr>
                <m:sty m:val="p"/>
              </m:rPr>
              <m:t>O</m:t>
            </m:r>
            <m:r>
              <m:rPr>
                <m:sty m:val="p"/>
              </m:rPr>
              <m:t>T</m:t>
            </m:r>
          </m:sub>
        </m:sSub>
        <m:sSub>
          <m:e>
            <m:r>
              <m:t>C</m:t>
            </m:r>
          </m:e>
          <m:sub>
            <m:r>
              <m:rPr>
                <m:sty m:val="p"/>
              </m:rPr>
              <m:t>H</m:t>
            </m:r>
            <m:r>
              <m:rPr>
                <m:sty m:val="p"/>
              </m:rPr>
              <m:t>O</m:t>
            </m:r>
            <m:r>
              <m:rPr>
                <m:sty m:val="p"/>
              </m:rPr>
              <m:t>T</m:t>
            </m:r>
          </m:sub>
        </m:sSub>
        <m:r>
          <m:rPr>
            <m:sty m:val="p"/>
          </m:rPr>
          <m:t>,</m:t>
        </m:r>
      </m:oMath>
      <w:r>
        <w:tab/>
      </w:r>
      <w:r>
        <w:rPr>
          <w:rFonts w:ascii="Times New Roman" w:hAnsi="Times New Roman" w:cs="Times New Roman" w:eastAsia="Times New Roman"/>
          <w:b w:val="0"/>
          <w:bCs w:val="0"/>
          <w:i w:val="0"/>
          <w:iCs w:val="0"/>
          <w:color w:val="000000"/>
          <w:sz w:val="28"/>
          <w:szCs w:val="28"/>
        </w:rPr>
        <w:t>(2.7)</w:t>
      </w:r>
    </w:p>
    <w:p>
      <w:pPr>
        <w:pStyle w:val="Where"/>
      </w:pPr>
      <w:r>
        <w:t xml:space="preserve">где</w:t>
      </w:r>
      <w:r>
        <w:tab/>
      </w:r>
      <m:oMath>
        <m:sSubSup>
          <m:e>
            <m:r>
              <m:t>S</m:t>
            </m:r>
          </m:e>
          <m:sub>
            <m:r>
              <m:rPr>
                <m:sty m:val="p"/>
              </m:rPr>
              <m:t>H</m:t>
            </m:r>
            <m:r>
              <m:rPr>
                <m:sty m:val="p"/>
              </m:rPr>
              <m:t>O</m:t>
            </m:r>
            <m:r>
              <m:rPr>
                <m:sty m:val="p"/>
              </m:rPr>
              <m:t>T</m:t>
            </m:r>
          </m:sub>
          <m:sup>
            <m:r>
              <m:rPr>
                <m:sty m:val="p"/>
              </m:rPr>
              <m:t>t</m:t>
            </m:r>
            <m:r>
              <m:rPr>
                <m:sty m:val="p"/>
              </m:rPr>
              <m:t>m</m:t>
            </m:r>
            <m:r>
              <m:rPr>
                <m:sty m:val="p"/>
              </m:rPr>
              <m:t>p</m:t>
            </m:r>
          </m:sup>
        </m:sSubSup>
      </m:oMath>
      <w:r>
        <w:t xml:space="preserve"> </w:t>
      </w:r>
      <w:r>
        <w:t xml:space="preserve">– объём временных копий в HOT, МиБ;</w:t>
      </w:r>
    </w:p>
    <w:p>
      <w:pPr>
        <w:pStyle w:val="Where"/>
      </w:pPr>
      <w:r>
        <w:tab/>
      </w:r>
      <m:oMath>
        <m:sSubSup>
          <m:e>
            <m:r>
              <m:t>S</m:t>
            </m:r>
          </m:e>
          <m:sub>
            <m:r>
              <m:rPr>
                <m:sty m:val="p"/>
              </m:rPr>
              <m:t>H</m:t>
            </m:r>
            <m:r>
              <m:rPr>
                <m:sty m:val="p"/>
              </m:rPr>
              <m:t>O</m:t>
            </m:r>
            <m:r>
              <m:rPr>
                <m:sty m:val="p"/>
              </m:rPr>
              <m:t>T</m:t>
            </m:r>
          </m:sub>
          <m:sup>
            <m:r>
              <m:rPr>
                <m:sty m:val="p"/>
              </m:rPr>
              <m:t>o</m:t>
            </m:r>
            <m:r>
              <m:rPr>
                <m:sty m:val="p"/>
              </m:rPr>
              <m:t>l</m:t>
            </m:r>
            <m:r>
              <m:rPr>
                <m:sty m:val="p"/>
              </m:rPr>
              <m:t>d</m:t>
            </m:r>
          </m:sup>
        </m:sSubSup>
      </m:oMath>
      <w:r>
        <w:t xml:space="preserve"> </w:t>
      </w:r>
      <w:r>
        <w:t xml:space="preserve">– объём предыдущих версий в HOT, МиБ;</w:t>
      </w:r>
    </w:p>
    <w:p>
      <w:pPr>
        <w:pStyle w:val="Where"/>
      </w:pPr>
      <w:r>
        <w:tab/>
      </w:r>
      <m:oMath>
        <m:sSub>
          <m:e>
            <m:r>
              <m:t>u</m:t>
            </m:r>
          </m:e>
          <m:sub>
            <m:r>
              <m:rPr>
                <m:sty m:val="p"/>
              </m:rPr>
              <m:t>H</m:t>
            </m:r>
            <m:r>
              <m:rPr>
                <m:sty m:val="p"/>
              </m:rPr>
              <m:t>O</m:t>
            </m:r>
            <m:r>
              <m:rPr>
                <m:sty m:val="p"/>
              </m:rPr>
              <m:t>T</m:t>
            </m:r>
          </m:sub>
        </m:sSub>
      </m:oMath>
      <w:r>
        <w:t xml:space="preserve"> </w:t>
      </w:r>
      <w:r>
        <w:t xml:space="preserve">– допустимая доля занятости HOT;</w:t>
      </w:r>
    </w:p>
    <w:p>
      <w:pPr>
        <w:pStyle w:val="Where"/>
      </w:pPr>
      <w:r>
        <w:tab/>
      </w:r>
      <m:oMath>
        <m:sSub>
          <m:e>
            <m:r>
              <m:t>C</m:t>
            </m:r>
          </m:e>
          <m:sub>
            <m:r>
              <m:rPr>
                <m:sty m:val="p"/>
              </m:rPr>
              <m:t>H</m:t>
            </m:r>
            <m:r>
              <m:rPr>
                <m:sty m:val="p"/>
              </m:rPr>
              <m:t>O</m:t>
            </m:r>
            <m:r>
              <m:rPr>
                <m:sty m:val="p"/>
              </m:rPr>
              <m:t>T</m:t>
            </m:r>
          </m:sub>
        </m:sSub>
      </m:oMath>
      <w:r>
        <w:t xml:space="preserve"> </w:t>
      </w:r>
      <w:r>
        <w:t xml:space="preserve">– ёмкость HOT, МиБ.</w:t>
      </w:r>
    </w:p>
    <w:p>
      <w:pPr>
        <w:pStyle w:val="a2"/>
      </w:pPr>
      <w:r>
        <w:t xml:space="preserve">Временные копии – это целевые копии выполняемых переносов, источники до удаления и неудалённые копии, учтённые в Metadata. Для COLD действует условие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C</m:t>
                </m:r>
                <m:r>
                  <m:rPr>
                    <m:sty m:val="p"/>
                  </m:rPr>
                  <m:t>O</m:t>
                </m:r>
                <m:r>
                  <m:rPr>
                    <m:sty m:val="p"/>
                  </m:rPr>
                  <m:t>L</m:t>
                </m:r>
                <m:r>
                  <m:rPr>
                    <m:sty m:val="p"/>
                  </m:rPr>
                  <m:t>D</m:t>
                </m:r>
              </m:sub>
            </m:sSub>
          </m:sub>
          <m:sup>
            <m:r>
              <m:t>​</m:t>
            </m:r>
          </m:sup>
          <m:e>
            <m:sSub>
              <m:e>
                <m:r>
                  <m:t>s</m:t>
                </m:r>
              </m:e>
              <m:sub>
                <m:r>
                  <m:t>i</m:t>
                </m:r>
              </m:sub>
            </m:sSub>
          </m:e>
        </m:nary>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r>
          <m:rPr>
            <m:sty m:val="p"/>
          </m:rPr>
          <m:t>≤</m:t>
        </m:r>
        <m:sSub>
          <m:e>
            <m:r>
              <m:t>u</m:t>
            </m:r>
          </m:e>
          <m:sub>
            <m:r>
              <m:rPr>
                <m:sty m:val="p"/>
              </m:rPr>
              <m:t>C</m:t>
            </m:r>
            <m:r>
              <m:rPr>
                <m:sty m:val="p"/>
              </m:rPr>
              <m:t>O</m:t>
            </m:r>
            <m:r>
              <m:rPr>
                <m:sty m:val="p"/>
              </m:rPr>
              <m:t>L</m:t>
            </m:r>
            <m:r>
              <m:rPr>
                <m:sty m:val="p"/>
              </m:rPr>
              <m:t>D</m:t>
            </m:r>
          </m:sub>
        </m:sSub>
        <m:sSub>
          <m:e>
            <m:r>
              <m:t>C</m:t>
            </m:r>
          </m:e>
          <m:sub>
            <m:r>
              <m:rPr>
                <m:sty m:val="p"/>
              </m:rPr>
              <m:t>C</m:t>
            </m:r>
            <m:r>
              <m:rPr>
                <m:sty m:val="p"/>
              </m:rPr>
              <m:t>O</m:t>
            </m:r>
            <m:r>
              <m:rPr>
                <m:sty m:val="p"/>
              </m:rPr>
              <m:t>L</m:t>
            </m:r>
            <m:r>
              <m:rPr>
                <m:sty m:val="p"/>
              </m:rPr>
              <m:t>D</m:t>
            </m:r>
          </m:sub>
        </m:sSub>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I</m:t>
            </m:r>
          </m:e>
          <m:sub>
            <m:r>
              <m:rPr>
                <m:sty m:val="p"/>
              </m:rPr>
              <m:t>C</m:t>
            </m:r>
            <m:r>
              <m:rPr>
                <m:sty m:val="p"/>
              </m:rPr>
              <m:t>O</m:t>
            </m:r>
            <m:r>
              <m:rPr>
                <m:sty m:val="p"/>
              </m:rPr>
              <m:t>L</m:t>
            </m:r>
            <m:r>
              <m:rPr>
                <m:sty m:val="p"/>
              </m:rPr>
              <m:t>D</m:t>
            </m:r>
          </m:sub>
        </m:sSub>
      </m:oMath>
      <w:r>
        <w:t xml:space="preserve"> </w:t>
      </w:r>
      <w:r>
        <w:t xml:space="preserve">– множество объектов, размещённых по плану в COLD;</w:t>
      </w:r>
    </w:p>
    <w:p>
      <w:pPr>
        <w:pStyle w:val="Where"/>
      </w:pPr>
      <w:r>
        <w:tab/>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r>
        <w:t xml:space="preserve"> </w:t>
      </w:r>
      <w:r>
        <w:t xml:space="preserve">– объём временных копий в COLD, МиБ;</w:t>
      </w:r>
    </w:p>
    <w:p>
      <w:pPr>
        <w:pStyle w:val="Where"/>
      </w:pPr>
      <w:r>
        <w:tab/>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r>
        <w:t xml:space="preserve"> </w:t>
      </w:r>
      <w:r>
        <w:t xml:space="preserve">– объём предыдущих версий в COLD, МиБ;</w:t>
      </w:r>
    </w:p>
    <w:p>
      <w:pPr>
        <w:pStyle w:val="Where"/>
      </w:pPr>
      <w:r>
        <w:tab/>
      </w:r>
      <m:oMath>
        <m:sSub>
          <m:e>
            <m:r>
              <m:t>u</m:t>
            </m:r>
          </m:e>
          <m:sub>
            <m:r>
              <m:rPr>
                <m:sty m:val="p"/>
              </m:rPr>
              <m:t>C</m:t>
            </m:r>
            <m:r>
              <m:rPr>
                <m:sty m:val="p"/>
              </m:rPr>
              <m:t>O</m:t>
            </m:r>
            <m:r>
              <m:rPr>
                <m:sty m:val="p"/>
              </m:rPr>
              <m:t>L</m:t>
            </m:r>
            <m:r>
              <m:rPr>
                <m:sty m:val="p"/>
              </m:rPr>
              <m:t>D</m:t>
            </m:r>
          </m:sub>
        </m:sSub>
      </m:oMath>
      <w:r>
        <w:t xml:space="preserve"> </w:t>
      </w:r>
      <w:r>
        <w:t xml:space="preserve">– допустимая доля занятости COLD;</w:t>
      </w:r>
    </w:p>
    <w:p>
      <w:pPr>
        <w:pStyle w:val="Where"/>
      </w:pPr>
      <w:r>
        <w:tab/>
      </w:r>
      <m:oMath>
        <m:sSub>
          <m:e>
            <m:r>
              <m:t>C</m:t>
            </m:r>
          </m:e>
          <m:sub>
            <m:r>
              <m:rPr>
                <m:sty m:val="p"/>
              </m:rPr>
              <m:t>C</m:t>
            </m:r>
            <m:r>
              <m:rPr>
                <m:sty m:val="p"/>
              </m:rPr>
              <m:t>O</m:t>
            </m:r>
            <m:r>
              <m:rPr>
                <m:sty m:val="p"/>
              </m:rPr>
              <m:t>L</m:t>
            </m:r>
            <m:r>
              <m:rPr>
                <m:sty m:val="p"/>
              </m:rPr>
              <m:t>D</m:t>
            </m:r>
          </m:sub>
        </m:sSub>
      </m:oMath>
      <w:r>
        <w:t xml:space="preserve"> </w:t>
      </w:r>
      <w:r>
        <w:t xml:space="preserve">– ёмкость COLD, МиБ.</w:t>
      </w:r>
    </w:p>
    <w:p>
      <w:pPr>
        <w:pStyle w:val="a2"/>
      </w:pPr>
      <w:r>
        <w:t xml:space="preserve">Объём копирования за цикл ограничен бюджетом из раздела 1.3.5 пояснительной записки по условию (2.9).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(2.9)</w:t>
      </w:r>
    </w:p>
    <w:p>
      <w:pPr>
        <w:pStyle w:val="Where"/>
      </w:pPr>
      <w:r>
        <w:t xml:space="preserve">где</w:t>
      </w:r>
      <w:r>
        <w:tab/>
      </w:r>
      <m:oMath>
        <m:r>
          <m:t>B</m:t>
        </m:r>
      </m:oMath>
      <w:r>
        <w:t xml:space="preserve"> </w:t>
      </w:r>
      <w:r>
        <w:t xml:space="preserve">– остаток бюджета копирования на цикл за вычетом выполняемых переносов и неуспешных попыток, МиБ.</w:t>
      </w:r>
    </w:p>
    <w:p>
      <w:pPr>
        <w:pStyle w:val="a2"/>
      </w:pPr>
      <w:r>
        <w:t xml:space="preserve">Порог</w:t>
      </w:r>
      <w:r>
        <w:t xml:space="preserve"> </w:t>
      </w:r>
      <m:oMath>
        <m:sSub>
          <m:e>
            <m:r>
              <m:rPr>
                <m:sty m:val="p"/>
              </m:rPr>
              <m:t>Δ</m:t>
            </m:r>
          </m:e>
          <m:sub>
            <m:r>
              <m:rPr>
                <m:sty m:val="p"/>
              </m:rPr>
              <m:t>min</m:t>
            </m:r>
          </m:sub>
        </m:sSub>
      </m:oMath>
      <w:r>
        <w:t xml:space="preserve"> </w:t>
      </w:r>
      <w:r>
        <w:t xml:space="preserve">вводится в работе и в целевую функцию не входит: алгоритм принимает набор переносов, только если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w:t>
      </w:r>
    </w:p>
    <w:p>
      <w:pPr>
        <w:pStyle w:val="a2"/>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(2.5)–(2.9) обеспечивают ранжирование рекомендаций и основу объяснения эффекта, то есть функциональные требования F-05 и F-06.</w:t>
      </w:r>
    </w:p>
    <w:bookmarkEnd w:id="56"/>
    <w:bookmarkStart w:id="61" w:name="модель-прогнозирования-востребованности"/>
    <w:p>
      <w:pPr>
        <w:pStyle w:val="30"/>
      </w:pPr>
      <w:bookmarkStart w:id="193" w:name="GOSTHeading193"/>
      <w:r>
        <w:t xml:space="preserve">2.1.2 Модель прогнозирования востребованности</w:t>
      </w:r>
      <w:bookmarkEnd w:id="193"/>
    </w:p>
    <w:p>
      <w:pPr>
        <w:pStyle w:val="FirstParagraph"/>
      </w:pPr>
      <w:r>
        <w:t xml:space="preserve">Выигрыш (2.5) пропорционален числу чтений, а на коротком горизонте у большинства объектов чтений нет.</w:t>
      </w:r>
    </w:p>
    <w:p>
      <w:pPr>
        <w:pStyle w:val="a2"/>
        <w:keepNext w:val="1"/>
      </w:pPr>
      <w:r>
        <w:t xml:space="preserve">Поэтому используется двухэтапная модель с барьером (англ. Hurdle Model) [30], показанная на Рисунке 2.1.</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w:t>
      </w:r>
    </w:p>
    <w:p>
      <w:pPr>
        <w:pStyle w:val="a2"/>
      </w:pPr>
      <w:r>
        <w:t xml:space="preserve">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k</m:t>
        </m:r>
      </m:oMath>
      <w:r>
        <w:t xml:space="preserve"> </w:t>
      </w:r>
      <w:r>
        <w:t xml:space="preserve">– номер шага бустинга;</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(2.10);</w:t>
      </w:r>
    </w:p>
    <w:p>
      <w:pPr>
        <w:pStyle w:val="Where"/>
      </w:pPr>
      <w:r>
        <w:tab/>
      </w:r>
      <m:oMath>
        <m:sSub>
          <m:e>
            <m:r>
              <m:t>x</m:t>
            </m:r>
          </m:e>
          <m:sub>
            <m:r>
              <m:t>i</m:t>
            </m:r>
          </m:sub>
        </m:sSub>
      </m:oMath>
      <w:r>
        <w:t xml:space="preserve"> </w:t>
      </w:r>
      <w:r>
        <w:t xml:space="preserve">– вектор признаков объекта</w:t>
      </w:r>
      <w:r>
        <w:t xml:space="preserve"> </w:t>
      </w:r>
      <m:oMath>
        <m:r>
          <m:t>i</m:t>
        </m:r>
      </m:oMath>
      <w:r>
        <w:t xml:space="preserve">.</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(2.10).</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(2.13)</w:t>
      </w:r>
    </w:p>
    <w:p>
      <w:pPr>
        <w:pStyle w:val="Where"/>
      </w:pPr>
      <w:r>
        <w:t xml:space="preserve">где</w:t>
      </w:r>
      <w:r>
        <w:tab/>
      </w:r>
      <m:oMath>
        <m:sSub>
          <m:e>
            <m:acc>
              <m:accPr>
                <m:chr m:val="̂"/>
              </m:accPr>
              <m:e>
                <m:r>
                  <m:t>N</m:t>
                </m:r>
              </m:e>
            </m:acc>
          </m:e>
          <m:sub>
            <m:r>
              <m:t>i</m:t>
            </m:r>
          </m:sub>
        </m:sSub>
      </m:oMath>
      <w:r>
        <w:t xml:space="preserve"> </w:t>
      </w:r>
      <w:r>
        <w:t xml:space="preserve">– прогноз числа чтений объекта</w:t>
      </w:r>
      <w:r>
        <w:t xml:space="preserve"> </w:t>
      </w:r>
      <m:oMath>
        <m:r>
          <m:t>i</m:t>
        </m:r>
      </m:oMath>
      <w:r>
        <w:t xml:space="preserve"> </w:t>
      </w:r>
      <w:r>
        <w:t xml:space="preserve">за горизонт (Таблица 2.1).</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Прогноз регрессора задаётся формулой (2.14) с логарифмической связью, принятой для пуассоновской регрессии [32], [33].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w:t>
      </w:r>
    </w:p>
    <w:p>
      <w:pPr>
        <w:pStyle w:val="a2"/>
      </w:pPr>
      <w:r>
        <w:t xml:space="preserve">Из формул (2.12) и (2.14) следует</w:t>
      </w:r>
      <w:r>
        <w:t xml:space="preserve"> </w:t>
      </w:r>
      <m:oMath>
        <m:acc>
          <m:accPr>
            <m:chr m:val="̂"/>
          </m:accPr>
          <m:e>
            <m:r>
              <m:t>y</m:t>
            </m:r>
          </m:e>
        </m:acc>
        <m:r>
          <m:rPr>
            <m:sty m:val="p"/>
          </m:rPr>
          <m:t>=</m:t>
        </m:r>
        <m:sSub>
          <m:e>
            <m:r>
              <m:t>m</m:t>
            </m:r>
          </m:e>
          <m:sub>
            <m:r>
              <m:t>i</m:t>
            </m:r>
          </m:sub>
        </m:sSub>
        <m:r>
          <m:rPr>
            <m:sty m:val="p"/>
          </m:rPr>
          <m:t>−</m:t>
        </m:r>
        <m:r>
          <m:t>1</m:t>
        </m:r>
      </m:oMath>
      <w:r>
        <w:t xml:space="preserve">. Регрессор обучается с функцией потерь Пуассона [32], [33], заданной формулой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Where"/>
      </w:pPr>
      <w:r>
        <w:tab/>
      </w:r>
      <m:oMath>
        <m:acc>
          <m:accPr>
            <m:chr m:val="̂"/>
          </m:accPr>
          <m:e>
            <m:r>
              <m:t>y</m:t>
            </m:r>
          </m:e>
        </m:acc>
      </m:oMath>
      <w:r>
        <w:t xml:space="preserve"> </w:t>
      </w:r>
      <w:r>
        <w:t xml:space="preserve">– прогноз регрессора по формуле (2.14).</w:t>
      </w:r>
    </w:p>
    <w:p>
      <w:pPr>
        <w:pStyle w:val="a2"/>
      </w:pPr>
      <w:r>
        <w:t xml:space="preserve">Функция совпадает с отрицательным логарифмом правдоподобия Пуассона без постоянного слагаемого.</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bookmarkEnd w:id="61"/>
    <w:bookmarkStart w:id="63" w:name="X5cb85bb2864257b50580b8dfa11fbf34fed6abe"/>
    <w:p>
      <w:pPr>
        <w:pStyle w:val="30"/>
      </w:pPr>
      <w:bookmarkStart w:id="194" w:name="GOSTHeading194"/>
      <w:r>
        <w:t xml:space="preserve">2.1.3 Обработка данных и формирование обучающих примеров</w:t>
      </w:r>
      <w:bookmarkEnd w:id="194"/>
    </w:p>
    <w:p>
      <w:pPr>
        <w:pStyle w:val="FirstParagraph"/>
      </w:pPr>
      <w:r>
        <w:t xml:space="preserve">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pPr>
        <w:pStyle w:val="Compact"/>
        <w:numPr>
          <w:ilvl w:val="0"/>
          <w:numId w:val="1002"/>
        </w:numPr>
        <w:tabs>
          <w:tab w:val="num" w:pos="1276"/>
        </w:tabs>
        <w:spacing w:before="0" w:after="0" w:line="360" w:lineRule="auto"/>
        <w:ind w:left="1276" w:hanging="567"/>
      </w:pPr>
      <w:r>
        <w:t xml:space="preserve">Дедупликация: доставка выполняется по схеме «не менее одного раза» [35], и повтор отбрасывается по идентификатору.</w:t>
      </w:r>
    </w:p>
    <w:p>
      <w:pPr>
        <w:pStyle w:val="Compact"/>
        <w:numPr>
          <w:ilvl w:val="0"/>
          <w:numId w:val="1002"/>
        </w:numPr>
        <w:tabs>
          <w:tab w:val="num" w:pos="1276"/>
        </w:tabs>
        <w:spacing w:before="0" w:after="0" w:line="360" w:lineRule="auto"/>
        <w:ind w:left="1276" w:hanging="567"/>
      </w:pPr>
      <w:r>
        <w:t xml:space="preserve">Контроль пропусков: разрыв номеров отмечается как интервал неполной истории, а отметка актуальности</w:t>
      </w:r>
      <w:r>
        <w:t xml:space="preserve"> </w:t>
      </w:r>
      <m:oMath>
        <m:r>
          <m:t>W</m:t>
        </m:r>
      </m:oMath>
      <w:r>
        <w:t xml:space="preserve"> </w:t>
      </w:r>
      <w:r>
        <w:t xml:space="preserve">– момент, до которого события получены или отнесены к таким интервалам.</w:t>
      </w:r>
    </w:p>
    <w:p>
      <w:pPr>
        <w:pStyle w:val="Compact"/>
        <w:numPr>
          <w:ilvl w:val="0"/>
          <w:numId w:val="1002"/>
        </w:numPr>
        <w:tabs>
          <w:tab w:val="num" w:pos="1276"/>
        </w:tabs>
        <w:spacing w:before="0" w:after="0" w:line="360" w:lineRule="auto"/>
        <w:ind w:left="1276" w:hanging="567"/>
      </w:pPr>
      <w:r>
        <w:t xml:space="preserve">Агрегирование по ключу объекта в интервалах не длиннее наименьшего окна признаков.</w:t>
      </w:r>
    </w:p>
    <w:p>
      <w:pPr>
        <w:pStyle w:val="Compact"/>
        <w:numPr>
          <w:ilvl w:val="0"/>
          <w:numId w:val="1002"/>
        </w:numPr>
        <w:tabs>
          <w:tab w:val="num" w:pos="1276"/>
        </w:tabs>
        <w:spacing w:before="0" w:after="0" w:line="360" w:lineRule="auto"/>
        <w:ind w:left="1276" w:hanging="567"/>
      </w:pPr>
      <w:r>
        <w:t xml:space="preserve">Построение признаков по агрегатам с версией правил расчёта.</w:t>
      </w:r>
    </w:p>
    <w:p>
      <w:pPr>
        <w:pStyle w:val="FirstParagraph"/>
      </w:pPr>
      <w:r>
        <w:t xml:space="preserve">Состав признаков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Давность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(2.17)</w:t>
      </w:r>
    </w:p>
    <w:p>
      <w:pPr>
        <w:pStyle w:val="Where"/>
      </w:pPr>
      <w:r>
        <w:t xml:space="preserve">где</w:t>
      </w:r>
      <w:r>
        <w:tab/>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 </w:t>
      </w:r>
      <w:r>
        <w:t xml:space="preserve">(Таблица 2.1);</w:t>
      </w:r>
    </w:p>
    <w:p>
      <w:pPr>
        <w:pStyle w:val="Where"/>
      </w:pP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w:r>
        <w:tab/>
      </w:r>
      <m:oMath>
        <m:r>
          <m:rPr>
            <m:sty m:val="p"/>
          </m:rPr>
          <m:t>|</m:t>
        </m:r>
        <m:r>
          <m:rPr>
            <m:sty m:val="p"/>
          </m:rPr>
          <m:t>⋅</m:t>
        </m:r>
        <m:r>
          <m:rPr>
            <m:sty m:val="p"/>
          </m:rPr>
          <m:t>|</m:t>
        </m:r>
      </m:oMath>
      <w:r>
        <w:t xml:space="preserve"> </w:t>
      </w:r>
      <w:r>
        <w:t xml:space="preserve">– число элементов множества.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(2.18)</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Срезы сохраняются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bookmarkEnd w:id="63"/>
    <w:bookmarkStart w:id="64" w:name="обучение-проверка-и-ввод-модели-в-работу"/>
    <w:p>
      <w:pPr>
        <w:pStyle w:val="30"/>
      </w:pPr>
      <w:bookmarkStart w:id="195" w:name="GOSTHeading195"/>
      <w:r>
        <w:t xml:space="preserve">2.1.4 Обучение, проверка и ввод модели в работу</w:t>
      </w:r>
      <w:bookmarkEnd w:id="195"/>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(2.19)</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вместимость HOT, выраженная числом объектов;</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Where"/>
      </w:pPr>
      <w:r>
        <w:tab/>
      </w:r>
      <m:oMath>
        <m:sSub>
          <m:e>
            <m:r>
              <m:t>N</m:t>
            </m:r>
          </m:e>
          <m:sub>
            <m:r>
              <m:t>i</m:t>
            </m:r>
          </m:sub>
        </m:sSub>
      </m:oMath>
      <w:r>
        <w:t xml:space="preserve"> </w:t>
      </w:r>
      <w:r>
        <w:t xml:space="preserve">– фактическое число чтений объекта</w:t>
      </w:r>
      <w:r>
        <w:t xml:space="preserve"> </w:t>
      </w:r>
      <m:oMath>
        <m:r>
          <m:t>i</m:t>
        </m:r>
      </m:oMath>
      <w:r>
        <w:t xml:space="preserve"> </w:t>
      </w:r>
      <w:r>
        <w:t xml:space="preserve">за горизонт.</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6" w:name="GOSTHeading196"/>
      <w:r>
        <w:t xml:space="preserve">2.1.5 Алгоритм формирования плана размещения</w:t>
      </w:r>
      <w:bookmarkEnd w:id="196"/>
    </w:p>
    <w:p>
      <w:pPr>
        <w:pStyle w:val="FirstParagraph"/>
      </w:pPr>
      <w:r>
        <w:t xml:space="preserve">Алгоритм решает задачу (2.6)–(2.9)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bookmarkEnd w:id="69"/>
    <w:bookmarkStart w:id="71" w:name="объяснение-рекомендаций"/>
    <w:p>
      <w:pPr>
        <w:pStyle w:val="30"/>
      </w:pPr>
      <w:bookmarkStart w:id="197" w:name="GOSTHeading197"/>
      <w:r>
        <w:t xml:space="preserve">2.1.6 Объяснение рекомендаций</w:t>
      </w:r>
      <w:bookmarkEnd w:id="197"/>
    </w:p>
    <w:p>
      <w:pPr>
        <w:pStyle w:val="FirstParagraph"/>
      </w:pPr>
      <w:r>
        <w:t xml:space="preserve">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pPr>
        <w:pStyle w:val="a2"/>
      </w:pPr>
      <w:r>
        <w:t xml:space="preserve">Состав объяснения приведён в Таблице 2.3.</w:t>
      </w:r>
    </w:p>
    <w:bookmarkStart w:id="70" w:name="gost-tbl:explanation"/>
    <w:p>
      <w:pPr>
        <w:pStyle w:val="TableCaption"/>
      </w:pPr>
      <w:r>
        <w:t xml:space="preserve">Таблица 2.3 — Состав объяснения рекомендации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остав объяснения рекомендации"/>
      </w:tblPr>
      <w:tblGrid>
        <w:gridCol w:w="1668"/>
        <w:gridCol w:w="7970"/>
      </w:tblGrid>
      <w:tr>
        <w:trPr>
          <w:tblHeader w:val="on"/>
          <w:cantSplit/>
        </w:trPr>
        <w:tc>
          <w:tcPr>
            <w:tcW w:w="1668" w:type="dxa"/>
          </w:tcPr>
          <w:p>
            <w:pPr>
              <w:pStyle w:val="Compact"/>
              <w:keepNext w:val="0"/>
              <w:pageBreakBefore w:val="0"/>
              <w:suppressAutoHyphens w:val="1"/>
              <w:spacing w:before="0" w:after="0" w:line="240" w:lineRule="auto"/>
              <w:ind w:firstLine="0" w:left="0" w:right="0"/>
              <w:jc w:val="center"/>
            </w:pPr>
            <w:r>
              <w:rPr>
                <w:b w:val="1"/>
                <w:sz w:val="24"/>
                <w:szCs w:val="24"/>
              </w:rPr>
              <w:t xml:space="preserve">Элемент</w:t>
            </w:r>
          </w:p>
        </w:tc>
        <w:tc>
          <w:tcPr>
            <w:tcW w:w="7970" w:type="dxa"/>
          </w:tcPr>
          <w:p>
            <w:pPr>
              <w:pStyle w:val="Compact"/>
              <w:keepNext w:val="0"/>
              <w:pageBreakBefore w:val="0"/>
              <w:suppressAutoHyphens w:val="1"/>
              <w:spacing w:before="0" w:after="0" w:line="240" w:lineRule="auto"/>
              <w:ind w:firstLine="0" w:left="0" w:right="0"/>
              <w:jc w:val="center"/>
            </w:pPr>
            <w:r>
              <w:rPr>
                <w:b w:val="1"/>
                <w:sz w:val="24"/>
                <w:szCs w:val="24"/>
              </w:rPr>
              <w:t xml:space="preserve">Содержание</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Действие</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Объект и версия, исходный и целевой классы, время расчёта, горизонт, версия модели</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Прогноз</w:t>
            </w:r>
          </w:p>
        </w:tc>
        <w:tc>
          <w:tcPr>
            <w:tcW w:w="7970" w:type="dxa"/>
          </w:tcPr>
          <w:p>
            <w:pPr>
              <w:pStyle w:val="Compact"/>
              <w:keepNext w:val="0"/>
              <w:pageBreakBefore w:val="0"/>
              <w:suppressAutoHyphens w:val="1"/>
              <w:spacing w:before="0" w:after="0" w:line="240" w:lineRule="auto"/>
              <w:ind w:firstLine="0" w:left="0" w:right="0"/>
              <w:jc w:val="both"/>
            </w:pPr>
            <m:oMath>
              <m:sSub>
                <m:e>
                  <m:r>
                    <m:t>p</m:t>
                  </m:r>
                </m:e>
                <m:sub>
                  <m:r>
                    <m:t>i</m:t>
                  </m:r>
                </m:sub>
              </m:sSub>
            </m:oMath>
            <w:r>
              <w:rPr>
                <w:sz w:val="24"/>
                <w:szCs w:val="24"/>
              </w:rPr>
              <w:t xml:space="preserve">,</w:t>
            </w:r>
            <w:r>
              <w:rPr>
                <w:sz w:val="24"/>
                <w:szCs w:val="24"/>
              </w:rPr>
              <w:t xml:space="preserve"> </w:t>
            </w:r>
            <m:oMath>
              <m:sSub>
                <m:e>
                  <m:r>
                    <m:t>m</m:t>
                  </m:r>
                </m:e>
                <m:sub>
                  <m:r>
                    <m:t>i</m:t>
                  </m:r>
                </m:sub>
              </m:sSub>
            </m:oMath>
            <w:r>
              <w:rPr>
                <w:sz w:val="24"/>
                <w:szCs w:val="24"/>
              </w:rPr>
              <w:t xml:space="preserve">,</w:t>
            </w:r>
            <w:r>
              <w:rPr>
                <w:sz w:val="24"/>
                <w:szCs w:val="24"/>
              </w:rPr>
              <w:t xml:space="preserve"> </w:t>
            </w:r>
            <m:oMath>
              <m:sSub>
                <m:e>
                  <m:acc>
                    <m:accPr>
                      <m:chr m:val="̂"/>
                    </m:accPr>
                    <m:e>
                      <m:r>
                        <m:t>N</m:t>
                      </m:r>
                    </m:e>
                  </m:acc>
                </m:e>
                <m:sub>
                  <m:r>
                    <m:t>i</m:t>
                  </m:r>
                </m:sub>
              </m:sSub>
            </m:oMath>
            <w:r>
              <w:rPr>
                <w:sz w:val="24"/>
                <w:szCs w:val="24"/>
              </w:rPr>
              <w:t xml:space="preserve"> </w:t>
            </w:r>
            <w:r>
              <w:rPr>
                <w:sz w:val="24"/>
                <w:szCs w:val="24"/>
              </w:rPr>
              <w:t xml:space="preserve">и оценка EWMA для сравнения</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Основание</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Давность, частоты по окнам и динамика с процентилем в каталоге</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Эффект</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Расчётное изменение суммарной задержки за горизонт</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Ресурсы</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класса до и после, объём копирования, остаток бюджета</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Ограничения</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Зависимости, запреты, минимальный интервал переноса</w:t>
            </w:r>
          </w:p>
        </w:tc>
      </w:tr>
    </w:tbl>
    <w:bookmarkEnd w:id="70"/>
    <w:p>
      <w:pPr>
        <w:pStyle w:val="a2"/>
        <w:spacing w:before="120"/>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bookmarkEnd w:id="71"/>
    <w:bookmarkStart w:id="76" w:name="протокол-безопасного-переноса"/>
    <w:p>
      <w:pPr>
        <w:pStyle w:val="30"/>
      </w:pPr>
      <w:bookmarkStart w:id="198" w:name="GOSTHeading198"/>
      <w:r>
        <w:t xml:space="preserve">2.1.7 Протокол безопасного переноса</w:t>
      </w:r>
      <w:bookmarkEnd w:id="198"/>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3"/>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3"/>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3"/>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3"/>
        </w:numPr>
        <w:tabs>
          <w:tab w:val="num" w:pos="1276"/>
        </w:tabs>
        <w:spacing w:before="0" w:after="0" w:line="360" w:lineRule="auto"/>
        <w:ind w:left="1276" w:hanging="567"/>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pPr>
        <w:pStyle w:val="a2"/>
        <w:keepNext w:val="1"/>
      </w:pPr>
      <w:r>
        <w:t xml:space="preserve">Состояния миграции показаны на Рисунке 2.3 в нотации диаграммы состояний унифицированного языка моделирования (англ. Unified Modeling Language, далее UML) [43].</w:t>
      </w:r>
    </w:p>
    <w:bookmarkStart w:id="75" w:name="gost-fig:migration_states"/>
    <w:p>
      <w:pPr>
        <w:pStyle w:val="CaptionedFigure"/>
        <w:keepNext w:val="1"/>
      </w:pPr>
      <w:r>
        <w:drawing>
          <wp:inline>
            <wp:extent cx="5016675" cy="6840000"/>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bookmarkEnd w:id="76"/>
    <w:bookmarkEnd w:id="77"/>
    <w:bookmarkStart w:id="90" w:name="модели-процессов"/>
    <w:p>
      <w:pPr>
        <w:pStyle w:val="21"/>
      </w:pPr>
      <w:bookmarkStart w:id="199" w:name="GOSTHeading199"/>
      <w:r>
        <w:t xml:space="preserve">2.2 Модели процессов</w:t>
      </w:r>
      <w:bookmarkEnd w:id="199"/>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82" w:name="исходный-процесс-управления-размещением"/>
    <w:p>
      <w:pPr>
        <w:pStyle w:val="30"/>
      </w:pPr>
      <w:bookmarkStart w:id="200" w:name="GOSTHeading200"/>
      <w:r>
        <w:t xml:space="preserve">2.2.1 Исходный процесс управления размещением</w:t>
      </w:r>
      <w:bookmarkEnd w:id="200"/>
    </w:p>
    <w:p>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pPr>
        <w:pStyle w:val="a2"/>
      </w:pPr>
      <w:r>
        <w:t xml:space="preserve">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pPr>
        <w:pStyle w:val="a2"/>
        <w:keepNext w:val="1"/>
      </w:pPr>
      <w:r>
        <w:t xml:space="preserve">Модель приведена на Рисунке 2.4.</w:t>
      </w:r>
    </w:p>
    <w:bookmarkStart w:id="81" w:name="gost-fig:bpmn_asis"/>
    <w:p>
      <w:pPr>
        <w:pStyle w:val="CaptionedFigure"/>
        <w:keepNext w:val="1"/>
      </w:pPr>
      <w:r>
        <w:drawing>
          <wp:inline>
            <wp:extent cx="5440088" cy="6840000"/>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5440088" cy="6840000"/>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pPr>
        <w:pStyle w:val="a2"/>
      </w:pPr>
      <w:r>
        <w:t xml:space="preserve">Процесс реагирует на уже возникшую проблему, не возвращает востребованные объекты и не проверяет версию и копию.</w:t>
      </w:r>
    </w:p>
    <w:bookmarkEnd w:id="82"/>
    <w:bookmarkStart w:id="87" w:name="проектируемый-процесс"/>
    <w:p>
      <w:pPr>
        <w:pStyle w:val="30"/>
      </w:pPr>
      <w:bookmarkStart w:id="201" w:name="GOSTHeading201"/>
      <w:r>
        <w:t xml:space="preserve">2.2.2 Проектируемый процесс</w:t>
      </w:r>
      <w:bookmarkEnd w:id="201"/>
    </w:p>
    <w:p>
      <w:pPr>
        <w:pStyle w:val="FirstParagraph"/>
      </w:pPr>
      <w:r>
        <w:t xml:space="preserve">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pPr>
        <w:pStyle w:val="a2"/>
        <w:keepNext w:val="1"/>
      </w:pPr>
      <w:r>
        <w:t xml:space="preserve">Модель TO-BE приведена на Рисунке 2.5.</w:t>
      </w:r>
    </w:p>
    <w:bookmarkStart w:id="86" w:name="gost-fig:bpmn_tobe"/>
    <w:p>
      <w:pPr>
        <w:pStyle w:val="CaptionedFigure"/>
        <w:keepNext w:val="1"/>
      </w:pPr>
      <w:r>
        <w:drawing>
          <wp:inline>
            <wp:extent cx="4885362" cy="6840000"/>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4885362" cy="6840000"/>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Процесс на Рисунке 2.5 выполняется сверху вниз.</w:t>
      </w:r>
    </w:p>
    <w:p>
      <w:pPr>
        <w:pStyle w:val="Compact"/>
        <w:numPr>
          <w:ilvl w:val="0"/>
          <w:numId w:val="1004"/>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4"/>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а при её непригодности – базовой политикой EWMA, и формирует план с объяснениями с учётом ограничений и запретов администратора.</w:t>
      </w:r>
    </w:p>
    <w:p>
      <w:pPr>
        <w:pStyle w:val="Compact"/>
        <w:numPr>
          <w:ilvl w:val="0"/>
          <w:numId w:val="1004"/>
        </w:numPr>
        <w:tabs>
          <w:tab w:val="num" w:pos="1276"/>
        </w:tabs>
        <w:spacing w:before="0" w:after="0" w:line="360" w:lineRule="auto"/>
        <w:ind w:left="1276" w:hanging="567"/>
      </w:pPr>
      <w:r>
        <w:t xml:space="preserve">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4"/>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4"/>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pPr>
        <w:pStyle w:val="Compact"/>
        <w:numPr>
          <w:ilvl w:val="0"/>
          <w:numId w:val="1004"/>
        </w:numPr>
        <w:tabs>
          <w:tab w:val="num" w:pos="1276"/>
        </w:tabs>
        <w:spacing w:before="0" w:after="0" w:line="360" w:lineRule="auto"/>
        <w:ind w:left="1276" w:hanging="567"/>
      </w:pPr>
      <w:r>
        <w:t xml:space="preserve">Администратор просматривает результат.</w:t>
      </w:r>
    </w:p>
    <w:p>
      <w:pPr>
        <w:pStyle w:val="FirstParagraph"/>
      </w:pPr>
      <w:r>
        <w:t xml:space="preserve">Администратор остаётся ЛПР: система готовит и проверяет план, а он решает, применять ли его.</w:t>
      </w:r>
    </w:p>
    <w:bookmarkEnd w:id="87"/>
    <w:bookmarkStart w:id="89" w:name="сравнение-процессов"/>
    <w:p>
      <w:pPr>
        <w:pStyle w:val="30"/>
      </w:pPr>
      <w:bookmarkStart w:id="202" w:name="GOSTHeading202"/>
      <w:r>
        <w:t xml:space="preserve">2.2.3 Сравнение процессов</w:t>
      </w:r>
      <w:bookmarkEnd w:id="202"/>
    </w:p>
    <w:p>
      <w:pPr>
        <w:pStyle w:val="FirstParagraph"/>
      </w:pPr>
      <w:r>
        <w:t xml:space="preserve">Изменения сведены в Таблице 2.4. Процессы не измерялись,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Сравнение исходного и проектируемого процессов"/>
      </w:tblPr>
      <w:tblGrid>
        <w:gridCol w:w="2392"/>
        <w:gridCol w:w="3176"/>
        <w:gridCol w:w="4070"/>
      </w:tblGrid>
      <w:tr>
        <w:trPr>
          <w:tblHeader w:val="on"/>
          <w:cantSplit/>
        </w:trPr>
        <w:tc>
          <w:tcPr>
            <w:tcW w:w="2392"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3176"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4070"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давности и возрасту</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объяснённому плану</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Версия и копия до переключения, CAS</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bookmarkEnd w:id="89"/>
    <w:bookmarkEnd w:id="90"/>
    <w:bookmarkStart w:id="106" w:name="архитектура-системы"/>
    <w:p>
      <w:pPr>
        <w:pStyle w:val="21"/>
      </w:pPr>
      <w:bookmarkStart w:id="203" w:name="GOSTHeading203"/>
      <w:r>
        <w:t xml:space="preserve">2.3 Архитектура системы</w:t>
      </w:r>
      <w:bookmarkEnd w:id="203"/>
    </w:p>
    <w:p>
      <w:pPr>
        <w:pStyle w:val="FirstParagraph"/>
      </w:pPr>
      <w:r>
        <w:t xml:space="preserve">Подраздел описывает, какими компонентами OpenS3 и СППР обеспечиваются спроектированные процессы, как хранятся их данные и где находятся узкие места.</w:t>
      </w:r>
    </w:p>
    <w:bookmarkStart w:id="91" w:name="изменения-компонентов-opens3"/>
    <w:p>
      <w:pPr>
        <w:pStyle w:val="30"/>
      </w:pPr>
      <w:bookmarkStart w:id="204" w:name="GOSTHeading204"/>
      <w:r>
        <w:t xml:space="preserve">2.3.1 Изменения компонентов OpenS3</w:t>
      </w:r>
      <w:bookmarkEnd w:id="204"/>
    </w:p>
    <w:p>
      <w:pPr>
        <w:pStyle w:val="FirstParagraph"/>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91"/>
    <w:bookmarkStart w:id="96" w:name="компонентная-модель"/>
    <w:p>
      <w:pPr>
        <w:pStyle w:val="30"/>
      </w:pPr>
      <w:bookmarkStart w:id="205" w:name="GOSTHeading205"/>
      <w:r>
        <w:t xml:space="preserve">2.3.2 Компонентная модель</w:t>
      </w:r>
      <w:bookmarkEnd w:id="205"/>
    </w:p>
    <w:p>
      <w:pPr>
        <w:pStyle w:val="FirstParagraph"/>
      </w:pPr>
      <w:r>
        <w:t xml:space="preserve">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pPr>
        <w:pStyle w:val="a2"/>
        <w:keepNext w:val="1"/>
      </w:pPr>
      <w:r>
        <w:t xml:space="preserve">Компоненты показаны на Рисунке 2.6 в нотации диаграммы компонентов UML [43]: пунктирная рамка выделяет OpenS3, сплошная – СППР.</w:t>
      </w:r>
    </w:p>
    <w:bookmarkStart w:id="95" w:name="gost-fig:components"/>
    <w:p>
      <w:pPr>
        <w:pStyle w:val="CaptionedFigure"/>
        <w:keepNext w:val="1"/>
      </w:pPr>
      <w:r>
        <w:drawing>
          <wp:inline>
            <wp:extent cx="6083999" cy="6833831"/>
            <wp:effectExtent b="0" l="0" r="0" t="0"/>
            <wp:docPr descr="Диаграмма компонентов системы" title="" id="93" name="Picture"/>
            <a:graphic>
              <a:graphicData uri="http://schemas.openxmlformats.org/drawingml/2006/picture">
                <pic:pic>
                  <pic:nvPicPr>
                    <pic:cNvPr descr="images/components.png" id="94" name="Picture"/>
                    <pic:cNvPicPr>
                      <a:picLocks noChangeArrowheads="1" noChangeAspect="1"/>
                    </pic:cNvPicPr>
                  </pic:nvPicPr>
                  <pic:blipFill>
                    <a:blip r:embed="rId92"/>
                    <a:stretch>
                      <a:fillRect/>
                    </a:stretch>
                  </pic:blipFill>
                  <pic:spPr bwMode="auto">
                    <a:xfrm>
                      <a:off x="0" y="0"/>
                      <a:ext cx="6083999" cy="6833831"/>
                    </a:xfrm>
                    <a:prstGeom prst="rect">
                      <a:avLst/>
                    </a:prstGeom>
                    <a:noFill/>
                    <a:ln w="9525">
                      <a:noFill/>
                      <a:headEnd/>
                      <a:tailEnd/>
                    </a:ln>
                  </pic:spPr>
                </pic:pic>
              </a:graphicData>
            </a:graphic>
          </wp:inline>
        </w:drawing>
      </w:r>
    </w:p>
    <w:p>
      <w:pPr>
        <w:pStyle w:val="ImageCaption"/>
      </w:pPr>
      <w:r>
        <w:t xml:space="preserve">Рисунок 2.6 — Диаграмма компонентов системы</w:t>
      </w:r>
    </w:p>
    <w:bookmarkEnd w:id="95"/>
    <w:p>
      <w:pPr>
        <w:pStyle w:val="a2"/>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bookmarkEnd w:id="96"/>
    <w:bookmarkStart w:id="101" w:name="модель-данных"/>
    <w:p>
      <w:pPr>
        <w:pStyle w:val="30"/>
      </w:pPr>
      <w:bookmarkStart w:id="206" w:name="GOSTHeading206"/>
      <w:r>
        <w:t xml:space="preserve">2.3.3 Модель данных</w:t>
      </w:r>
      <w:bookmarkEnd w:id="206"/>
    </w:p>
    <w:p>
      <w:pPr>
        <w:pStyle w:val="FirstParagraph"/>
        <w:keepNext w:val="1"/>
      </w:pPr>
      <w:r>
        <w:t xml:space="preserve">Структура хранимых данных показана на Рисунке 2.7: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относятся к базе СППР.</w:t>
      </w:r>
    </w:p>
    <w:bookmarkStart w:id="100" w:name="gost-fig:er"/>
    <w:p>
      <w:pPr>
        <w:pStyle w:val="CaptionedFigure"/>
        <w:keepNext w:val="1"/>
      </w:pPr>
      <w:r>
        <w:drawing>
          <wp:inline>
            <wp:extent cx="4359102" cy="6300000"/>
            <wp:effectExtent b="0" l="0" r="0" t="0"/>
            <wp:docPr descr="Модель данных Metadata и СППР" title="" id="98" name="Picture"/>
            <a:graphic>
              <a:graphicData uri="http://schemas.openxmlformats.org/drawingml/2006/picture">
                <pic:pic>
                  <pic:nvPicPr>
                    <pic:cNvPr descr="images/er.png" id="99" name="Picture"/>
                    <pic:cNvPicPr>
                      <a:picLocks noChangeArrowheads="1" noChangeAspect="1"/>
                    </pic:cNvPicPr>
                  </pic:nvPicPr>
                  <pic:blipFill>
                    <a:blip r:embed="rId97"/>
                    <a:stretch>
                      <a:fillRect/>
                    </a:stretch>
                  </pic:blipFill>
                  <pic:spPr bwMode="auto">
                    <a:xfrm>
                      <a:off x="0" y="0"/>
                      <a:ext cx="4359102" cy="6300000"/>
                    </a:xfrm>
                    <a:prstGeom prst="rect">
                      <a:avLst/>
                    </a:prstGeom>
                    <a:noFill/>
                    <a:ln w="9525">
                      <a:noFill/>
                      <a:headEnd/>
                      <a:tailEnd/>
                    </a:ln>
                  </pic:spPr>
                </pic:pic>
              </a:graphicData>
            </a:graphic>
          </wp:inline>
        </w:drawing>
      </w:r>
    </w:p>
    <w:p>
      <w:pPr>
        <w:pStyle w:val="ImageCaption"/>
      </w:pPr>
      <w:r>
        <w:t xml:space="preserve">Рисунок 2.7 — Модель данных Metadata и СППР</w:t>
      </w:r>
    </w:p>
    <w:bookmarkEnd w:id="100"/>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bookmarkEnd w:id="101"/>
    <w:bookmarkStart w:id="103" w:name="анализ-архитектуры"/>
    <w:p>
      <w:pPr>
        <w:pStyle w:val="30"/>
      </w:pPr>
      <w:bookmarkStart w:id="207" w:name="GOSTHeading207"/>
      <w:r>
        <w:t xml:space="preserve">2.3.4 Анализ архитектуры</w:t>
      </w:r>
      <w:bookmarkEnd w:id="207"/>
    </w:p>
    <w:p>
      <w:pPr>
        <w:pStyle w:val="FirstParagraph"/>
      </w:pPr>
      <w:r>
        <w:t xml:space="preserve">Узкие места, точки отказа и принятые решения сведены в Таблице 2.5.</w:t>
      </w:r>
    </w:p>
    <w:bookmarkStart w:id="102" w:name="gost-tbl:arch_analysis"/>
    <w:p>
      <w:pPr>
        <w:pStyle w:val="TableCaption"/>
      </w:pPr>
      <w:r>
        <w:t xml:space="preserve">Таблица 2.5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102"/>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103"/>
    <w:bookmarkStart w:id="105" w:name="соответствие-требованиям"/>
    <w:p>
      <w:pPr>
        <w:pStyle w:val="30"/>
      </w:pPr>
      <w:bookmarkStart w:id="208" w:name="GOSTHeading208"/>
      <w:r>
        <w:t xml:space="preserve">2.3.5 Соответствие требованиям</w:t>
      </w:r>
      <w:bookmarkEnd w:id="208"/>
    </w:p>
    <w:p>
      <w:pPr>
        <w:pStyle w:val="FirstParagraph"/>
      </w:pPr>
      <w:r>
        <w:t xml:space="preserve">Связь функциональных требований раздела 1.3.2 пояснительной записки с проектом приведена в Таблице 2.6.</w:t>
      </w:r>
    </w:p>
    <w:bookmarkStart w:id="104" w:name="gost-tbl:traceability"/>
    <w:p>
      <w:pPr>
        <w:pStyle w:val="TableCaption"/>
      </w:pPr>
      <w:r>
        <w:t xml:space="preserve">Таблица 2.6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6 — Соответствие требований проектным решениям"/>
      </w:tblPr>
      <w:tblGrid>
        <w:gridCol w:w="1698"/>
        <w:gridCol w:w="4980"/>
        <w:gridCol w:w="296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4980"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Проектное решение</w:t>
            </w:r>
          </w:p>
        </w:tc>
        <w:tc>
          <w:tcPr>
            <w:tcW w:w="296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События с номерами, происхождение по пути запроса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Классы, расположение, занятость с копиями</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Metadata</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проверки ввода, сохранение модели</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Задача (2.6)–(2.9) и жадный алгоритм</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Planner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Объяснение из величин планировщика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Explainer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Ревизии плана, отмена и пауза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Повторная проверка, MD5, CAS, идемпотентность</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Журнал рекомендаций, команд и миграций</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Базовые политики с тем же планировщиком</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w:t>
            </w:r>
          </w:p>
        </w:tc>
      </w:tr>
    </w:tbl>
    <w:bookmarkEnd w:id="104"/>
    <w:p>
      <w:pPr>
        <w:pStyle w:val="a2"/>
        <w:spacing w:before="120"/>
      </w:pPr>
      <w:r>
        <w:t xml:space="preserve">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bookmarkEnd w:id="105"/>
    <w:bookmarkEnd w:id="106"/>
    <w:bookmarkStart w:id="108" w:name="обоснование-инструментов-реализации"/>
    <w:p>
      <w:pPr>
        <w:pStyle w:val="21"/>
      </w:pPr>
      <w:bookmarkStart w:id="209" w:name="GOSTHeading209"/>
      <w:r>
        <w:t xml:space="preserve">2.4 Обоснование инструментов реализации</w:t>
      </w:r>
      <w:bookmarkEnd w:id="209"/>
    </w:p>
    <w:p>
      <w:pPr>
        <w:pStyle w:val="FirstParagraph"/>
      </w:pPr>
      <w:r>
        <w:t xml:space="preserve">Инструменты выбраны под модель, архитектуру и совместимость с OpenS3, сервисы которого написаны на Go и общаются по gRPC [7]. Выбор приведён в Таблице 2.7.</w:t>
      </w:r>
    </w:p>
    <w:bookmarkStart w:id="107" w:name="gost-tbl:tools"/>
    <w:p>
      <w:pPr>
        <w:pStyle w:val="TableCaption"/>
      </w:pPr>
      <w:r>
        <w:t xml:space="preserve">Таблица 2.7 — Выбор инструментов реализации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7 — Выбор инструментов реализации"/>
      </w:tblPr>
      <w:tblGrid>
        <w:gridCol w:w="2382"/>
        <w:gridCol w:w="2450"/>
        <w:gridCol w:w="4806"/>
      </w:tblGrid>
      <w:tr>
        <w:trPr>
          <w:tblHeader w:val="on"/>
          <w:cantSplit/>
        </w:trPr>
        <w:tc>
          <w:tcPr>
            <w:tcW w:w="2382" w:type="dxa"/>
          </w:tcPr>
          <w:p>
            <w:pPr>
              <w:pStyle w:val="Compact"/>
              <w:keepNext w:val="0"/>
              <w:pageBreakBefore w:val="0"/>
              <w:suppressAutoHyphens w:val="1"/>
              <w:spacing w:before="0" w:after="0" w:line="240" w:lineRule="auto"/>
              <w:ind w:firstLine="0" w:left="0" w:right="0"/>
              <w:jc w:val="center"/>
            </w:pPr>
            <w:r>
              <w:rPr>
                <w:b w:val="1"/>
                <w:sz w:val="24"/>
                <w:szCs w:val="24"/>
              </w:rPr>
              <w:t xml:space="preserve">Задача</w:t>
            </w:r>
          </w:p>
        </w:tc>
        <w:tc>
          <w:tcPr>
            <w:tcW w:w="2450" w:type="dxa"/>
          </w:tcPr>
          <w:p>
            <w:pPr>
              <w:pStyle w:val="Compact"/>
              <w:keepNext w:val="0"/>
              <w:pageBreakBefore w:val="0"/>
              <w:suppressAutoHyphens w:val="1"/>
              <w:spacing w:before="0" w:after="0" w:line="240" w:lineRule="auto"/>
              <w:ind w:firstLine="0" w:left="0" w:right="0"/>
              <w:jc w:val="center"/>
            </w:pPr>
            <w:r>
              <w:rPr>
                <w:b w:val="1"/>
                <w:sz w:val="24"/>
                <w:szCs w:val="24"/>
              </w:rPr>
              <w:t xml:space="preserve">Инструмент</w:t>
            </w:r>
          </w:p>
        </w:tc>
        <w:tc>
          <w:tcPr>
            <w:tcW w:w="4806"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Обоснование</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 исполнитель</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Go</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Язык OpenS3, общие клиенты gRPC</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Обучение</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Python, LightGBM</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Логистическая и пуассоновская потери, обучение на процессоре [33], [45]</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Применение модели</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leaves</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Чтение модели LightGBM на Go без нативных библиотек [46]</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Хранение СППР</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PostgreSQL</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Используется в OpenS3, транзакции для команд и миграций [47]</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Поток событий</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Kafka</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Развёрнут в OpenS3, отделяет публикацию от обработки [35]</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Веб-интерфейс</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Шаблоны HTML на сервере</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Без отдельной сборки клиента</w:t>
            </w:r>
          </w:p>
        </w:tc>
      </w:tr>
    </w:tbl>
    <w:bookmarkEnd w:id="107"/>
    <w:p>
      <w:pPr>
        <w:pStyle w:val="a2"/>
        <w:spacing w:before="120"/>
      </w:pPr>
      <w:r>
        <w:t xml:space="preserve">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bookmarkEnd w:id="108"/>
    <w:bookmarkStart w:id="109" w:name="выводы-по-аналитическому-разделу"/>
    <w:p>
      <w:pPr>
        <w:pStyle w:val="21"/>
      </w:pPr>
      <w:bookmarkStart w:id="210" w:name="GOSTHeading210"/>
      <w:r>
        <w:t xml:space="preserve">2.5 Выводы по аналитическому разделу</w:t>
      </w:r>
      <w:bookmarkEnd w:id="210"/>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и точен для объектов одинакового размера.</w:t>
      </w:r>
    </w:p>
    <w:p>
      <w:pPr>
        <w:pStyle w:val="a2"/>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остаётся ЛПР: система готовит и объясняет план, а он решает, применять ли его.</w:t>
      </w:r>
    </w:p>
    <w:p>
      <w:pPr>
        <w:pStyle w:val="a2"/>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pPr>
        <w:pStyle w:val="a2"/>
      </w:pPr>
      <w:r>
        <w:t xml:space="preserve">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109"/>
    <w:bookmarkEnd w:id="110"/>
    <w:bookmarkStart w:id="164" w:name="список-использованных-источников"/>
    <w:p>
      <w:pPr>
        <w:pStyle w:val="GOSTStructuralHeading"/>
      </w:pPr>
      <w:bookmarkStart w:id="211" w:name="GOSTHeading211"/>
      <w:r>
        <w:t xml:space="preserve">СПИСОК ИСПОЛЬЗОВАННЫХ ИСТОЧНИКОВ</w:t>
      </w:r>
      <w:bookmarkEnd w:id="211"/>
    </w:p>
    <w:p>
      <w:pPr>
        <w:pStyle w:val="Compact"/>
        <w:numPr>
          <w:ilvl w:val="0"/>
          <w:numId w:val="1005"/>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11">
        <w:r>
          <w:rPr>
            <w:rStyle w:val="af4"/>
          </w:rPr>
          <w:t xml:space="preserve">10.1145/3803857</w:t>
        </w:r>
      </w:hyperlink>
      <w:r>
        <w:t xml:space="preserve">.</w:t>
      </w:r>
    </w:p>
    <w:p>
      <w:pPr>
        <w:pStyle w:val="Compact"/>
        <w:numPr>
          <w:ilvl w:val="0"/>
          <w:numId w:val="1005"/>
        </w:numPr>
        <w:spacing w:before="0" w:after="0" w:line="360" w:lineRule="auto"/>
        <w:ind w:left="0" w:firstLine="709"/>
      </w:pPr>
      <w:r>
        <w:t xml:space="preserve">Amazon Web Services. Amazon S3 User Guide [Электронный ресурс]. URL:</w:t>
      </w:r>
      <w:r>
        <w:t xml:space="preserve"> </w:t>
      </w:r>
      <w:hyperlink r:id="rId11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1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1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5"/>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15">
        <w:r>
          <w:rPr>
            <w:rStyle w:val="af4"/>
          </w:rPr>
          <w:t xml:space="preserve">10.1016/j.comcom.2026.108437</w:t>
        </w:r>
      </w:hyperlink>
      <w:r>
        <w:t xml:space="preserve">.</w:t>
      </w:r>
    </w:p>
    <w:p>
      <w:pPr>
        <w:pStyle w:val="Compact"/>
        <w:numPr>
          <w:ilvl w:val="0"/>
          <w:numId w:val="1005"/>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16">
        <w:r>
          <w:rPr>
            <w:rStyle w:val="af4"/>
          </w:rPr>
          <w:t xml:space="preserve">10.​17586/​2226-​1494-​2023-​23-​6-​1171-​1177</w:t>
        </w:r>
      </w:hyperlink>
      <w:r>
        <w:t xml:space="preserve">.</w:t>
      </w:r>
    </w:p>
    <w:p>
      <w:pPr>
        <w:pStyle w:val="Compact"/>
        <w:numPr>
          <w:ilvl w:val="0"/>
          <w:numId w:val="1005"/>
        </w:numPr>
        <w:spacing w:before="0" w:after="0" w:line="360" w:lineRule="auto"/>
        <w:ind w:left="0" w:firstLine="709"/>
      </w:pPr>
      <w:r>
        <w:t xml:space="preserve">Amazon Web Services. Naming Amazon S3 objects [Электронный ресурс]. URL:</w:t>
      </w:r>
      <w:r>
        <w:t xml:space="preserve"> </w:t>
      </w:r>
      <w:hyperlink r:id="rId11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1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1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Transitioning objects using Amazon S3 Lifecycle [Электронный ресурс]. URL:</w:t>
      </w:r>
      <w:r>
        <w:t xml:space="preserve"> </w:t>
      </w:r>
      <w:hyperlink r:id="rId12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21">
        <w:r>
          <w:rPr>
            <w:rStyle w:val="af4"/>
          </w:rPr>
          <w:t xml:space="preserve">https://​docs.​ceph.​com/​en/​squid/​radosgw/​placement/​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22">
        <w:r>
          <w:rPr>
            <w:rStyle w:val="af4"/>
          </w:rPr>
          <w:t xml:space="preserve">https://​docs.​ceph.​com/​en/​squid/​rados/​operations/​crush-​map-​edits/​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MinIO. Object Lifecycle Management. AIStor Documentation [Электронный ресурс]. URL:</w:t>
      </w:r>
      <w:r>
        <w:t xml:space="preserve"> </w:t>
      </w:r>
      <w:hyperlink r:id="rId12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MinIO. Object Tiering. AIStor Documentation [Электронный ресурс]. URL:</w:t>
      </w:r>
      <w:r>
        <w:t xml:space="preserve"> </w:t>
      </w:r>
      <w:hyperlink r:id="rId12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GetObject. Amazon S3 API Reference [Электронный ресурс]. URL:</w:t>
      </w:r>
      <w:r>
        <w:t xml:space="preserve"> </w:t>
      </w:r>
      <w:hyperlink r:id="rId125">
        <w:r>
          <w:rPr>
            <w:rStyle w:val="af4"/>
          </w:rPr>
          <w:t xml:space="preserve">https://​docs.​aws.​amazon.​com/​AmazonS3/​latest/​API/​API_​GetObject.​html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Amazon S3 server access log format [Электронный ресурс]. URL:</w:t>
      </w:r>
      <w:r>
        <w:t xml:space="preserve"> </w:t>
      </w:r>
      <w:hyperlink r:id="rId12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27">
        <w:r>
          <w:rPr>
            <w:rStyle w:val="af4"/>
          </w:rPr>
          <w:t xml:space="preserve">https://​arxiv.​org/​abs/​2305.​14818</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28">
        <w:r>
          <w:rPr>
            <w:rStyle w:val="af4"/>
          </w:rPr>
          <w:t xml:space="preserve">https://​www.​usenix.​org/​conference/​fast24/​presentation/​wong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Amazon S3 pricing [Электронный ресурс]. URL:</w:t>
      </w:r>
      <w:r>
        <w:t xml:space="preserve"> </w:t>
      </w:r>
      <w:hyperlink r:id="rId129">
        <w:r>
          <w:rPr>
            <w:rStyle w:val="af4"/>
          </w:rPr>
          <w:t xml:space="preserve">https://​aws.​amazon.​com/​s3/​pricing/​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30">
        <w:r>
          <w:rPr>
            <w:rStyle w:val="af4"/>
          </w:rPr>
          <w:t xml:space="preserve">https://​docs.​aws.​amazon.​com/​AmazonS3/​latest/​userguide/​Welcome.​html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3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3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5"/>
        </w:numPr>
        <w:spacing w:before="0" w:after="0" w:line="360" w:lineRule="auto"/>
        <w:ind w:left="0" w:firstLine="709"/>
      </w:pPr>
      <w:r>
        <w:t xml:space="preserve">CacheMon. Open-source Cache Dataset. Раздел Meta CDN request traces [Электронный ресурс]. URL:</w:t>
      </w:r>
      <w:r>
        <w:t xml:space="preserve"> </w:t>
      </w:r>
      <w:hyperlink r:id="rId13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3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5"/>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3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3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5"/>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37">
        <w:r>
          <w:rPr>
            <w:rStyle w:val="af4"/>
          </w:rPr>
          <w:t xml:space="preserve">https://​www.​usenix.​org/​conference/​fast18/​presentation/​anwar</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38">
        <w:r>
          <w:rPr>
            <w:rStyle w:val="af4"/>
          </w:rPr>
          <w:t xml:space="preserve">https://​github.​com/​ds2-​lab/​IBM-​docker-​registry-​traces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39">
        <w:r>
          <w:rPr>
            <w:rStyle w:val="af4"/>
          </w:rPr>
          <w:t xml:space="preserve">https://www.pdl.cmu.edu/CILES/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40">
        <w:r>
          <w:rPr>
            <w:rStyle w:val="af4"/>
          </w:rPr>
          <w:t xml:space="preserve">10.14778/3357377.3357381</w:t>
        </w:r>
      </w:hyperlink>
      <w:r>
        <w:t xml:space="preserve">. URL:</w:t>
      </w:r>
      <w:r>
        <w:t xml:space="preserve"> </w:t>
      </w:r>
      <w:hyperlink r:id="rId141">
        <w:r>
          <w:rPr>
            <w:rStyle w:val="af4"/>
          </w:rPr>
          <w:t xml:space="preserve">https://​www.​vldb.​org/​pvldb/​vol13/​p43-​herodotou.​pdf</w:t>
        </w:r>
      </w:hyperlink>
      <w:r>
        <w:t xml:space="preserve"> </w:t>
      </w:r>
      <w:r>
        <w:t xml:space="preserve">(дата обращения: 04.10.2026).</w:t>
      </w:r>
    </w:p>
    <w:p>
      <w:pPr>
        <w:pStyle w:val="Compact"/>
        <w:numPr>
          <w:ilvl w:val="0"/>
          <w:numId w:val="1005"/>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42">
        <w:r>
          <w:rPr>
            <w:rStyle w:val="af4"/>
          </w:rPr>
          <w:t xml:space="preserve">10.​1109/​FiCloud66139.​2025.​00024</w:t>
        </w:r>
      </w:hyperlink>
      <w:r>
        <w:t xml:space="preserve">.</w:t>
      </w:r>
    </w:p>
    <w:p>
      <w:pPr>
        <w:pStyle w:val="Compact"/>
        <w:numPr>
          <w:ilvl w:val="0"/>
          <w:numId w:val="1005"/>
        </w:numPr>
        <w:spacing w:before="0" w:after="0" w:line="360" w:lineRule="auto"/>
        <w:ind w:left="0" w:firstLine="709"/>
      </w:pPr>
      <w:r>
        <w:t xml:space="preserve">Ceph. Rados Gateway Data Layout. Документация версии Squid [Электронный ресурс]. URL:</w:t>
      </w:r>
      <w:r>
        <w:t xml:space="preserve"> </w:t>
      </w:r>
      <w:hyperlink r:id="rId143">
        <w:r>
          <w:rPr>
            <w:rStyle w:val="af4"/>
          </w:rPr>
          <w:t xml:space="preserve">https://​docs.​ceph.​com/​en/​squid/​radosgw/​layout/​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Logging requests with server access logging [Электронный ресурс]. URL:</w:t>
      </w:r>
      <w:r>
        <w:t xml:space="preserve"> </w:t>
      </w:r>
      <w:hyperlink r:id="rId14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Kellerer H., Pferschy U., Pisinger D. Knapsack Problems. Berlin; Heidelberg: Springer, 2004. 546 p. DOI:</w:t>
      </w:r>
      <w:r>
        <w:t xml:space="preserve"> </w:t>
      </w:r>
      <w:hyperlink r:id="rId145">
        <w:r>
          <w:rPr>
            <w:rStyle w:val="af4"/>
          </w:rPr>
          <w:t xml:space="preserve">10.1007/978-3-540-24777-7</w:t>
        </w:r>
      </w:hyperlink>
      <w:r>
        <w:t xml:space="preserve">.</w:t>
      </w:r>
    </w:p>
    <w:p>
      <w:pPr>
        <w:pStyle w:val="Compact"/>
        <w:numPr>
          <w:ilvl w:val="0"/>
          <w:numId w:val="1005"/>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46">
        <w:r>
          <w:rPr>
            <w:rStyle w:val="af4"/>
          </w:rPr>
          <w:t xml:space="preserve">10.1016/0304-4076(86)90002-3</w:t>
        </w:r>
      </w:hyperlink>
      <w:r>
        <w:t xml:space="preserve">.</w:t>
      </w:r>
    </w:p>
    <w:p>
      <w:pPr>
        <w:pStyle w:val="Compact"/>
        <w:numPr>
          <w:ilvl w:val="0"/>
          <w:numId w:val="1005"/>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47">
        <w:r>
          <w:rPr>
            <w:rStyle w:val="af4"/>
          </w:rPr>
          <w:t xml:space="preserve">10.1214/aos/1013203451</w:t>
        </w:r>
      </w:hyperlink>
      <w:r>
        <w:t xml:space="preserve">.</w:t>
      </w:r>
    </w:p>
    <w:p>
      <w:pPr>
        <w:pStyle w:val="Compact"/>
        <w:numPr>
          <w:ilvl w:val="0"/>
          <w:numId w:val="1005"/>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48">
        <w:r>
          <w:rPr>
            <w:rStyle w:val="af4"/>
          </w:rPr>
          <w:t xml:space="preserve">10.2307/2344614</w:t>
        </w:r>
      </w:hyperlink>
      <w:r>
        <w:t xml:space="preserve">.</w:t>
      </w:r>
    </w:p>
    <w:p>
      <w:pPr>
        <w:pStyle w:val="Compact"/>
        <w:numPr>
          <w:ilvl w:val="0"/>
          <w:numId w:val="1005"/>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49">
        <w:r>
          <w:rPr>
            <w:rStyle w:val="af4"/>
          </w:rPr>
          <w:t xml:space="preserve">https://​lightgbm.​readthedocs.​io/​en/​latest/​Parameters.​html</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50">
        <w:r>
          <w:rPr>
            <w:rStyle w:val="af4"/>
          </w:rPr>
          <w:t xml:space="preserve">https://​arxiv.​org/​abs/​2207.​08815</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51">
        <w:r>
          <w:rPr>
            <w:rStyle w:val="af4"/>
          </w:rPr>
          <w:t xml:space="preserve">https://​kafka.​apache.​org/​documentation/#​semantics</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52">
        <w:r>
          <w:rPr>
            <w:rStyle w:val="af4"/>
          </w:rPr>
          <w:t xml:space="preserve">https://​scikit-​learn.​org/​stable/​common_​pitfalls.​html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Scikit-learn developers. TimeSeriesSplit [Электронный ресурс]. URL:</w:t>
      </w:r>
      <w:r>
        <w:t xml:space="preserve"> </w:t>
      </w:r>
      <w:hyperlink r:id="rId153">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54">
        <w:r>
          <w:rPr>
            <w:rStyle w:val="af4"/>
          </w:rPr>
          <w:t xml:space="preserve">10.1145/1143844.1143874</w:t>
        </w:r>
      </w:hyperlink>
      <w:r>
        <w:t xml:space="preserve">.</w:t>
      </w:r>
    </w:p>
    <w:p>
      <w:pPr>
        <w:pStyle w:val="Compact"/>
        <w:numPr>
          <w:ilvl w:val="0"/>
          <w:numId w:val="1005"/>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55">
        <w:r>
          <w:rPr>
            <w:rStyle w:val="af4"/>
          </w:rPr>
          <w:t xml:space="preserve">10.​1175/​1520-​0493(1950)078&lt;0001:VOFEIT&gt;2.​0.​CO;2</w:t>
        </w:r>
      </w:hyperlink>
      <w:r>
        <w:t xml:space="preserve">.</w:t>
      </w:r>
    </w:p>
    <w:p>
      <w:pPr>
        <w:pStyle w:val="Compact"/>
        <w:numPr>
          <w:ilvl w:val="0"/>
          <w:numId w:val="1005"/>
        </w:numPr>
        <w:spacing w:before="0" w:after="0" w:line="360" w:lineRule="auto"/>
        <w:ind w:left="0" w:firstLine="709"/>
      </w:pPr>
      <w:r>
        <w:t xml:space="preserve">Dantzig G. B. Discrete-Variable Extremum Problems // Operations Research. 1957. Vol. 5, no. 2. P. 266–288. DOI:</w:t>
      </w:r>
      <w:r>
        <w:t xml:space="preserve"> </w:t>
      </w:r>
      <w:hyperlink r:id="rId156">
        <w:r>
          <w:rPr>
            <w:rStyle w:val="af4"/>
          </w:rPr>
          <w:t xml:space="preserve">10.1287/opre.5.2.266</w:t>
        </w:r>
      </w:hyperlink>
      <w:r>
        <w:t xml:space="preserve">.</w:t>
      </w:r>
    </w:p>
    <w:p>
      <w:pPr>
        <w:pStyle w:val="Compact"/>
        <w:numPr>
          <w:ilvl w:val="0"/>
          <w:numId w:val="1005"/>
        </w:numPr>
        <w:spacing w:before="0" w:after="0" w:line="360" w:lineRule="auto"/>
        <w:ind w:left="0" w:firstLine="709"/>
      </w:pPr>
      <w:r>
        <w:t xml:space="preserve">Kleppmann M. Designing Data-Intensive Applications. Sebastopol: O’Reilly Media, 2017. 616 p.</w:t>
      </w:r>
    </w:p>
    <w:p>
      <w:pPr>
        <w:pStyle w:val="Compact"/>
        <w:numPr>
          <w:ilvl w:val="0"/>
          <w:numId w:val="1005"/>
        </w:numPr>
        <w:spacing w:before="0" w:after="0" w:line="360" w:lineRule="auto"/>
        <w:ind w:left="0" w:firstLine="709"/>
      </w:pPr>
      <w:r>
        <w:t xml:space="preserve">Amazon Web Services. Checking object integrity for data uploads in Amazon S3 [Электронный ресурс]. URL:</w:t>
      </w:r>
      <w:r>
        <w:t xml:space="preserve"> </w:t>
      </w:r>
      <w:hyperlink r:id="rId157">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58">
        <w:r>
          <w:rPr>
            <w:rStyle w:val="af4"/>
          </w:rPr>
          <w:t xml:space="preserve">https://​www.​omg.​org/​spec/​UML/​2.​5.​1/​</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59">
        <w:r>
          <w:rPr>
            <w:rStyle w:val="af4"/>
          </w:rPr>
          <w:t xml:space="preserve">https://​www.​omg.​org/​spec/​BPMN/​2.​0.​2/​</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60">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61">
        <w:r>
          <w:rPr>
            <w:rStyle w:val="af4"/>
          </w:rPr>
          <w:t xml:space="preserve">https://​github.​com/​dmitryikh/​leaves</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62">
        <w:r>
          <w:rPr>
            <w:rStyle w:val="af4"/>
          </w:rPr>
          <w:t xml:space="preserve">https://​www.​postgresql.​org/​docs/​16/​mvcc.​html</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63">
        <w:r>
          <w:rPr>
            <w:rStyle w:val="af4"/>
          </w:rPr>
          <w:t xml:space="preserve">https://​github.​com/​yalue/​onnxruntime_​go</w:t>
        </w:r>
      </w:hyperlink>
      <w:r>
        <w:t xml:space="preserve"> </w:t>
      </w:r>
      <w:r>
        <w:t xml:space="preserve">(дата обращения: 20.10.2026).</w:t>
      </w:r>
    </w:p>
    <w:bookmarkEnd w:id="164"/>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2026-10-22T11:53:17Z</dcterms:created>
  <dcterms:modified xsi:type="dcterms:W3CDTF">2026-10-22T11:53:17Z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