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7.png" ContentType="image/png"/>
  <Override PartName="/word/media/rId82.png" ContentType="image/png"/>
  <Override PartName="/word/media/rId91.png" ContentType="image/png"/>
  <Override PartName="/word/media/rId169.png" ContentType="image/png"/>
  <Override PartName="/word/media/rId57.png" ContentType="image/png"/>
  <Override PartName="/word/media/rId71.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74">
            <w:r>
              <w:t>ВВЕДЕНИЕ</w:t>
            </w:r>
          </w:hyperlink>
          <w:r>
            <w:tab/>
          </w:r>
          <w:fldSimple w:instr="PAGEREF &quot;GOSTHeading174&quot; \h" w:dirty="true">
            <w:r>
              <w:t>—</w:t>
            </w:r>
          </w:fldSimple>
        </w:p>
        <w:p>
          <w:pPr>
            <w:pStyle w:val="10"/>
          </w:pPr>
          <w:hyperlink w:anchor="GOSTHeading175">
            <w:r>
              <w:t>ЛИТЕРАТУРНЫЙ ОБЗОР</w:t>
            </w:r>
          </w:hyperlink>
          <w:r>
            <w:tab/>
          </w:r>
          <w:fldSimple w:instr="PAGEREF &quot;GOSTHeading175&quot; \h" w:dirty="true">
            <w:r>
              <w:t>—</w:t>
            </w:r>
          </w:fldSimple>
        </w:p>
        <w:p>
          <w:pPr>
            <w:pStyle w:val="10"/>
          </w:pPr>
          <w:hyperlink w:anchor="GOSTHeading176">
            <w:r>
              <w:t>1 ИССЛЕДОВАТЕЛЬСКИЙ РАЗДЕЛ</w:t>
            </w:r>
          </w:hyperlink>
          <w:r>
            <w:tab/>
          </w:r>
          <w:fldSimple w:instr="PAGEREF &quot;GOSTHeading176&quot; \h" w:dirty="true">
            <w:r>
              <w:t>—</w:t>
            </w:r>
          </w:fldSimple>
        </w:p>
        <w:p>
          <w:pPr>
            <w:pStyle w:val="22"/>
          </w:pPr>
          <w:hyperlink w:anchor="GOSTHeading177">
            <w:r>
              <w:t>1.1 Анализ предметной области</w:t>
            </w:r>
          </w:hyperlink>
          <w:r>
            <w:tab/>
          </w:r>
          <w:fldSimple w:instr="PAGEREF &quot;GOSTHeading177&quot; \h" w:dirty="true">
            <w:r>
              <w:t>—</w:t>
            </w:r>
          </w:fldSimple>
        </w:p>
        <w:p>
          <w:pPr>
            <w:pStyle w:val="31"/>
          </w:pPr>
          <w:hyperlink w:anchor="GOSTHeading178">
            <w:r>
              <w:t>1.1.1 Предметная область и участники процесса</w:t>
            </w:r>
          </w:hyperlink>
          <w:r>
            <w:tab/>
          </w:r>
          <w:fldSimple w:instr="PAGEREF &quot;GOSTHeading178&quot; \h" w:dirty="true">
            <w:r>
              <w:t>—</w:t>
            </w:r>
          </w:fldSimple>
        </w:p>
        <w:p>
          <w:pPr>
            <w:pStyle w:val="31"/>
          </w:pPr>
          <w:hyperlink w:anchor="GOSTHeading179">
            <w:r>
              <w:t>1.1.2 Объектная модель и единица размещения</w:t>
            </w:r>
          </w:hyperlink>
          <w:r>
            <w:tab/>
          </w:r>
          <w:fldSimple w:instr="PAGEREF &quot;GOSTHeading179&quot; \h" w:dirty="true">
            <w:r>
              <w:t>—</w:t>
            </w:r>
          </w:fldSimple>
        </w:p>
        <w:p>
          <w:pPr>
            <w:pStyle w:val="31"/>
          </w:pPr>
          <w:hyperlink w:anchor="GOSTHeading180">
            <w:r>
              <w:t>1.1.3 Классы хранения и характеристики ресурсов</w:t>
            </w:r>
          </w:hyperlink>
          <w:r>
            <w:tab/>
          </w:r>
          <w:fldSimple w:instr="PAGEREF &quot;GOSTHeading180&quot; \h" w:dirty="true">
            <w:r>
              <w:t>—</w:t>
            </w:r>
          </w:fldSimple>
        </w:p>
        <w:p>
          <w:pPr>
            <w:pStyle w:val="31"/>
          </w:pPr>
          <w:hyperlink w:anchor="GOSTHeading181">
            <w:r>
              <w:t>1.1.4 Востребованность и история обращений</w:t>
            </w:r>
          </w:hyperlink>
          <w:r>
            <w:tab/>
          </w:r>
          <w:fldSimple w:instr="PAGEREF &quot;GOSTHeading181&quot; \h" w:dirty="true">
            <w:r>
              <w:t>—</w:t>
            </w:r>
          </w:fldSimple>
        </w:p>
        <w:p>
          <w:pPr>
            <w:pStyle w:val="31"/>
          </w:pPr>
          <w:hyperlink w:anchor="GOSTHeading182">
            <w:r>
              <w:t>1.1.5 Способы управления размещением</w:t>
            </w:r>
          </w:hyperlink>
          <w:r>
            <w:tab/>
          </w:r>
          <w:fldSimple w:instr="PAGEREF &quot;GOSTHeading182&quot; \h" w:dirty="true">
            <w:r>
              <w:t>—</w:t>
            </w:r>
          </w:fldSimple>
        </w:p>
        <w:p>
          <w:pPr>
            <w:pStyle w:val="31"/>
          </w:pPr>
          <w:hyperlink w:anchor="GOSTHeading183">
            <w:r>
              <w:t>1.1.6 Ресурсные ограничения и затраты</w:t>
            </w:r>
          </w:hyperlink>
          <w:r>
            <w:tab/>
          </w:r>
          <w:fldSimple w:instr="PAGEREF &quot;GOSTHeading183&quot; \h" w:dirty="true">
            <w:r>
              <w:t>—</w:t>
            </w:r>
          </w:fldSimple>
        </w:p>
        <w:p>
          <w:pPr>
            <w:pStyle w:val="31"/>
          </w:pPr>
          <w:hyperlink w:anchor="GOSTHeading184">
            <w:r>
              <w:t>1.1.7 Согласованность и безопасное перемещение</w:t>
            </w:r>
          </w:hyperlink>
          <w:r>
            <w:tab/>
          </w:r>
          <w:fldSimple w:instr="PAGEREF &quot;GOSTHeading184&quot; \h" w:dirty="true">
            <w:r>
              <w:t>—</w:t>
            </w:r>
          </w:fldSimple>
        </w:p>
        <w:p>
          <w:pPr>
            <w:pStyle w:val="31"/>
          </w:pPr>
          <w:hyperlink w:anchor="GOSTHeading185">
            <w:r>
              <w:t>1.1.8 Источники данных и условия исследования</w:t>
            </w:r>
          </w:hyperlink>
          <w:r>
            <w:tab/>
          </w:r>
          <w:fldSimple w:instr="PAGEREF &quot;GOSTHeading185&quot; \h" w:dirty="true">
            <w:r>
              <w:t>—</w:t>
            </w:r>
          </w:fldSimple>
        </w:p>
        <w:p>
          <w:pPr>
            <w:pStyle w:val="22"/>
          </w:pPr>
          <w:hyperlink w:anchor="GOSTHeading186">
            <w:r>
              <w:t>1.2 Анализ существующих решений</w:t>
            </w:r>
          </w:hyperlink>
          <w:r>
            <w:tab/>
          </w:r>
          <w:fldSimple w:instr="PAGEREF &quot;GOSTHeading186&quot; \h" w:dirty="true">
            <w:r>
              <w:t>—</w:t>
            </w:r>
          </w:fldSimple>
        </w:p>
        <w:p>
          <w:pPr>
            <w:pStyle w:val="31"/>
          </w:pPr>
          <w:hyperlink w:anchor="GOSTHeading187">
            <w:r>
              <w:t>1.2.1 Анализ критериев</w:t>
            </w:r>
          </w:hyperlink>
          <w:r>
            <w:tab/>
          </w:r>
          <w:fldSimple w:instr="PAGEREF &quot;GOSTHeading187&quot; \h" w:dirty="true">
            <w:r>
              <w:t>—</w:t>
            </w:r>
          </w:fldSimple>
        </w:p>
        <w:p>
          <w:pPr>
            <w:pStyle w:val="31"/>
          </w:pPr>
          <w:hyperlink w:anchor="GOSTHeading188">
            <w:r>
              <w:t>1.2.2 Обзор аналогов</w:t>
            </w:r>
          </w:hyperlink>
          <w:r>
            <w:tab/>
          </w:r>
          <w:fldSimple w:instr="PAGEREF &quot;GOSTHeading188&quot; \h" w:dirty="true">
            <w:r>
              <w:t>—</w:t>
            </w:r>
          </w:fldSimple>
        </w:p>
        <w:p>
          <w:pPr>
            <w:pStyle w:val="31"/>
          </w:pPr>
          <w:hyperlink w:anchor="GOSTHeading189">
            <w:r>
              <w:t>1.2.3 Сопоставление аналогов</w:t>
            </w:r>
          </w:hyperlink>
          <w:r>
            <w:tab/>
          </w:r>
          <w:fldSimple w:instr="PAGEREF &quot;GOSTHeading189&quot; \h" w:dirty="true">
            <w:r>
              <w:t>—</w:t>
            </w:r>
          </w:fldSimple>
        </w:p>
        <w:p>
          <w:pPr>
            <w:pStyle w:val="22"/>
          </w:pPr>
          <w:hyperlink w:anchor="GOSTHeading190">
            <w:r>
              <w:t>1.3 Требования к разрабатываемой системе</w:t>
            </w:r>
          </w:hyperlink>
          <w:r>
            <w:tab/>
          </w:r>
          <w:fldSimple w:instr="PAGEREF &quot;GOSTHeading190&quot; \h" w:dirty="true">
            <w:r>
              <w:t>—</w:t>
            </w:r>
          </w:fldSimple>
        </w:p>
        <w:p>
          <w:pPr>
            <w:pStyle w:val="31"/>
          </w:pPr>
          <w:hyperlink w:anchor="GOSTHeading191">
            <w:r>
              <w:t>1.3.1 Назначение и границы разрабатываемого расширения</w:t>
            </w:r>
          </w:hyperlink>
          <w:r>
            <w:tab/>
          </w:r>
          <w:fldSimple w:instr="PAGEREF &quot;GOSTHeading191&quot; \h" w:dirty="true">
            <w:r>
              <w:t>—</w:t>
            </w:r>
          </w:fldSimple>
        </w:p>
        <w:p>
          <w:pPr>
            <w:pStyle w:val="31"/>
          </w:pPr>
          <w:hyperlink w:anchor="GOSTHeading192">
            <w:r>
              <w:t>1.3.2 Требования к выполняемым функциям</w:t>
            </w:r>
          </w:hyperlink>
          <w:r>
            <w:tab/>
          </w:r>
          <w:fldSimple w:instr="PAGEREF &quot;GOSTHeading192&quot; \h" w:dirty="true">
            <w:r>
              <w:t>—</w:t>
            </w:r>
          </w:fldSimple>
        </w:p>
        <w:p>
          <w:pPr>
            <w:pStyle w:val="31"/>
          </w:pPr>
          <w:hyperlink w:anchor="GOSTHeading193">
            <w:r>
              <w:t>1.3.3 Требования к надёжности и сохранности данных</w:t>
            </w:r>
          </w:hyperlink>
          <w:r>
            <w:tab/>
          </w:r>
          <w:fldSimple w:instr="PAGEREF &quot;GOSTHeading193&quot; \h" w:dirty="true">
            <w:r>
              <w:t>—</w:t>
            </w:r>
          </w:fldSimple>
        </w:p>
        <w:p>
          <w:pPr>
            <w:pStyle w:val="31"/>
          </w:pPr>
          <w:hyperlink w:anchor="GOSTHeading194">
            <w:r>
              <w:t>1.3.4 Требования к доступу и интерфейсу администратора</w:t>
            </w:r>
          </w:hyperlink>
          <w:r>
            <w:tab/>
          </w:r>
          <w:fldSimple w:instr="PAGEREF &quot;GOSTHeading194&quot; \h" w:dirty="true">
            <w:r>
              <w:t>—</w:t>
            </w:r>
          </w:fldSimple>
        </w:p>
        <w:p>
          <w:pPr>
            <w:pStyle w:val="31"/>
          </w:pPr>
          <w:hyperlink w:anchor="GOSTHeading195">
            <w:r>
              <w:t>1.3.5 Требования к ресурсам, совместимости и контролю выполнения</w:t>
            </w:r>
          </w:hyperlink>
          <w:r>
            <w:tab/>
          </w:r>
          <w:fldSimple w:instr="PAGEREF &quot;GOSTHeading195&quot; \h" w:dirty="true">
            <w:r>
              <w:t>—</w:t>
            </w:r>
          </w:fldSimple>
        </w:p>
        <w:p>
          <w:pPr>
            <w:pStyle w:val="31"/>
          </w:pPr>
          <w:hyperlink w:anchor="GOSTHeading196">
            <w:r>
              <w:t>1.3.6 Требования к жизненному циклу модели</w:t>
            </w:r>
          </w:hyperlink>
          <w:r>
            <w:tab/>
          </w:r>
          <w:fldSimple w:instr="PAGEREF &quot;GOSTHeading196&quot; \h" w:dirty="true">
            <w:r>
              <w:t>—</w:t>
            </w:r>
          </w:fldSimple>
        </w:p>
        <w:p>
          <w:pPr>
            <w:pStyle w:val="31"/>
          </w:pPr>
          <w:hyperlink w:anchor="GOSTHeading197">
            <w:r>
              <w:t>1.3.7 Требования к проверке эффективности и минимальному результату</w:t>
            </w:r>
          </w:hyperlink>
          <w:r>
            <w:tab/>
          </w:r>
          <w:fldSimple w:instr="PAGEREF &quot;GOSTHeading197&quot; \h" w:dirty="true">
            <w:r>
              <w:t>—</w:t>
            </w:r>
          </w:fldSimple>
        </w:p>
        <w:p>
          <w:pPr>
            <w:pStyle w:val="22"/>
          </w:pPr>
          <w:hyperlink w:anchor="GOSTHeading198">
            <w:r>
              <w:t>1.4 Выводы по исследовательскому разделу</w:t>
            </w:r>
          </w:hyperlink>
          <w:r>
            <w:tab/>
          </w:r>
          <w:fldSimple w:instr="PAGEREF &quot;GOSTHeading198&quot; \h" w:dirty="true">
            <w:r>
              <w:t>—</w:t>
            </w:r>
          </w:fldSimple>
        </w:p>
        <w:p>
          <w:pPr>
            <w:pStyle w:val="10"/>
          </w:pPr>
          <w:hyperlink w:anchor="GOSTHeading199">
            <w:r>
              <w:t>2 АНАЛИТИЧЕСКИЙ РАЗДЕЛ</w:t>
            </w:r>
          </w:hyperlink>
          <w:r>
            <w:tab/>
          </w:r>
          <w:fldSimple w:instr="PAGEREF &quot;GOSTHeading199&quot; \h" w:dirty="true">
            <w:r>
              <w:t>—</w:t>
            </w:r>
          </w:fldSimple>
        </w:p>
        <w:p>
          <w:pPr>
            <w:pStyle w:val="22"/>
          </w:pPr>
          <w:hyperlink w:anchor="GOSTHeading200">
            <w:r>
              <w:t>2.1 Математическое и алгоритмическое обеспечение</w:t>
            </w:r>
          </w:hyperlink>
          <w:r>
            <w:tab/>
          </w:r>
          <w:fldSimple w:instr="PAGEREF &quot;GOSTHeading200&quot; \h" w:dirty="true">
            <w:r>
              <w:t>—</w:t>
            </w:r>
          </w:fldSimple>
        </w:p>
        <w:p>
          <w:pPr>
            <w:pStyle w:val="31"/>
          </w:pPr>
          <w:hyperlink w:anchor="GOSTHeading201">
            <w:r>
              <w:t>2.1.1 Постановка задачи размещения</w:t>
            </w:r>
          </w:hyperlink>
          <w:r>
            <w:tab/>
          </w:r>
          <w:fldSimple w:instr="PAGEREF &quot;GOSTHeading201&quot; \h" w:dirty="true">
            <w:r>
              <w:t>—</w:t>
            </w:r>
          </w:fldSimple>
        </w:p>
        <w:p>
          <w:pPr>
            <w:pStyle w:val="31"/>
          </w:pPr>
          <w:hyperlink w:anchor="GOSTHeading202">
            <w:r>
              <w:t>2.1.2 Модель прогнозирования востребованности</w:t>
            </w:r>
          </w:hyperlink>
          <w:r>
            <w:tab/>
          </w:r>
          <w:fldSimple w:instr="PAGEREF &quot;GOSTHeading202&quot; \h" w:dirty="true">
            <w:r>
              <w:t>—</w:t>
            </w:r>
          </w:fldSimple>
        </w:p>
        <w:p>
          <w:pPr>
            <w:pStyle w:val="31"/>
          </w:pPr>
          <w:hyperlink w:anchor="GOSTHeading203">
            <w:r>
              <w:t>2.1.3 Обработка данных и формирование обучающих примеров</w:t>
            </w:r>
          </w:hyperlink>
          <w:r>
            <w:tab/>
          </w:r>
          <w:fldSimple w:instr="PAGEREF &quot;GOSTHeading203&quot; \h" w:dirty="true">
            <w:r>
              <w:t>—</w:t>
            </w:r>
          </w:fldSimple>
        </w:p>
        <w:p>
          <w:pPr>
            <w:pStyle w:val="31"/>
          </w:pPr>
          <w:hyperlink w:anchor="GOSTHeading204">
            <w:r>
              <w:t>2.1.4 Обучение, проверка и ввод модели в работу</w:t>
            </w:r>
          </w:hyperlink>
          <w:r>
            <w:tab/>
          </w:r>
          <w:fldSimple w:instr="PAGEREF &quot;GOSTHeading204&quot; \h" w:dirty="true">
            <w:r>
              <w:t>—</w:t>
            </w:r>
          </w:fldSimple>
        </w:p>
        <w:p>
          <w:pPr>
            <w:pStyle w:val="31"/>
          </w:pPr>
          <w:hyperlink w:anchor="GOSTHeading205">
            <w:r>
              <w:t>2.1.5 Алгоритм формирования плана размещения</w:t>
            </w:r>
          </w:hyperlink>
          <w:r>
            <w:tab/>
          </w:r>
          <w:fldSimple w:instr="PAGEREF &quot;GOSTHeading205&quot; \h" w:dirty="true">
            <w:r>
              <w:t>—</w:t>
            </w:r>
          </w:fldSimple>
        </w:p>
        <w:p>
          <w:pPr>
            <w:pStyle w:val="31"/>
          </w:pPr>
          <w:hyperlink w:anchor="GOSTHeading206">
            <w:r>
              <w:t>2.1.6 Объяснение рекомендаций</w:t>
            </w:r>
          </w:hyperlink>
          <w:r>
            <w:tab/>
          </w:r>
          <w:fldSimple w:instr="PAGEREF &quot;GOSTHeading206&quot; \h" w:dirty="true">
            <w:r>
              <w:t>—</w:t>
            </w:r>
          </w:fldSimple>
        </w:p>
        <w:p>
          <w:pPr>
            <w:pStyle w:val="31"/>
          </w:pPr>
          <w:hyperlink w:anchor="GOSTHeading207">
            <w:r>
              <w:t>2.1.7 Протокол безопасного переноса</w:t>
            </w:r>
          </w:hyperlink>
          <w:r>
            <w:tab/>
          </w:r>
          <w:fldSimple w:instr="PAGEREF &quot;GOSTHeading207&quot; \h" w:dirty="true">
            <w:r>
              <w:t>—</w:t>
            </w:r>
          </w:fldSimple>
        </w:p>
        <w:p>
          <w:pPr>
            <w:pStyle w:val="22"/>
          </w:pPr>
          <w:hyperlink w:anchor="GOSTHeading208">
            <w:r>
              <w:t>2.2 Модели процессов</w:t>
            </w:r>
          </w:hyperlink>
          <w:r>
            <w:tab/>
          </w:r>
          <w:fldSimple w:instr="PAGEREF &quot;GOSTHeading208&quot; \h" w:dirty="true">
            <w:r>
              <w:t>—</w:t>
            </w:r>
          </w:fldSimple>
        </w:p>
        <w:p>
          <w:pPr>
            <w:pStyle w:val="31"/>
          </w:pPr>
          <w:hyperlink w:anchor="GOSTHeading209">
            <w:r>
              <w:t>2.2.1 Исходный процесс управления размещением</w:t>
            </w:r>
          </w:hyperlink>
          <w:r>
            <w:tab/>
          </w:r>
          <w:fldSimple w:instr="PAGEREF &quot;GOSTHeading209&quot; \h" w:dirty="true">
            <w:r>
              <w:t>—</w:t>
            </w:r>
          </w:fldSimple>
        </w:p>
        <w:p>
          <w:pPr>
            <w:pStyle w:val="31"/>
          </w:pPr>
          <w:hyperlink w:anchor="GOSTHeading210">
            <w:r>
              <w:t>2.2.2 Проектируемый процесс</w:t>
            </w:r>
          </w:hyperlink>
          <w:r>
            <w:tab/>
          </w:r>
          <w:fldSimple w:instr="PAGEREF &quot;GOSTHeading210&quot; \h" w:dirty="true">
            <w:r>
              <w:t>—</w:t>
            </w:r>
          </w:fldSimple>
        </w:p>
        <w:p>
          <w:pPr>
            <w:pStyle w:val="31"/>
          </w:pPr>
          <w:hyperlink w:anchor="GOSTHeading211">
            <w:r>
              <w:t>2.2.3 Сравнение процессов</w:t>
            </w:r>
          </w:hyperlink>
          <w:r>
            <w:tab/>
          </w:r>
          <w:fldSimple w:instr="PAGEREF &quot;GOSTHeading211&quot; \h" w:dirty="true">
            <w:r>
              <w:t>—</w:t>
            </w:r>
          </w:fldSimple>
        </w:p>
        <w:p>
          <w:pPr>
            <w:pStyle w:val="22"/>
          </w:pPr>
          <w:hyperlink w:anchor="GOSTHeading212">
            <w:r>
              <w:t>2.3 Архитектура системы</w:t>
            </w:r>
          </w:hyperlink>
          <w:r>
            <w:tab/>
          </w:r>
          <w:fldSimple w:instr="PAGEREF &quot;GOSTHeading212&quot; \h" w:dirty="true">
            <w:r>
              <w:t>—</w:t>
            </w:r>
          </w:fldSimple>
        </w:p>
        <w:p>
          <w:pPr>
            <w:pStyle w:val="31"/>
          </w:pPr>
          <w:hyperlink w:anchor="GOSTHeading213">
            <w:r>
              <w:t>2.3.1 Изменения компонентов OpenS3</w:t>
            </w:r>
          </w:hyperlink>
          <w:r>
            <w:tab/>
          </w:r>
          <w:fldSimple w:instr="PAGEREF &quot;GOSTHeading213&quot; \h" w:dirty="true">
            <w:r>
              <w:t>—</w:t>
            </w:r>
          </w:fldSimple>
        </w:p>
        <w:p>
          <w:pPr>
            <w:pStyle w:val="31"/>
          </w:pPr>
          <w:hyperlink w:anchor="GOSTHeading214">
            <w:r>
              <w:t>2.3.2 Компонентная модель</w:t>
            </w:r>
          </w:hyperlink>
          <w:r>
            <w:tab/>
          </w:r>
          <w:fldSimple w:instr="PAGEREF &quot;GOSTHeading214&quot; \h" w:dirty="true">
            <w:r>
              <w:t>—</w:t>
            </w:r>
          </w:fldSimple>
        </w:p>
        <w:p>
          <w:pPr>
            <w:pStyle w:val="31"/>
          </w:pPr>
          <w:hyperlink w:anchor="GOSTHeading215">
            <w:r>
              <w:t>2.3.3 Модель данных</w:t>
            </w:r>
          </w:hyperlink>
          <w:r>
            <w:tab/>
          </w:r>
          <w:fldSimple w:instr="PAGEREF &quot;GOSTHeading215&quot; \h" w:dirty="true">
            <w:r>
              <w:t>—</w:t>
            </w:r>
          </w:fldSimple>
        </w:p>
        <w:p>
          <w:pPr>
            <w:pStyle w:val="31"/>
          </w:pPr>
          <w:hyperlink w:anchor="GOSTHeading216">
            <w:r>
              <w:t>2.3.4 Анализ архитектуры</w:t>
            </w:r>
          </w:hyperlink>
          <w:r>
            <w:tab/>
          </w:r>
          <w:fldSimple w:instr="PAGEREF &quot;GOSTHeading216&quot; \h" w:dirty="true">
            <w:r>
              <w:t>—</w:t>
            </w:r>
          </w:fldSimple>
        </w:p>
        <w:p>
          <w:pPr>
            <w:pStyle w:val="31"/>
          </w:pPr>
          <w:hyperlink w:anchor="GOSTHeading217">
            <w:r>
              <w:t>2.3.5 Соответствие требованиям</w:t>
            </w:r>
          </w:hyperlink>
          <w:r>
            <w:tab/>
          </w:r>
          <w:fldSimple w:instr="PAGEREF &quot;GOSTHeading217&quot; \h" w:dirty="true">
            <w:r>
              <w:t>—</w:t>
            </w:r>
          </w:fldSimple>
        </w:p>
        <w:p>
          <w:pPr>
            <w:pStyle w:val="22"/>
          </w:pPr>
          <w:hyperlink w:anchor="GOSTHeading218">
            <w:r>
              <w:t>2.4 Обоснование инструментов реализации</w:t>
            </w:r>
          </w:hyperlink>
          <w:r>
            <w:tab/>
          </w:r>
          <w:fldSimple w:instr="PAGEREF &quot;GOSTHeading218&quot; \h" w:dirty="true">
            <w:r>
              <w:t>—</w:t>
            </w:r>
          </w:fldSimple>
        </w:p>
        <w:p>
          <w:pPr>
            <w:pStyle w:val="22"/>
          </w:pPr>
          <w:hyperlink w:anchor="GOSTHeading219">
            <w:r>
              <w:t>2.5 Выводы по аналитическому разделу</w:t>
            </w:r>
          </w:hyperlink>
          <w:r>
            <w:tab/>
          </w:r>
          <w:fldSimple w:instr="PAGEREF &quot;GOSTHeading219&quot; \h" w:dirty="true">
            <w:r>
              <w:t>—</w:t>
            </w:r>
          </w:fldSimple>
        </w:p>
        <w:p>
          <w:pPr>
            <w:pStyle w:val="10"/>
          </w:pPr>
          <w:hyperlink w:anchor="GOSTHeading220">
            <w:r>
              <w:t>СПИСОК ИСПОЛЬЗОВАННЫХ ИСТОЧНИКОВ</w:t>
            </w:r>
          </w:hyperlink>
          <w:r>
            <w:tab/>
          </w:r>
          <w:fldSimple w:instr="PAGEREF &quot;GOSTHeading220&quot; \h" w:dirty="true">
            <w:r>
              <w:t>—</w:t>
            </w:r>
          </w:fldSimple>
        </w:p>
        <w:p>
          <w:pPr>
            <w:pStyle w:val="10"/>
          </w:pPr>
          <w:hyperlink w:anchor="GOSTHeading221">
            <w:r>
              <w:t>ПРИЛОЖЕНИЯ</w:t>
            </w:r>
          </w:hyperlink>
          <w:r>
            <w:tab/>
          </w:r>
          <w:fldSimple w:instr="PAGEREF &quot;GOSTHeading221&quot; \h" w:dirty="true">
            <w:r>
              <w:t>—</w:t>
            </w:r>
          </w:fldSimple>
        </w:p>
        <w:p>
          <w:pPr>
            <w:pStyle w:val="10"/>
          </w:pPr>
          <w:hyperlink w:anchor="GOSTHeading222">
            <w:r>
              <w:t>Приложение А</w:t>
            </w:r>
          </w:hyperlink>
          <w:r>
            <w:tab/>
          </w:r>
          <w:fldSimple w:instr="PAGEREF &quot;GOSTHeading222&quot; \h" w:dirty="true">
            <w:r>
              <w:t>—</w:t>
            </w:r>
          </w:fldSimple>
        </w:p>
        <w:p>
          <w:pPr>
            <w:spacing w:before="0" w:after="0" w:line="1" w:lineRule="exact"/>
          </w:pPr>
          <w:r>
            <w:fldChar w:fldCharType="end"/>
          </w:r>
        </w:p>
      </w:sdtContent>
    </w:sdt>
    <w:bookmarkStart w:id="25" w:name="введение"/>
    <w:p>
      <w:pPr>
        <w:pStyle w:val="GOSTStructuralHeading"/>
      </w:pPr>
      <w:bookmarkStart w:id="174" w:name="GOSTHeading174"/>
      <w:r>
        <w:t xml:space="preserve">ВВЕДЕНИЕ</w:t>
      </w:r>
      <w:bookmarkEnd w:id="174"/>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время с последнего обращения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75" w:name="GOSTHeading175"/>
      <w:r>
        <w:t xml:space="preserve">ЛИТЕРАТУРНЫЙ ОБЗОР</w:t>
      </w:r>
      <w:bookmarkEnd w:id="175"/>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76" w:name="GOSTHeading176"/>
      <w:r>
        <w:t xml:space="preserve">1 ИССЛЕДОВАТЕЛЬСКИЙ РАЗДЕЛ</w:t>
      </w:r>
      <w:bookmarkEnd w:id="176"/>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77" w:name="GOSTHeading177"/>
      <w:r>
        <w:t xml:space="preserve">1.1 Анализ предметной области</w:t>
      </w:r>
      <w:bookmarkEnd w:id="177"/>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178" w:name="GOSTHeading178"/>
      <w:r>
        <w:t xml:space="preserve">1.1.1 Предметная область и участники процесса</w:t>
      </w:r>
      <w:bookmarkEnd w:id="178"/>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9" w:name="GOSTHeading179"/>
      <w:r>
        <w:t xml:space="preserve">1.1.2 Объектная модель и единица размещения</w:t>
      </w:r>
      <w:bookmarkEnd w:id="179"/>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80" w:name="GOSTHeading180"/>
      <w:r>
        <w:t xml:space="preserve">1.1.3 Классы хранения и характеристики ресурсов</w:t>
      </w:r>
      <w:bookmarkEnd w:id="180"/>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81" w:name="GOSTHeading181"/>
      <w:r>
        <w:t xml:space="preserve">1.1.4 Востребованность и история обращений</w:t>
      </w:r>
      <w:bookmarkEnd w:id="181"/>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время с последнего обращения,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82" w:name="GOSTHeading182"/>
      <w:r>
        <w:t xml:space="preserve">1.1.5 Способы управления размещением</w:t>
      </w:r>
      <w:bookmarkEnd w:id="182"/>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время с последнего обращения (англ. Least Recently Used, далее LRU), частоту обращений (англ. Least Frequently Used, далее LFU) или экспоненциально взвешенное скользящее среднее (англ. Exponentially Weighted Moving Average, далее EWMA) [50].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83" w:name="GOSTHeading183"/>
      <w:r>
        <w:t xml:space="preserve">1.1.6 Ресурсные ограничения и затраты</w:t>
      </w:r>
      <w:bookmarkEnd w:id="183"/>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84" w:name="GOSTHeading184"/>
      <w:r>
        <w:t xml:space="preserve">1.1.7 Согласованность и безопасное перемещение</w:t>
      </w:r>
      <w:bookmarkEnd w:id="184"/>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85" w:name="GOSTHeading185"/>
      <w:r>
        <w:t xml:space="preserve">1.1.8 Источники данных и условия исследования</w:t>
      </w:r>
      <w:bookmarkEnd w:id="185"/>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86" w:name="GOSTHeading186"/>
      <w:r>
        <w:t xml:space="preserve">1.2 Анализ существующих решений</w:t>
      </w:r>
      <w:bookmarkEnd w:id="186"/>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87" w:name="GOSTHeading187"/>
      <w:r>
        <w:t xml:space="preserve">1.2.1 Анализ критериев</w:t>
      </w:r>
      <w:bookmarkEnd w:id="187"/>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88" w:name="GOSTHeading188"/>
      <w:r>
        <w:t xml:space="preserve">1.2.2 Обзор аналогов</w:t>
      </w:r>
      <w:bookmarkEnd w:id="188"/>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9" w:name="GOSTHeading189"/>
      <w:r>
        <w:t xml:space="preserve">1.2.3 Сопоставление аналогов</w:t>
      </w:r>
      <w:bookmarkEnd w:id="189"/>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время с последнего обращения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90" w:name="GOSTHeading190"/>
      <w:r>
        <w:t xml:space="preserve">1.3 Требования к разрабатываемой системе</w:t>
      </w:r>
      <w:bookmarkEnd w:id="190"/>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91" w:name="GOSTHeading191"/>
      <w:r>
        <w:t xml:space="preserve">1.3.1 Назначение и границы разрабатываемого расширения</w:t>
      </w:r>
      <w:bookmarkEnd w:id="191"/>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92" w:name="GOSTHeading192"/>
      <w:r>
        <w:t xml:space="preserve">1.3.2 Требования к выполняемым функциям</w:t>
      </w:r>
      <w:bookmarkEnd w:id="192"/>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93" w:name="GOSTHeading193"/>
      <w:r>
        <w:t xml:space="preserve">1.3.3 Требования к надёжности и сохранности данных</w:t>
      </w:r>
      <w:bookmarkEnd w:id="193"/>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94" w:name="GOSTHeading194"/>
      <w:r>
        <w:t xml:space="preserve">1.3.4 Требования к доступу и интерфейсу администратора</w:t>
      </w:r>
      <w:bookmarkEnd w:id="194"/>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95" w:name="GOSTHeading195"/>
      <w:r>
        <w:t xml:space="preserve">1.3.5 Требования к ресурсам, совместимости и контролю выполнения</w:t>
      </w:r>
      <w:bookmarkEnd w:id="195"/>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96" w:name="GOSTHeading196"/>
      <w:r>
        <w:t xml:space="preserve">1.3.6 Требования к жизненному циклу модели</w:t>
      </w:r>
      <w:bookmarkEnd w:id="196"/>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197" w:name="GOSTHeading197"/>
      <w:r>
        <w:t xml:space="preserve">1.3.7 Требования к проверке эффективности и минимальному результату</w:t>
      </w:r>
      <w:bookmarkEnd w:id="197"/>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времени с последнего обращения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98" w:name="GOSTHeading198"/>
      <w:r>
        <w:t xml:space="preserve">1.4 Выводы по исследовательскому разделу</w:t>
      </w:r>
      <w:bookmarkEnd w:id="198"/>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5" w:name="аналитический-раздел"/>
    <w:p>
      <w:pPr>
        <w:pStyle w:val="1"/>
      </w:pPr>
      <w:bookmarkStart w:id="199" w:name="GOSTHeading199"/>
      <w:r>
        <w:t xml:space="preserve">2 АНАЛИТИЧЕСКИЙ РАЗДЕЛ</w:t>
      </w:r>
      <w:bookmarkEnd w:id="199"/>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6" w:name="X84bd9294f1307ff8601e5cfa6da9c74af29fe47"/>
    <w:p>
      <w:pPr>
        <w:pStyle w:val="21"/>
      </w:pPr>
      <w:bookmarkStart w:id="200" w:name="GOSTHeading200"/>
      <w:r>
        <w:t xml:space="preserve">2.1 Математическое и алгоритмическое обеспечение</w:t>
      </w:r>
      <w:bookmarkEnd w:id="200"/>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201" w:name="GOSTHeading201"/>
      <w:r>
        <w:t xml:space="preserve">2.1.1 Постановка задачи размещения</w:t>
      </w:r>
      <w:bookmarkEnd w:id="201"/>
    </w:p>
    <w:p>
      <w:pPr>
        <w:pStyle w:val="FirstParagraph"/>
      </w:pPr>
      <w:r>
        <w:t xml:space="preserve">В каждом цикле планирования для текущей версии каждого объекта выбирается горячий класс HOT или холодный класс COLD, определённые в разделе 1.1.3 пояснительной записки,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требование F-05 из Таблицы 1.4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n</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Число объектов в множестве</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(2.8)</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202" w:name="GOSTHeading202"/>
      <w:r>
        <w:t xml:space="preserve">2.1.2 Модель прогнозирования востребованности</w:t>
      </w:r>
      <w:bookmarkEnd w:id="202"/>
    </w:p>
    <w:p>
      <w:pPr>
        <w:pStyle w:val="FirstParagraph"/>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классификатор оценивает вероятность хотя бы одного чтения</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Преобразование истории в прогноз показано на Рисунке 2.1 в нотации схемы данных по ГОСТ 19.701-90 [49] (разделы 2.1, 3.1–3.3). Параллелограммы обозначают данные, прямоугольники – операции обработки, сплошные стрелки – потоки данных.</w:t>
      </w:r>
    </w:p>
    <w:bookmarkStart w:id="60" w:name="gost-fig:forecast_model"/>
    <w:p>
      <w:pPr>
        <w:pStyle w:val="CaptionedFigure"/>
        <w:keepNext w:val="1"/>
      </w:pPr>
      <w:r>
        <w:drawing>
          <wp:inline>
            <wp:extent cx="5219999" cy="5834381"/>
            <wp:effectExtent b="0" l="0" r="0" t="0"/>
            <wp:docPr descr="Схема данных прогнозирования востребованности по ГОСТ 19.701-90"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219999" cy="5834381"/>
                    </a:xfrm>
                    <a:prstGeom prst="rect">
                      <a:avLst/>
                    </a:prstGeom>
                    <a:noFill/>
                    <a:ln w="9525">
                      <a:noFill/>
                      <a:headEnd/>
                      <a:tailEnd/>
                    </a:ln>
                  </pic:spPr>
                </pic:pic>
              </a:graphicData>
            </a:graphic>
          </wp:inline>
        </w:drawing>
      </w:r>
    </w:p>
    <w:p>
      <w:pPr>
        <w:pStyle w:val="ImageCaption"/>
      </w:pPr>
      <w:r>
        <w:t xml:space="preserve">Рисунок 2.1 – Схема данных прогнозирования востребованности по ГОСТ 19.701-90</w:t>
      </w:r>
    </w:p>
    <w:bookmarkEnd w:id="60"/>
    <w:p>
      <w:pPr>
        <w:pStyle w:val="a2"/>
      </w:pPr>
      <w:r>
        <w:t xml:space="preserve">История до момента</w:t>
      </w:r>
      <w:r>
        <w:t xml:space="preserve"> </w:t>
      </w:r>
      <m:oMath>
        <m:r>
          <m:t>T</m:t>
        </m:r>
      </m:oMath>
      <w:r>
        <w:t xml:space="preserve"> </w:t>
      </w:r>
      <w:r>
        <w:t xml:space="preserve">преобразуется в признаки</w:t>
      </w:r>
      <w:r>
        <w:t xml:space="preserve"> </w:t>
      </w:r>
      <m:oMath>
        <m:sSub>
          <m:e>
            <m:r>
              <m:t>x</m:t>
            </m:r>
          </m:e>
          <m:sub>
            <m:r>
              <m:t>i</m:t>
            </m:r>
          </m:sub>
        </m:sSub>
        <m:r>
          <m:rPr>
            <m:sty m:val="p"/>
          </m:rPr>
          <m:t>(</m:t>
        </m:r>
        <m:r>
          <m:t>T</m:t>
        </m:r>
        <m:r>
          <m:rPr>
            <m:sty m:val="p"/>
          </m:rPr>
          <m:t>)</m:t>
        </m:r>
      </m:oMath>
      <w:r>
        <w:t xml:space="preserve"> </w:t>
      </w:r>
      <w:r>
        <w:t xml:space="preserve">из Таблицы 2.2. Они поступают в обе модели, а их выходы объединяются в прогноз числа чтений; вместе с размером объекта</w:t>
      </w:r>
      <w:r>
        <w:t xml:space="preserve"> </w:t>
      </w:r>
      <m:oMath>
        <m:sSub>
          <m:e>
            <m:r>
              <m:t>s</m:t>
            </m:r>
          </m:e>
          <m:sub>
            <m:r>
              <m:t>i</m:t>
            </m:r>
          </m:sub>
        </m:sSub>
      </m:oMath>
      <w:r>
        <w:t xml:space="preserve"> </w:t>
      </w:r>
      <w:r>
        <w:t xml:space="preserve">и средней читаемой долей</w:t>
      </w:r>
      <w:r>
        <w:t xml:space="preserve"> </w:t>
      </w:r>
      <m:oMath>
        <m:sSub>
          <m:e>
            <m:r>
              <m:t>r</m:t>
            </m:r>
          </m:e>
          <m:sub>
            <m:r>
              <m:t>i</m:t>
            </m:r>
          </m:sub>
        </m:sSub>
      </m:oMath>
      <w:r>
        <w:t xml:space="preserve"> </w:t>
      </w:r>
      <w:r>
        <w:t xml:space="preserve">он определяет прогноз объёма</w:t>
      </w:r>
      <w:r>
        <w:t xml:space="preserve"> </w:t>
      </w:r>
      <m:oMath>
        <m:sSub>
          <m:e>
            <m:acc>
              <m:accPr>
                <m:chr m:val="̂"/>
              </m:accPr>
              <m:e>
                <m:r>
                  <m:t>D</m:t>
                </m:r>
              </m:e>
            </m:acc>
          </m:e>
          <m:sub>
            <m:r>
              <m:t>i</m:t>
            </m:r>
          </m:sub>
        </m:sSub>
      </m:oMath>
      <w:r>
        <w:t xml:space="preserve">. Эти величины передаются планировщику.</w:t>
      </w:r>
    </w:p>
    <w:p>
      <w:pPr>
        <w:pStyle w:val="a2"/>
      </w:pPr>
      <w:r>
        <w:t xml:space="preserve">Обе части реализуются библиотекой LightGBM, использующей градиентный бустинг деревьев решений (англ. Gradient Boosting Decision Tree, далее GBDT) [31], [32], [44]. Для классификатора выбирается функция потерь</w:t>
      </w:r>
      <w:r>
        <w:t xml:space="preserve"> </w:t>
      </w:r>
      <w:r>
        <w:rPr>
          <w:rStyle w:val="VerbatimChar"/>
        </w:rPr>
        <w:t xml:space="preserve">binary</w:t>
      </w:r>
      <w:r>
        <w:t xml:space="preserve">, для регрессора –</w:t>
      </w:r>
      <w:r>
        <w:t xml:space="preserve"> </w:t>
      </w:r>
      <w:r>
        <w:rPr>
          <w:rStyle w:val="VerbatimChar"/>
        </w:rPr>
        <w:t xml:space="preserve">poisson</w:t>
      </w:r>
      <w:r>
        <w:t xml:space="preserve">; стандартные алгоритмы обучения и преобразования выходов определены в документации библиотеки [32]. Классификатор обучается на всех примерах с меткой наличия чтения и выдаёт вероятность</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w:t>
      </w:r>
      <w:r>
        <w:t xml:space="preserve"> </w:t>
      </w:r>
      <m:oMath>
        <m:sSub>
          <m:e>
            <m:r>
              <m:t>y</m:t>
            </m:r>
          </m:e>
          <m:sub>
            <m:r>
              <m:t>i</m:t>
            </m:r>
          </m:sub>
        </m:sSub>
        <m:r>
          <m:rPr>
            <m:sty m:val="p"/>
          </m:rPr>
          <m:t>=</m:t>
        </m:r>
        <m:sSub>
          <m:e>
            <m:r>
              <m:t>N</m:t>
            </m:r>
          </m:e>
          <m:sub>
            <m:r>
              <m:t>i</m:t>
            </m:r>
          </m:sub>
        </m:sSub>
        <m:r>
          <m:rPr>
            <m:sty m:val="p"/>
          </m:rPr>
          <m:t>−</m:t>
        </m:r>
        <m:r>
          <m:t>1</m:t>
        </m:r>
      </m:oMath>
      <w:r>
        <w:t xml:space="preserve">, то есть число чтений сверх первого. Условное число чтений восстанавливается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sSub>
          <m:e>
            <m:acc>
              <m:accPr>
                <m:chr m:val="̂"/>
              </m:accPr>
              <m:e>
                <m:r>
                  <m:t>y</m:t>
                </m:r>
              </m:e>
            </m:acc>
          </m:e>
          <m:sub>
            <m:r>
              <m:t>i</m:t>
            </m:r>
          </m:sub>
        </m:sSub>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при возникшем спросе;</w:t>
      </w:r>
    </w:p>
    <w:p>
      <w:pPr>
        <w:pStyle w:val="Where"/>
      </w:pPr>
      <w:r>
        <w:tab/>
      </w:r>
      <m:oMath>
        <m:sSub>
          <m:e>
            <m:acc>
              <m:accPr>
                <m:chr m:val="̂"/>
              </m:accPr>
              <m:e>
                <m:r>
                  <m:t>y</m:t>
                </m:r>
              </m:e>
            </m:acc>
          </m:e>
          <m:sub>
            <m:r>
              <m:t>i</m:t>
            </m:r>
          </m:sub>
        </m:sSub>
      </m:oMath>
      <w:r>
        <w:t xml:space="preserve"> </w:t>
      </w:r>
      <w:r>
        <w:t xml:space="preserve">– неотрицательный прогноз регрессора для числа чтений сверх первого.</w:t>
      </w:r>
    </w:p>
    <w:p>
      <w:pPr>
        <w:pStyle w:val="a2"/>
      </w:pPr>
      <w:r>
        <w:t xml:space="preserve">Сдвиг на единицу сохраняет нижнюю границу одного чтения при возникшем спросе и позволяет использовать стандартную пуассоновскую функцию потерь [32], [33]. В отличие от исходной модели с барьером [30], здесь применяется сдвинутая, а не усечённая в нуле положительная часть. Итоговый прогноз задаётся формулой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r>
              <m:t>p</m:t>
            </m:r>
          </m:e>
          <m:sub>
            <m:r>
              <m:t>i</m:t>
            </m:r>
          </m:sub>
        </m:sSub>
      </m:oMath>
      <w:r>
        <w:t xml:space="preserve"> </w:t>
      </w:r>
      <w:r>
        <w:t xml:space="preserve">– прогноз вероятности хотя бы одного чтения объекта</w:t>
      </w:r>
      <w:r>
        <w:t xml:space="preserve"> </w:t>
      </w:r>
      <m:oMath>
        <m:r>
          <m:t>i</m:t>
        </m:r>
      </m:oMath>
      <w:r>
        <w:t xml:space="preserve"> </w:t>
      </w:r>
      <w:r>
        <w:t xml:space="preserve">за горизонт.</w:t>
      </w:r>
    </w:p>
    <w:p>
      <w:pPr>
        <w:pStyle w:val="a2"/>
      </w:pPr>
      <w:r>
        <w:t xml:space="preserve">Для сравнения используются базовые оценки из раздела 1.1.5 пояснительной записки: частота, возраст, время с последнего чтения и EWMA [50]. Последнее сглаживает частоту, уменьшая вес старых наблюдений. Частота и EWMA пересчитываются в ожидаемое число чтений за</w:t>
      </w:r>
      <w:r>
        <w:t xml:space="preserve"> </w:t>
      </w:r>
      <m:oMath>
        <m:r>
          <m:t>H</m:t>
        </m:r>
      </m:oMath>
      <w:r>
        <w:t xml:space="preserve">, а возраст и давность преобразуются монотонной функцией, подобранной на периоде настройки. Базовые оценки используют тот же интерфейс прогноза, планировщик и исполнитель; EWMA также обеспечивает работу без пригодной модели по требованию F-12 из Таблицы 1.4. Так сравнение отделяет вклад прогноза от алгоритма размещения.</w:t>
      </w:r>
    </w:p>
    <w:p>
      <w:pPr>
        <w:pStyle w:val="a2"/>
      </w:pPr>
      <w:r>
        <w:t xml:space="preserve">GBDT выбран для табличных признаков с учётом результатов сравнения деревьев и нейронных сетей [34]; применимость к нашей нагрузке проверяется экспериментом. Однократный всплеск без предвестников модель не предсказывает, а новый объект оценивает грубо. При равномерном независимом выборе объектов прошлые обращения не дают устойчивого преимущества в прогнозе; систематический выигрыш в таком сценарии требует проверки утечки будущих данных и равенства условий сравнения.</w:t>
      </w:r>
    </w:p>
    <w:bookmarkEnd w:id="61"/>
    <w:bookmarkStart w:id="63" w:name="X5cb85bb2864257b50580b8dfa11fbf34fed6abe"/>
    <w:p>
      <w:pPr>
        <w:pStyle w:val="30"/>
      </w:pPr>
      <w:bookmarkStart w:id="203" w:name="GOSTHeading203"/>
      <w:r>
        <w:t xml:space="preserve">2.1.3 Обработка данных и формирование обучающих примеров</w:t>
      </w:r>
      <w:bookmarkEnd w:id="203"/>
    </w:p>
    <w:p>
      <w:pPr>
        <w:pStyle w:val="FirstParagraph"/>
      </w:pPr>
      <w:r>
        <w:t xml:space="preserve">Признаки и метки строятся по истории клиентских чтений каждого объекта, подготовленной по правилам раздела 1.1.4 пояснительной записки.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Последние чтения</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Для среза в момент</w:t>
      </w:r>
      <w:r>
        <w:t xml:space="preserve"> </w:t>
      </w:r>
      <m:oMath>
        <m:r>
          <m:t>T</m:t>
        </m:r>
      </m:oMath>
      <w:r>
        <w:t xml:space="preserve"> </w:t>
      </w:r>
      <w:r>
        <w:t xml:space="preserve">признаки используют только события строго раньше</w:t>
      </w:r>
      <w:r>
        <w:t xml:space="preserve"> </w:t>
      </w:r>
      <m:oMath>
        <m:r>
          <m:t>T</m:t>
        </m:r>
      </m:oMath>
      <w:r>
        <w:t xml:space="preserve">, а метка</w:t>
      </w:r>
      <w:r>
        <w:t xml:space="preserve"> </w:t>
      </w:r>
      <m:oMath>
        <m:sSub>
          <m:e>
            <m:r>
              <m:t>N</m:t>
            </m:r>
          </m:e>
          <m:sub>
            <m:r>
              <m:t>i</m:t>
            </m:r>
          </m:sub>
        </m:sSub>
        <m:r>
          <m:rPr>
            <m:sty m:val="p"/>
          </m:rPr>
          <m:t>(</m:t>
        </m:r>
        <m:r>
          <m:t>T</m:t>
        </m:r>
        <m:r>
          <m:rPr>
            <m:sty m:val="p"/>
          </m:rPr>
          <m:t>)</m:t>
        </m:r>
      </m:oMath>
      <w:r>
        <w:t xml:space="preserve"> </w:t>
      </w:r>
      <w:r>
        <w:t xml:space="preserve">равна числу клиентских чтений на следующем интервале</w:t>
      </w:r>
      <w:r>
        <w:t xml:space="preserve"> </w:t>
      </w:r>
      <m:oMath>
        <m:r>
          <m:rPr>
            <m:sty m:val="p"/>
          </m:rPr>
          <m:t>[</m:t>
        </m:r>
        <m:r>
          <m:t>T</m:t>
        </m:r>
        <m:r>
          <m:rPr>
            <m:sty m:val="p"/>
          </m:rPr>
          <m:t>,</m:t>
        </m:r>
        <m:r>
          <m:t>T</m:t>
        </m:r>
        <m:r>
          <m:rPr>
            <m:sty m:val="p"/>
          </m:rPr>
          <m:t>+</m:t>
        </m:r>
        <m:r>
          <m:t>H</m:t>
        </m:r>
        <m:r>
          <m:rPr>
            <m:sty m:val="p"/>
          </m:rPr>
          <m:t>)</m:t>
        </m:r>
      </m:oMath>
      <w:r>
        <w:t xml:space="preserve">. Будущие события используются только для метки, чтобы исключить утечку данных [35], [36].</w:t>
      </w:r>
    </w:p>
    <w:p>
      <w:pPr>
        <w:pStyle w:val="a2"/>
      </w:pPr>
      <w:r>
        <w:t xml:space="preserve">Из-за задержек доставки в момент обучения</w:t>
      </w:r>
      <w:r>
        <w:t xml:space="preserve"> </w:t>
      </w:r>
      <m:oMath>
        <m:sSup>
          <m:e>
            <m:r>
              <m:t>T</m:t>
            </m:r>
          </m:e>
          <m:sup>
            <m:r>
              <m:rPr>
                <m:sty m:val="p"/>
              </m:rPr>
              <m:t>′</m:t>
            </m:r>
          </m:sup>
        </m:sSup>
      </m:oMath>
      <w:r>
        <w:t xml:space="preserve"> </w:t>
      </w:r>
      <w:r>
        <w:t xml:space="preserve">история полна лишь до границы</w:t>
      </w:r>
      <w:r>
        <w:t xml:space="preserve"> </w:t>
      </w:r>
      <m:oMath>
        <m:r>
          <m:t>W</m:t>
        </m:r>
        <m:r>
          <m:rPr>
            <m:sty m:val="p"/>
          </m:rPr>
          <m:t>(</m:t>
        </m:r>
        <m:sSup>
          <m:e>
            <m:r>
              <m:t>T</m:t>
            </m:r>
          </m:e>
          <m:sup>
            <m:r>
              <m:rPr>
                <m:sty m:val="p"/>
              </m:rPr>
              <m:t>′</m:t>
            </m:r>
          </m:sup>
        </m:sSup>
        <m:r>
          <m:rPr>
            <m:sty m:val="p"/>
          </m:rPr>
          <m:t>)</m:t>
        </m:r>
      </m:oMath>
      <w:r>
        <w:t xml:space="preserve">. Пример допускается к обучению, когда весь интервал метки завершился не позже этой границы и не содержит пропусков. До этого он ожидает следующих обновлений; примеры с неполной историей исключаются. Если граница полноты отстаёт от текущего момента больше допустимого, прогнозные действия приостанавливаются по требованию раздела 1.3.3 пояснительной записки. Срез сохраняется 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204" w:name="GOSTHeading204"/>
      <w:r>
        <w:t xml:space="preserve">2.1.4 Обучение, проверка и ввод модели в работу</w:t>
      </w:r>
      <w:bookmarkEnd w:id="204"/>
    </w:p>
    <w:p>
      <w:pPr>
        <w:pStyle w:val="FirstParagraph"/>
      </w:pPr>
      <w:r>
        <w:t xml:space="preserve">Основным источником обучающих данных предусматривается синтетическая история обращений; открытые трассы и их ограничения рассмотрены в разделе 1.1.8 пояснительной записки и Таблице 1.2. Генератор должен сформировать каталог объектов и последовательности чтений со стабильной, меняющейся и периодической популярностью, всплесками и равномерным независимым спросом. Для каждого среза сохраняются признаки из прошлой истории, число чтений за будущий горизонт и метка наличия чтения. В выборку входят и объекты с нулевым спросом; скрытые параметры генератора не используются как признаки.</w:t>
      </w:r>
    </w:p>
    <w:p>
      <w:pPr>
        <w:pStyle w:val="a2"/>
      </w:pPr>
      <w:r>
        <w:t xml:space="preserve">Полная обучающая выборка на этапе проектирования не подготовлена. Meta CDN рассматривается дополнительно для проверки прогноза по наблюдаемым обращениям: имеющийся разбор короткого фрагмента подтверждает только возможность разделить признаки и метки, а не обучение модели. Выбор полного временного диапазона, очистка данных и параметры генератора должны быть зафиксированы в технологическом разделе до итоговой проверки.</w:t>
      </w:r>
    </w:p>
    <w:p>
      <w:pPr>
        <w:pStyle w:val="a2"/>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[37], и оценкой Брайера, проверяющей калибровку [38]. Пригодность прогноза к размещению проверяет вводимая в работе доля покрытия будущих чтений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205" w:name="GOSTHeading205"/>
      <w:r>
        <w:t xml:space="preserve">2.1.5 Алгоритм формирования плана размещения</w:t>
      </w:r>
      <w:bookmarkEnd w:id="205"/>
    </w:p>
    <w:p>
      <w:pPr>
        <w:pStyle w:val="FirstParagraph"/>
      </w:pPr>
      <w:r>
        <w:t xml:space="preserve">Алгоритм максимизирует выигрыш по формуле (2.4) при ограничениях ёмкости (2.5) и бюджета (2.6) жадным выбором после проверки актуальности данных и пригодности модели по правилам разделов 2.1.3 и 2.1.4 пояснительной записки. Если занятость HOT уже в начале цикла превышает допустимую по условию (2.5), сначала планируется перенос части объектов HOT в COLD. Затем незакреплённые объекты COLD рассматриваются по убыванию выигрыша на единицу размера</w:t>
      </w:r>
      <w:r>
        <w:t xml:space="preserve"> </w:t>
      </w:r>
      <m:oMath>
        <m:sSub>
          <m:e>
            <m:r>
              <m:rPr>
                <m:sty m:val="p"/>
              </m:rPr>
              <m:t>Δ</m:t>
            </m:r>
          </m:e>
          <m:sub>
            <m:r>
              <m:t>i</m:t>
            </m:r>
          </m:sub>
        </m:sSub>
        <m:r>
          <m:rPr>
            <m:sty m:val="p"/>
          </m:rPr>
          <m:t>/</m:t>
        </m:r>
        <m:sSub>
          <m:e>
            <m:r>
              <m:t>s</m:t>
            </m:r>
          </m:e>
          <m:sub>
            <m:r>
              <m:t>i</m:t>
            </m:r>
          </m:sub>
        </m:sSub>
      </m:oMath>
      <w:r>
        <w:t xml:space="preserve">. Если для очередного объекта в HOT не хватает места, для него подбираются объекты HOT с наименьшим выигрышем на единицу размера, которые придётся вытеснить в COLD. Такая замена включается в план, если выигрыш объекта превышает суммарный выигрыш вытесняемых объектов, штраф за перенос и порог</w:t>
      </w:r>
      <w:r>
        <w:t xml:space="preserve"> </w:t>
      </w:r>
      <m:oMath>
        <m:sSub>
          <m:e>
            <m:r>
              <m:rPr>
                <m:sty m:val="p"/>
              </m:rPr>
              <m:t>Δ</m:t>
            </m:r>
          </m:e>
          <m:sub>
            <m:r>
              <m:rPr>
                <m:sty m:val="p"/>
              </m:rPr>
              <m:t>min</m:t>
            </m:r>
          </m:sub>
        </m:sSub>
      </m:oMath>
      <w:r>
        <w:t xml:space="preserve">, а остатка бюджета и места в COLD достаточно. Перенос объекта в HOT начинается только после того, как вытесняемые объекты перенесены в COLD и их копии в HOT удалены, поэтому действия плана связаны зависимостями.</w:t>
      </w:r>
    </w:p>
    <w:p>
      <w:pPr>
        <w:pStyle w:val="a2"/>
      </w:pPr>
      <w:r>
        <w:t xml:space="preserve">При равных размерах объектов и</w:t>
      </w:r>
      <w:r>
        <w:t xml:space="preserve"> </w:t>
      </w:r>
      <m:oMath>
        <m:sSub>
          <m:e>
            <m:r>
              <m:rPr>
                <m:sty m:val="p"/>
              </m:rPr>
              <m:t>Δ</m:t>
            </m:r>
          </m:e>
          <m:sub>
            <m:r>
              <m:rPr>
                <m:sty m:val="p"/>
              </m:rPr>
              <m:t>min</m:t>
            </m:r>
          </m:sub>
        </m:sSub>
        <m:r>
          <m:rPr>
            <m:sty m:val="p"/>
          </m:rPr>
          <m:t>=</m:t>
        </m:r>
        <m:r>
          <m:t>0</m:t>
        </m:r>
      </m:oMath>
      <w:r>
        <w:t xml:space="preserve"> </w:t>
      </w:r>
      <w:r>
        <w:t xml:space="preserve">жадный алгоритм даёт точное решение. При заданном числе замен наибольший выигрыш получается, если перенести в HOT объекты COLD с наибольшим</w:t>
      </w:r>
      <w:r>
        <w:t xml:space="preserve"> </w:t>
      </w:r>
      <m:oMath>
        <m:sSub>
          <m:e>
            <m:r>
              <m:rPr>
                <m:sty m:val="p"/>
              </m:rPr>
              <m:t>Δ</m:t>
            </m:r>
          </m:e>
          <m:sub>
            <m:r>
              <m:t>i</m:t>
            </m:r>
          </m:sub>
        </m:sSub>
      </m:oMath>
      <w:r>
        <w:t xml:space="preserve">, а в COLD – объекты HOT с наименьшим</w:t>
      </w:r>
      <w:r>
        <w:t xml:space="preserve"> </w:t>
      </w:r>
      <m:oMath>
        <m:sSub>
          <m:e>
            <m:r>
              <m:rPr>
                <m:sty m:val="p"/>
              </m:rPr>
              <m:t>Δ</m:t>
            </m:r>
          </m:e>
          <m:sub>
            <m:r>
              <m:t>i</m:t>
            </m:r>
          </m:sub>
        </m:sSub>
      </m:oMath>
      <w:r>
        <w:t xml:space="preserve">. Каждая следующая такая замена выгодна не больше предыдущей, поэтому алгоритм останавливается на первой невыгодной замене и получает план с наибольшим чистым выигрышем (2.4). Для разных размеров он является эвристикой [29], [39] и проверяется точным решением на малых выборках.</w:t>
      </w:r>
    </w:p>
    <w:p>
      <w:pPr>
        <w:pStyle w:val="a2"/>
      </w:pPr>
      <w:r>
        <w:t xml:space="preserve">Сложность алгоритма</w:t>
      </w:r>
      <w:r>
        <w:t xml:space="preserve"> </w:t>
      </w:r>
      <m:oMath>
        <m:r>
          <m:t>O</m:t>
        </m:r>
        <m:r>
          <m:rPr>
            <m:sty m:val="p"/>
          </m:rPr>
          <m:t>(</m:t>
        </m:r>
        <m:r>
          <m:t>n</m:t>
        </m:r>
        <m:r>
          <m:rPr>
            <m:sty m:val="p"/>
          </m:rPr>
          <m:t>log</m:t>
        </m:r>
        <m:r>
          <m:t>n</m:t>
        </m:r>
        <m:r>
          <m:rPr>
            <m:sty m:val="p"/>
          </m:rPr>
          <m:t>)</m:t>
        </m:r>
      </m:oMath>
      <w:r>
        <w:t xml:space="preserve"> </w:t>
      </w:r>
      <w:r>
        <w:t xml:space="preserve">определяется сортировкой, где</w:t>
      </w:r>
      <w:r>
        <w:t xml:space="preserve"> </w:t>
      </w:r>
      <m:oMath>
        <m:r>
          <m:t>n</m:t>
        </m:r>
      </m:oMath>
      <w:r>
        <w:t xml:space="preserve"> </w:t>
      </w:r>
      <w:r>
        <w:t xml:space="preserve">– число объектов в множестве</w:t>
      </w:r>
      <w:r>
        <w:t xml:space="preserve"> </w:t>
      </w:r>
      <m:oMath>
        <m:r>
          <m:t>I</m:t>
        </m:r>
      </m:oMath>
      <w:r>
        <w:t xml:space="preserve"> </w:t>
      </w:r>
      <w:r>
        <w:t xml:space="preserve">из Таблицы 2.1.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206" w:name="GOSTHeading206"/>
      <w:r>
        <w:t xml:space="preserve">2.1.6 Объяснение рекомендаций</w:t>
      </w:r>
      <w:bookmarkEnd w:id="206"/>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время с последнего чтения,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перенос объекта А в HOT требует вытеснить объект Б в COLD, подтверждение только переноса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5" w:name="протокол-безопасного-переноса"/>
    <w:p>
      <w:pPr>
        <w:pStyle w:val="30"/>
      </w:pPr>
      <w:bookmarkStart w:id="207" w:name="GOSTHeading207"/>
      <w:r>
        <w:t xml:space="preserve">2.1.7 Протокол безопасного переноса</w:t>
      </w:r>
      <w:bookmarkEnd w:id="207"/>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 [51].</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[40]: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[41].</w:t>
      </w:r>
    </w:p>
    <w:p>
      <w:pPr>
        <w:pStyle w:val="a2"/>
      </w:pPr>
      <w:r>
        <w:t xml:space="preserve">Состояния миграции показаны на Рисунке 2.3 в нотации диаграммы состояний унифицированного языка моделирования (англ. Unified Modeling Language, далее UML) [42].</w:t>
      </w:r>
    </w:p>
    <w:bookmarkStart w:id="74" w:name="gost-fig:migration_states"/>
    <w:p>
      <w:pPr>
        <w:pStyle w:val="CaptionedFigure"/>
        <w:keepNext w:val="1"/>
      </w:pPr>
      <w:r>
        <w:drawing>
          <wp:inline>
            <wp:extent cx="5039999" cy="5877031"/>
            <wp:effectExtent b="0" l="0" r="0" t="0"/>
            <wp:docPr descr="Диаграмма состояний миграции версии" title="" id="72" name="Picture"/>
            <a:graphic>
              <a:graphicData uri="http://schemas.openxmlformats.org/drawingml/2006/picture">
                <pic:pic>
                  <pic:nvPicPr>
                    <pic:cNvPr descr="images/migration_states.png" id="73" name="Picture"/>
                    <pic:cNvPicPr>
                      <a:picLocks noChangeArrowheads="1" noChangeAspect="1"/>
                    </pic:cNvPicPr>
                  </pic:nvPicPr>
                  <pic:blipFill>
                    <a:blip r:embed="rId71"/>
                    <a:stretch>
                      <a:fillRect/>
                    </a:stretch>
                  </pic:blipFill>
                  <pic:spPr bwMode="auto">
                    <a:xfrm>
                      <a:off x="0" y="0"/>
                      <a:ext cx="5039999" cy="5877031"/>
                    </a:xfrm>
                    <a:prstGeom prst="rect">
                      <a:avLst/>
                    </a:prstGeom>
                    <a:noFill/>
                    <a:ln w="9525">
                      <a:noFill/>
                      <a:headEnd/>
                      <a:tailEnd/>
                    </a:ln>
                  </pic:spPr>
                </pic:pic>
              </a:graphicData>
            </a:graphic>
          </wp:inline>
        </w:drawing>
      </w:r>
    </w:p>
    <w:p>
      <w:pPr>
        <w:pStyle w:val="ImageCaption"/>
      </w:pPr>
      <w:r>
        <w:t xml:space="preserve">Рисунок 2.3 – Диаграмма состояний миграции версии</w:t>
      </w:r>
    </w:p>
    <w:bookmarkEnd w:id="74"/>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5"/>
    <w:bookmarkEnd w:id="76"/>
    <w:bookmarkStart w:id="89" w:name="модели-процессов"/>
    <w:p>
      <w:pPr>
        <w:pStyle w:val="21"/>
      </w:pPr>
      <w:bookmarkStart w:id="208" w:name="GOSTHeading208"/>
      <w:r>
        <w:t xml:space="preserve">2.2 Модели процессов</w:t>
      </w:r>
      <w:bookmarkEnd w:id="208"/>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[43].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81" w:name="исходный-процесс-управления-размещением"/>
    <w:p>
      <w:pPr>
        <w:pStyle w:val="30"/>
      </w:pPr>
      <w:bookmarkStart w:id="209" w:name="GOSTHeading209"/>
      <w:r>
        <w:t xml:space="preserve">2.2.1 Исходный процесс управления размещением</w:t>
      </w:r>
      <w:bookmarkEnd w:id="209"/>
    </w:p>
    <w:p>
      <w:pPr>
        <w:pStyle w:val="FirstParagraph"/>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рассмотренному в разделе 1.1.5 пояснительной записки Amazon S3 Lifecycle [8], по таймеру переводит старые объекты в COLD. Модель в нотации BPMN приведена на Рисунке 2.4.</w:t>
      </w:r>
    </w:p>
    <w:bookmarkStart w:id="80" w:name="gost-fig:bpmn_asis"/>
    <w:p>
      <w:pPr>
        <w:pStyle w:val="CaptionedFigure"/>
        <w:keepNext w:val="1"/>
      </w:pPr>
      <w:r>
        <w:drawing>
          <wp:inline>
            <wp:extent cx="6083999" cy="1718543"/>
            <wp:effectExtent b="0" l="0" r="0" t="0"/>
            <wp:docPr descr="Модель исходного процесса управления размещением AS-IS" title="" id="78" name="Picture"/>
            <a:graphic>
              <a:graphicData uri="http://schemas.openxmlformats.org/drawingml/2006/picture">
                <pic:pic>
                  <pic:nvPicPr>
                    <pic:cNvPr descr="images/bpmn_asis_h.png" id="79" name="Picture"/>
                    <pic:cNvPicPr>
                      <a:picLocks noChangeArrowheads="1" noChangeAspect="1"/>
                    </pic:cNvPicPr>
                  </pic:nvPicPr>
                  <pic:blipFill>
                    <a:blip r:embed="rId77"/>
                    <a:stretch>
                      <a:fillRect/>
                    </a:stretch>
                  </pic:blipFill>
                  <pic:spPr bwMode="auto">
                    <a:xfrm>
                      <a:off x="0" y="0"/>
                      <a:ext cx="6083999" cy="1718543"/>
                    </a:xfrm>
                    <a:prstGeom prst="rect">
                      <a:avLst/>
                    </a:prstGeom>
                    <a:noFill/>
                    <a:ln w="9525">
                      <a:noFill/>
                      <a:headEnd/>
                      <a:tailEnd/>
                    </a:ln>
                  </pic:spPr>
                </pic:pic>
              </a:graphicData>
            </a:graphic>
          </wp:inline>
        </w:drawing>
      </w:r>
    </w:p>
    <w:p>
      <w:pPr>
        <w:pStyle w:val="ImageCaption"/>
      </w:pPr>
      <w:r>
        <w:t xml:space="preserve">Рисунок 2.4 – Модель исходного процесса управления размещением AS-IS</w:t>
      </w:r>
    </w:p>
    <w:bookmarkEnd w:id="80"/>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81"/>
    <w:bookmarkStart w:id="86" w:name="проектируемый-процесс"/>
    <w:p>
      <w:pPr>
        <w:pStyle w:val="30"/>
      </w:pPr>
      <w:bookmarkStart w:id="210" w:name="GOSTHeading210"/>
      <w:r>
        <w:t xml:space="preserve">2.2.2 Проектируемый процесс</w:t>
      </w:r>
      <w:bookmarkEnd w:id="210"/>
    </w:p>
    <w:p>
      <w:pPr>
        <w:pStyle w:val="FirstParagraph"/>
      </w:pPr>
      <w:r>
        <w:t xml:space="preserve">Модель TO-BE в нотации BPMN на Рисунке 2.5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5" w:name="gost-fig:bpmn_tobe"/>
    <w:p>
      <w:pPr>
        <w:pStyle w:val="CaptionedFigure"/>
        <w:keepNext w:val="1"/>
      </w:pPr>
      <w:r>
        <w:drawing>
          <wp:inline>
            <wp:extent cx="6083999" cy="2732703"/>
            <wp:effectExtent b="0" l="0" r="0" t="0"/>
            <wp:docPr descr="Модель проектируемого процесса управления размещением TO-BE" title="" id="83" name="Picture"/>
            <a:graphic>
              <a:graphicData uri="http://schemas.openxmlformats.org/drawingml/2006/picture">
                <pic:pic>
                  <pic:nvPicPr>
                    <pic:cNvPr descr="images/bpmn_tobe_h.png" id="84" name="Picture"/>
                    <pic:cNvPicPr>
                      <a:picLocks noChangeArrowheads="1" noChangeAspect="1"/>
                    </pic:cNvPicPr>
                  </pic:nvPicPr>
                  <pic:blipFill>
                    <a:blip r:embed="rId82"/>
                    <a:stretch>
                      <a:fillRect/>
                    </a:stretch>
                  </pic:blipFill>
                  <pic:spPr bwMode="auto">
                    <a:xfrm>
                      <a:off x="0" y="0"/>
                      <a:ext cx="6083999" cy="2732703"/>
                    </a:xfrm>
                    <a:prstGeom prst="rect">
                      <a:avLst/>
                    </a:prstGeom>
                    <a:noFill/>
                    <a:ln w="9525">
                      <a:noFill/>
                      <a:headEnd/>
                      <a:tailEnd/>
                    </a:ln>
                  </pic:spPr>
                </pic:pic>
              </a:graphicData>
            </a:graphic>
          </wp:inline>
        </w:drawing>
      </w:r>
    </w:p>
    <w:p>
      <w:pPr>
        <w:pStyle w:val="ImageCaption"/>
      </w:pPr>
      <w:r>
        <w:t xml:space="preserve">Рисунок 2.5 – Модель проектируемого процесса управления размещением TO-BE</w:t>
      </w:r>
    </w:p>
    <w:bookmarkEnd w:id="85"/>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клиентских чтений. События должен публиковать шлюз OpenS3 [7] после доработки по разделу 2.3.1 пояснительной записки; подготовка данных описана в разделе 2.1.3.</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6"/>
    <w:bookmarkStart w:id="88" w:name="сравнение-процессов"/>
    <w:p>
      <w:pPr>
        <w:pStyle w:val="30"/>
      </w:pPr>
      <w:bookmarkStart w:id="211" w:name="GOSTHeading211"/>
      <w:r>
        <w:t xml:space="preserve">2.2.3 Сравнение процессов</w:t>
      </w:r>
      <w:bookmarkEnd w:id="211"/>
    </w:p>
    <w:p>
      <w:pPr>
        <w:pStyle w:val="FirstParagraph"/>
      </w:pPr>
      <w:r>
        <w:t xml:space="preserve">Изменения сведены в Таблице 2.3. Процессы не измерялись, поэтому сравнение качественное.</w:t>
      </w:r>
    </w:p>
    <w:bookmarkStart w:id="87"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334"/>
        <w:gridCol w:w="4238"/>
        <w:gridCol w:w="3066"/>
      </w:tblGrid>
      <w:tr>
        <w:trPr>
          <w:tblHeader w:val="on"/>
          <w:cantSplit/>
        </w:trPr>
        <w:tc>
          <w:tcPr>
            <w:tcW w:w="2334"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4238"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06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времени с последнего обращения и возрасту</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334"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4238"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06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7"/>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8"/>
    <w:bookmarkEnd w:id="89"/>
    <w:bookmarkStart w:id="102" w:name="архитектура-системы"/>
    <w:p>
      <w:pPr>
        <w:pStyle w:val="21"/>
      </w:pPr>
      <w:bookmarkStart w:id="212" w:name="GOSTHeading212"/>
      <w:r>
        <w:t xml:space="preserve">2.3 Архитектура системы</w:t>
      </w:r>
      <w:bookmarkEnd w:id="212"/>
    </w:p>
    <w:p>
      <w:pPr>
        <w:pStyle w:val="FirstParagraph"/>
      </w:pPr>
      <w:r>
        <w:t xml:space="preserve">Расчёт рекомендаций отделяется от клиентского чтения, а переносы выполняет отдельный процесс. Подраздел определяет ответственность компонентов OpenS3 и СППР, хранение их данных и согласование состояния с компонентом метаданных.</w:t>
      </w:r>
    </w:p>
    <w:bookmarkStart w:id="90" w:name="изменения-компонентов-opens3"/>
    <w:p>
      <w:pPr>
        <w:pStyle w:val="30"/>
      </w:pPr>
      <w:bookmarkStart w:id="213" w:name="GOSTHeading213"/>
      <w:r>
        <w:t xml:space="preserve">2.3.1 Изменения компонентов OpenS3</w:t>
      </w:r>
      <w:bookmarkEnd w:id="213"/>
    </w:p>
    <w:p>
      <w:pPr>
        <w:pStyle w:val="FirstParagraph"/>
      </w:pPr>
      <w:r>
        <w:t xml:space="preserve">Для СППР в рассмотренной версии OpenS3 [7] изменяются три компонента. Компонент метаданных (Metadata) дополняется классами и расположением версий с условным переключением CAS и учётом временных копий. Компонент хранения (Storage) получает необязательный идентификатор сохраняемой копии при записи и второй экземпляр на отдельном томе. Шлюз (Gateway) выбирает экземпляр хранения по классу, публикует события и обеспечивает диапазонное чтение. Компоненты аутентификации и авторизации (Auth и AuthZ) сохраняют свои функции. Новая версия записывается в COLD, что исключает переполнение HOT вне плана, но новый популярный объект читается из COLD до ближайшего плана.</w:t>
      </w:r>
    </w:p>
    <w:bookmarkEnd w:id="90"/>
    <w:bookmarkStart w:id="95" w:name="компонентная-модель"/>
    <w:p>
      <w:pPr>
        <w:pStyle w:val="30"/>
      </w:pPr>
      <w:bookmarkStart w:id="214" w:name="GOSTHeading214"/>
      <w:r>
        <w:t xml:space="preserve">2.3.2 Компонентная модель</w:t>
      </w:r>
      <w:bookmarkEnd w:id="214"/>
    </w:p>
    <w:p>
      <w:pPr>
        <w:pStyle w:val="FirstParagraph"/>
      </w:pPr>
      <w:r>
        <w:t xml:space="preserve">Из модели TO-BE выведены компоненты приёма событий (Ingestor), подготовки признаков (Feature Builder), прогнозирования (Predictor), планирования (Planner) и объяснения рекомендаций (Explainer). Управление моделями (Model Manager) запускает обучение (Trainer) и ведёт реестр; административный API с веб-интерфейсом принимает решения ЛПР, исполнитель миграций (Migration Executor) применяет подтверждённые действия. Их связи показаны на Рисунке 2.6 в нотации диаграммы компонентов UML [42].</w:t>
      </w:r>
    </w:p>
    <w:p>
      <w:pPr>
        <w:pStyle w:val="a2"/>
      </w:pPr>
      <w:r>
        <w:t xml:space="preserve">Границы на диаграмме разделяют OpenS3 и СППР, стрелки обозначают обращения между компонентами и подписаны передаваемыми данными или операцией. Пересечения линий без точки не являются соединениями. Компоненты, изменяемые для интеграции, отмечены звёздочкой.</w:t>
      </w:r>
    </w:p>
    <w:p>
      <w:pPr>
        <w:pStyle w:val="a2"/>
      </w:pPr>
      <w:r>
        <w:t xml:space="preserve">Клиентское чтение проходит через компоненты шлюза, метаданных и хранения, а приём событий работает асинхронно через Kafka. Административный API проверяет полномочия через компоненты аутентификации и авторизации и сохраняет команды в базе СППР.</w:t>
      </w:r>
    </w:p>
    <w:bookmarkStart w:id="94" w:name="gost-fig:components"/>
    <w:p>
      <w:pPr>
        <w:pStyle w:val="CaptionedFigure"/>
        <w:keepNext w:val="1"/>
      </w:pPr>
      <w:r>
        <w:drawing>
          <wp:inline>
            <wp:extent cx="6083999" cy="4678265"/>
            <wp:effectExtent b="0" l="0" r="0" t="0"/>
            <wp:docPr descr="Диаграмма компонентов системы в нотации UML" title="" id="92" name="Picture"/>
            <a:graphic>
              <a:graphicData uri="http://schemas.openxmlformats.org/drawingml/2006/picture">
                <pic:pic>
                  <pic:nvPicPr>
                    <pic:cNvPr descr="images/components.png" id="93" name="Picture"/>
                    <pic:cNvPicPr>
                      <a:picLocks noChangeArrowheads="1" noChangeAspect="1"/>
                    </pic:cNvPicPr>
                  </pic:nvPicPr>
                  <pic:blipFill>
                    <a:blip r:embed="rId91"/>
                    <a:stretch>
                      <a:fillRect/>
                    </a:stretch>
                  </pic:blipFill>
                  <pic:spPr bwMode="auto">
                    <a:xfrm>
                      <a:off x="0" y="0"/>
                      <a:ext cx="6083999" cy="4678265"/>
                    </a:xfrm>
                    <a:prstGeom prst="rect">
                      <a:avLst/>
                    </a:prstGeom>
                    <a:noFill/>
                    <a:ln w="9525">
                      <a:noFill/>
                      <a:headEnd/>
                      <a:tailEnd/>
                    </a:ln>
                  </pic:spPr>
                </pic:pic>
              </a:graphicData>
            </a:graphic>
          </wp:inline>
        </w:drawing>
      </w:r>
    </w:p>
    <w:p>
      <w:pPr>
        <w:pStyle w:val="ImageCaption"/>
      </w:pPr>
      <w:r>
        <w:t xml:space="preserve">Рисунок 2.6 – Диаграмма компонентов системы в нотации UML</w:t>
      </w:r>
    </w:p>
    <w:bookmarkEnd w:id="94"/>
    <w:p>
      <w:pPr>
        <w:pStyle w:val="a2"/>
      </w:pPr>
      <w:r>
        <w:t xml:space="preserve">Исполнитель в отдельном процессе получает подтверждённые команды, записывает копии и меняет расположение через компонент метаданных; отказ расчёта рекомендаций не прерывает начатые переносы. Подготовка признаков, обучение и прогнозирование используют общую ресурсную квоту из раздела 1.3.5 пояснительной записки, поэтому влияние обучения на чтения входит в измерения.</w:t>
      </w:r>
    </w:p>
    <w:bookmarkEnd w:id="95"/>
    <w:bookmarkStart w:id="97" w:name="модель-данных"/>
    <w:p>
      <w:pPr>
        <w:pStyle w:val="30"/>
      </w:pPr>
      <w:bookmarkStart w:id="215" w:name="GOSTHeading215"/>
      <w:r>
        <w:t xml:space="preserve">2.3.3 Модель данных</w:t>
      </w:r>
      <w:bookmarkEnd w:id="215"/>
    </w:p>
    <w:p>
      <w:pPr>
        <w:pStyle w:val="FirstParagraph"/>
      </w:pPr>
      <w:r>
        <w:t xml:space="preserve">Назначение таблиц приведено в Таблице 2.4, а поля и связи показаны на Рисунке А.1 в Приложении А. Таблица</w:t>
      </w:r>
      <w:r>
        <w:t xml:space="preserve"> </w:t>
      </w:r>
      <w:r>
        <w:rPr>
          <w:i/>
          <w:iCs/>
        </w:rPr>
        <w:t xml:space="preserve">versions</w:t>
      </w:r>
      <w:r>
        <w:t xml:space="preserve"> </w:t>
      </w:r>
      <w:r>
        <w:t xml:space="preserve">существует в компоненте метаданных;</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w:t>
      </w:r>
      <w:r>
        <w:t xml:space="preserve">добавляются в его базу. Остальные таблицы относятся к базе СППР.</w:t>
      </w:r>
    </w:p>
    <w:bookmarkStart w:id="96" w:name="gost-tbl:data_tables"/>
    <w:p>
      <w:pPr>
        <w:pStyle w:val="TableCaption"/>
      </w:pPr>
      <w:r>
        <w:t xml:space="preserve">Таблица 2.4 – Назначение таблиц модели данных</w:t>
      </w:r>
    </w:p>
    <w:tbl>
      <w:tblPr>
        <w:tblStyle w:val="Table"/>
        <w:tblW w:type="dxa" w:w="9560"/>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Назначение таблиц модели данных"/>
      </w:tblPr>
      <w:tblGrid>
        <w:gridCol w:w="2788"/>
        <w:gridCol w:w="6772"/>
      </w:tblGrid>
      <w:tr>
        <w:trPr>
          <w:tblHeader w:val="on"/>
          <w:cantSplit/>
        </w:trPr>
        <w:tc>
          <w:tcPr>
            <w:tcW w:w="2788" w:type="dxa"/>
          </w:tcPr>
          <w:p>
            <w:pPr>
              <w:pStyle w:val="Compact"/>
              <w:keepNext w:val="0"/>
              <w:pageBreakBefore w:val="0"/>
              <w:suppressAutoHyphens w:val="1"/>
              <w:spacing w:before="0" w:after="0" w:line="240" w:lineRule="auto"/>
              <w:ind w:firstLine="0" w:left="0" w:right="0"/>
              <w:jc w:val="center"/>
            </w:pPr>
            <w:r>
              <w:rPr>
                <w:b w:val="1"/>
                <w:sz w:val="24"/>
                <w:szCs w:val="24"/>
              </w:rPr>
              <w:t xml:space="preserve">Таблица</w:t>
            </w:r>
          </w:p>
        </w:tc>
        <w:tc>
          <w:tcPr>
            <w:tcW w:w="6772" w:type="dxa"/>
          </w:tcPr>
          <w:p>
            <w:pPr>
              <w:pStyle w:val="Compact"/>
              <w:keepNext w:val="0"/>
              <w:pageBreakBefore w:val="0"/>
              <w:suppressAutoHyphens w:val="1"/>
              <w:spacing w:before="0" w:after="0" w:line="240" w:lineRule="auto"/>
              <w:ind w:firstLine="0" w:left="0" w:right="0"/>
              <w:jc w:val="center"/>
            </w:pPr>
            <w:r>
              <w:rPr>
                <w:b w:val="1"/>
                <w:sz w:val="24"/>
                <w:szCs w:val="24"/>
              </w:rPr>
              <w:t xml:space="preserve">Назначение</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Существующий каталог версий объектов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storage_classes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Классы хранения, ёмкость и адреса экземпляров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version_placements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Действующее расположение и поколение записи версии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placement_copies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Временные копии и состояние их очистки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access_events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События клиентских обращений и технических операций</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activity_buckets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Агрегаты активности по временным интервалам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ingest_state</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Позиция приёма событий, граница полноты и пропуски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training_slices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Признаки и метки обучающих примеров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models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Версии моделей, правила признаков и результаты проверок</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Ревизии планов, горизонт и состояние данных</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Предлагаемые переносы, прогнозы и объяснения</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recommendation_deps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Зависимости между действиями плана</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admin_commands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Решения администратора и результаты их обработки</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migrations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Состояния, попытки и ошибки исполнения переносов</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placement_settings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Параметры размещения, заданные администратором</w:t>
            </w:r>
          </w:p>
        </w:tc>
      </w:tr>
      <w:tr>
        <w:trPr>
          <w:cantSplit/>
        </w:trPr>
        <w:tc>
          <w:tcPr>
            <w:tcW w:w="2788" w:type="dxa"/>
          </w:tcPr>
          <w:p>
            <w:pPr>
              <w:pStyle w:val="Compact"/>
              <w:keepNext w:val="0"/>
              <w:pageBreakBefore w:val="0"/>
              <w:suppressAutoHyphens w:val="1"/>
              <w:spacing w:before="0" w:after="0" w:line="240" w:lineRule="auto"/>
              <w:ind w:firstLine="0" w:left="0" w:right="0"/>
              <w:jc w:val="left"/>
            </w:pPr>
            <w:r>
              <w:rPr>
                <w:i/>
                <w:iCs/>
                <w:sz w:val="24"/>
                <w:szCs w:val="24"/>
              </w:rPr>
              <w:t xml:space="preserve">transfer_locks</w:t>
            </w:r>
          </w:p>
        </w:tc>
        <w:tc>
          <w:tcPr>
            <w:tcW w:w="6772" w:type="dxa"/>
          </w:tcPr>
          <w:p>
            <w:pPr>
              <w:pStyle w:val="Compact"/>
              <w:keepNext w:val="0"/>
              <w:pageBreakBefore w:val="0"/>
              <w:suppressAutoHyphens w:val="1"/>
              <w:spacing w:before="0" w:after="0" w:line="240" w:lineRule="auto"/>
              <w:ind w:firstLine="0" w:left="0" w:right="0"/>
              <w:jc w:val="both"/>
            </w:pPr>
            <w:r>
              <w:rPr>
                <w:sz w:val="24"/>
                <w:szCs w:val="24"/>
              </w:rPr>
              <w:t xml:space="preserve">Запреты переноса объектов и их основания</w:t>
            </w:r>
          </w:p>
        </w:tc>
      </w:tr>
    </w:tbl>
    <w:bookmarkEnd w:id="96"/>
    <w:p>
      <w:pPr>
        <w:pStyle w:val="a2"/>
        <w:spacing w:before="120"/>
      </w:pPr>
      <w:r>
        <w:t xml:space="preserve">Таблица</w:t>
      </w:r>
      <w:r>
        <w:t xml:space="preserve"> </w:t>
      </w:r>
      <w:r>
        <w:rPr>
          <w:i/>
          <w:iCs/>
        </w:rPr>
        <w:t xml:space="preserve">version_placements</w:t>
      </w:r>
      <w:r>
        <w:t xml:space="preserve"> </w:t>
      </w:r>
      <w:r>
        <w:t xml:space="preserve">хранит одну действующую запись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учитывает место временных копий. Компонент метаданных остаётся единственным источником истины о расположении. База СППР хранит ссылки на версию и поколение, поэтому расхождения выявляет повторная проверка перед переносом. Данные, необходимые для клиентского чтения, отделены от данных расчёта рекомендаций и журнала управления.</w:t>
      </w:r>
    </w:p>
    <w:bookmarkEnd w:id="97"/>
    <w:bookmarkStart w:id="99" w:name="анализ-архитектуры"/>
    <w:p>
      <w:pPr>
        <w:pStyle w:val="30"/>
      </w:pPr>
      <w:bookmarkStart w:id="216" w:name="GOSTHeading216"/>
      <w:r>
        <w:t xml:space="preserve">2.3.4 Анализ архитектуры</w:t>
      </w:r>
      <w:bookmarkEnd w:id="216"/>
    </w:p>
    <w:p>
      <w:pPr>
        <w:pStyle w:val="FirstParagraph"/>
      </w:pPr>
      <w:r>
        <w:t xml:space="preserve">Узкие места, точки отказа и принятые решения сведены в Таблице 2.5.</w:t>
      </w:r>
    </w:p>
    <w:bookmarkStart w:id="98" w:name="gost-tbl:arch_analysis"/>
    <w:p>
      <w:pPr>
        <w:pStyle w:val="TableCaption"/>
      </w:pPr>
      <w:r>
        <w:t xml:space="preserve">Таблица 2.5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Анализ архитектуры"/>
      </w:tblPr>
      <w:tblGrid>
        <w:gridCol w:w="2300"/>
        <w:gridCol w:w="2704"/>
        <w:gridCol w:w="4634"/>
      </w:tblGrid>
      <w:tr>
        <w:trPr>
          <w:tblHeader w:val="on"/>
          <w:cantSplit/>
        </w:trPr>
        <w:tc>
          <w:tcPr>
            <w:tcW w:w="23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0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634"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Шлюз и компонент метаданных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административный API, исполнитель перепроверяет условия</w:t>
            </w:r>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Хранение COLD</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3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04"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634"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как источник истины, CAS</w:t>
            </w:r>
          </w:p>
        </w:tc>
      </w:tr>
    </w:tbl>
    <w:bookmarkEnd w:id="98"/>
    <w:p>
      <w:pPr>
        <w:pStyle w:val="a2"/>
        <w:spacing w:before="120"/>
      </w:pPr>
      <w:r>
        <w:t xml:space="preserve">Узким местом остаётся применение плана: если спрос меняется быстрее, чем позволяет бюджет копирования</w:t>
      </w:r>
      <w:r>
        <w:t xml:space="preserve"> </w:t>
      </w:r>
      <m:oMath>
        <m:r>
          <m:t>B</m:t>
        </m:r>
      </m:oMath>
      <w:r>
        <w:t xml:space="preserve"> </w:t>
      </w:r>
      <w:r>
        <w:t xml:space="preserve">в МиБ за цикл (Таблица 2.1), даже точный прогноз не уменьшит задержку. Эта граница проверяется прогонами с разными значениями бюджета.</w:t>
      </w:r>
    </w:p>
    <w:bookmarkEnd w:id="99"/>
    <w:bookmarkStart w:id="101" w:name="соответствие-требованиям"/>
    <w:p>
      <w:pPr>
        <w:pStyle w:val="30"/>
      </w:pPr>
      <w:bookmarkStart w:id="217" w:name="GOSTHeading217"/>
      <w:r>
        <w:t xml:space="preserve">2.3.5 Соответствие требованиям</w:t>
      </w:r>
      <w:bookmarkEnd w:id="217"/>
    </w:p>
    <w:p>
      <w:pPr>
        <w:pStyle w:val="FirstParagraph"/>
      </w:pPr>
      <w:r>
        <w:t xml:space="preserve">Связь функциональных требований из Таблицы 1.4 с проектом приведена в Таблице 2.6.</w:t>
      </w:r>
    </w:p>
    <w:bookmarkStart w:id="100" w:name="gost-tbl:traceability"/>
    <w:p>
      <w:pPr>
        <w:pStyle w:val="TableCaption"/>
      </w:pPr>
      <w:r>
        <w:t xml:space="preserve">Таблица 2.6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6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Шлюз и приём событий: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Компонент метаданных: классы, расположение, занятость с копиями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моделями и обучение: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Планировщик: выигрыш (2.4) при ограничениях (2.5) и (2.6),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Объяснение рекомендаций: величины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Административный API и исполнитель: ревизии плана, отмена и пауза (Рисунок 2.5)</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Исполнитель и компонент метаданных: повторная проверка, проверка копии до CAS, восстановление (Рисунок 2.3)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EWMA при непригодной модели, единый планировщик для сравнения</w:t>
            </w:r>
          </w:p>
        </w:tc>
      </w:tr>
    </w:tbl>
    <w:bookmarkEnd w:id="100"/>
    <w:p>
      <w:pPr>
        <w:pStyle w:val="a2"/>
        <w:spacing w:before="120"/>
      </w:pPr>
      <w:r>
        <w:t xml:space="preserve">Приём событий и подготовка признаков обеспечивают входные данные, прогнозирование и планирование рассчитывают рекомендации, административный API и исполнитель обеспечивают их контролируемое применение. Выполнение требований предстоит подтвердить реализацией и испытаниями.</w:t>
      </w:r>
    </w:p>
    <w:bookmarkEnd w:id="101"/>
    <w:bookmarkEnd w:id="102"/>
    <w:bookmarkStart w:id="103" w:name="обоснование-инструментов-реализации"/>
    <w:p>
      <w:pPr>
        <w:pStyle w:val="21"/>
      </w:pPr>
      <w:bookmarkStart w:id="218" w:name="GOSTHeading218"/>
      <w:r>
        <w:t xml:space="preserve">2.4 Обоснование инструментов реализации</w:t>
      </w:r>
      <w:bookmarkEnd w:id="218"/>
    </w:p>
    <w:p>
      <w:pPr>
        <w:pStyle w:val="FirstParagraph"/>
      </w:pPr>
      <w:r>
        <w:t xml:space="preserve">Язык и средства взаимодействия выбираются с учётом расширяемой системы: сервисы рассмотренной версии OpenS3 написаны на Go и используют gRPC [7]. Для СППР и исполнителя выбран Go, что позволяет использовать тот же способ конфигурации и готовые клиенты. Отдельный сервис на Python упростил бы прямой вызов библиотек машинного обучения, но добавил бы сетевой интерфейс прогнозирования и отдельный процесс в эксплуатации. Поэтому Python используется для подготовки данных и обучения, а расчёт рекомендаций выполняется в Go. Это разделение требует проверки совпадения признаков и прогнозов двух сред.</w:t>
      </w:r>
    </w:p>
    <w:p>
      <w:pPr>
        <w:pStyle w:val="a2"/>
      </w:pPr>
      <w:r>
        <w:t xml:space="preserve">Для обучения рассмотрены LightGBM, XGBoost и CatBoost. Все три предоставляют средства бустинга и пуассоновской регрессии [32], [52], [53]. Выбран LightGBM: он поддерживает обе функции потерь двухэтапной модели, гистограммное построение деревьев [44] и экспорт, читаемый библиотекой leaves на Go [45]. XGBoost также является допустимой альтернативой, включая поддержку в leaves; выбор LightGBM не означает доказанного превосходства над ним. CatBoost потребовал бы отдельного пути применения модели вместо выбранного загрузчика. Ограничения LightGBM для проекта – подбор параметров при преобладании нулевых меток, контроль памяти и проверка калибровки; качество и соблюдение квоты проверяются на подготовленной выборке.</w:t>
      </w:r>
    </w:p>
    <w:p>
      <w:pPr>
        <w:pStyle w:val="a2"/>
      </w:pPr>
      <w:r>
        <w:t xml:space="preserve">Для применения модели сравниваются leaves, отдельный сервис Python и ONNX Runtime. Библиотека leaves читает модели LightGBM и выполняет прогнозирование непосредственно в Go [45], поэтому не требуется сетевой вызов или нативная среда ONNX Runtime [48]. Цена этого решения – ограниченная совместимость загрузчика с форматами и преобразованиями выходов. Перед вводом каждой модели проверяется совпадение конечных вероятностей и числа чтений в Python и Go; успешная загрузка файла сама по себе такую совместимость не подтверждает.</w:t>
      </w:r>
    </w:p>
    <w:p>
      <w:pPr>
        <w:pStyle w:val="a2"/>
      </w:pPr>
      <w:r>
        <w:t xml:space="preserve">Для хранения состояния выбрана PostgreSQL, уже используемая в OpenS3 [7]. Транзакции и блокировки нужны для согласованной записи команд, зависимостей и состояний миграций [46]. MySQL с InnoDB также поддерживает транзакции и блокировки строк [54], но его добавление потребовало бы сопровождать ещё одну СУБД без выявленного требования к замене существующей. Ограничения PostgreSQL здесь связаны с ростом журнала событий и конкуренцией записей: при реализации нужны индексы, агрегаты и правила хранения истории. Транзакция базы СППР не охватывает базу метаданных, поэтому сохраняются CAS и повторные проверки исполнителя.</w:t>
      </w:r>
    </w:p>
    <w:p>
      <w:pPr>
        <w:pStyle w:val="a2"/>
      </w:pPr>
      <w:r>
        <w:t xml:space="preserve">Для асинхронного приёма событий выбрана Kafka, уже входящая в инфраструктуру OpenS3 [7], [47]. Альтернатива – RabbitMQ Streams, также допускающий повторное чтение сохранённых сообщений [55]; переход к нему добавил бы новый брокер и изменил существующий путь публикации. Синхронная передача непосредственно в базу СППР связала бы доступность записи события с клиентским запросом. Ограничения выбранного пути – повторная доставка, задержки и конечный срок хранения сообщений. Поэтому нужны дедупликация, контроль пропусков и сохранение истории в PostgreSQL; наличие брокера само по себе не гарантирует полноту обучающих данных.</w:t>
      </w:r>
    </w:p>
    <w:bookmarkEnd w:id="103"/>
    <w:bookmarkStart w:id="104" w:name="выводы-по-аналитическому-разделу"/>
    <w:p>
      <w:pPr>
        <w:pStyle w:val="21"/>
      </w:pPr>
      <w:bookmarkStart w:id="219" w:name="GOSTHeading219"/>
      <w:r>
        <w:t xml:space="preserve">2.5 Выводы по аналитическому разделу</w:t>
      </w:r>
      <w:bookmarkEnd w:id="219"/>
    </w:p>
    <w:p>
      <w:pPr>
        <w:pStyle w:val="FirstParagraph"/>
      </w:pPr>
      <w:r>
        <w:t xml:space="preserve">Математическое и алгоритмическое обеспечение связывает прогноз числа чтений с ожидаемым уменьшением задержки. Планировщик решает вариант задачи о ранце с ограничениями ёмкости, бюджета и закреплениями; базовые оценки используют тот же алгоритм. Полную обучающую выборку предстоит подготовить, а пригодность двухэтапной модели и эвристики для объектов разного размера – проверить экспериментом.</w:t>
      </w:r>
    </w:p>
    <w:p>
      <w:pPr>
        <w:pStyle w:val="a2"/>
      </w:pPr>
      <w:r>
        <w:t xml:space="preserve">Сопоставление AS-IS и TO-BE определило обязанности исполнителей: системе передаются расчёт спроса, выбор размещения и проверка переносов, администратору остаются ограничения, подтверждение и контроль. Ожидание решения входит в цикл проверки эффективности. Сравнение качественное и не подтверждает измеренного сокращения затрат.</w:t>
      </w:r>
    </w:p>
    <w:p>
      <w:pPr>
        <w:pStyle w:val="a2"/>
      </w:pPr>
      <w:r>
        <w:t xml:space="preserve">Архитектура отделяет расчёт рекомендаций от чтения и исполнения переносов. Модель данных разделяет действующее расположение в компоненте метаданных и журнал управления в базе СППР. Без общей транзакции согласование обеспечивают поколение записи, CAS и повторная проверка. Основные ограничения – единственные экземпляры сервиса и исполнителя, конкуренция за ресурсы и бюджет миграций.</w:t>
      </w:r>
    </w:p>
    <w:p>
      <w:pPr>
        <w:pStyle w:val="a2"/>
      </w:pPr>
      <w:r>
        <w:t xml:space="preserve">Инструменты выбраны по требованиям к модели и совместимости с OpenS3 с учётом альтернатив и ограничений. В технологическом разделе предстоит реализовать компоненты, подготовить данные, проверить совпадение прогнозов Python и Go, подобрать параметры и сравнить политики по задержке чтения при одинаковых ресурсах.</w:t>
      </w:r>
    </w:p>
    <w:bookmarkEnd w:id="104"/>
    <w:bookmarkEnd w:id="105"/>
    <w:bookmarkStart w:id="167" w:name="список-использованных-источников"/>
    <w:p>
      <w:pPr>
        <w:pStyle w:val="GOSTStructuralHeading"/>
      </w:pPr>
      <w:bookmarkStart w:id="220" w:name="GOSTHeading220"/>
      <w:r>
        <w:t xml:space="preserve">СПИСОК ИСПОЛЬЗОВАННЫХ ИСТОЧНИКОВ</w:t>
      </w:r>
      <w:bookmarkEnd w:id="220"/>
    </w:p>
    <w:p>
      <w:pPr>
        <w:numPr>
          <w:ilvl w:val="0"/>
          <w:numId w:val="1004"/>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06">
        <w:r>
          <w:rPr>
            <w:rStyle w:val="af4"/>
          </w:rPr>
          <w:t xml:space="preserve">10.1145/3803857</w:t>
        </w:r>
      </w:hyperlink>
      <w:r>
        <w:t xml:space="preserve">.</w:t>
      </w:r>
    </w:p>
    <w:p>
      <w:pPr>
        <w:numPr>
          <w:ilvl w:val="0"/>
          <w:numId w:val="1004"/>
        </w:numPr>
        <w:spacing w:before="0" w:after="0" w:line="360" w:lineRule="auto"/>
        <w:ind w:left="0" w:firstLine="709"/>
      </w:pPr>
      <w:r>
        <w:t xml:space="preserve">Amazon Web Services. Amazon S3 User Guide [Электронный ресурс]. URL:</w:t>
      </w:r>
      <w:r>
        <w:t xml:space="preserve"> </w:t>
      </w:r>
      <w:hyperlink r:id="rId107">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08">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09">
        <w:r>
          <w:rPr>
            <w:rStyle w:val="af4"/>
          </w:rPr>
          <w:t xml:space="preserve">https://​docs.​aws.​amazon.​com/​AmazonS3/​latest/​userguide/​intelligent-​tiering-​overview.​html</w:t>
        </w:r>
      </w:hyperlink>
      <w:r>
        <w:t xml:space="preserve"> </w:t>
      </w:r>
      <w:r>
        <w:t xml:space="preserve">(How S3 Intelligent-Tiering works) (дата обращения: 09.10.2026).</w:t>
      </w:r>
    </w:p>
    <w:p>
      <w:pPr>
        <w:numPr>
          <w:ilvl w:val="0"/>
          <w:numId w:val="1004"/>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10">
        <w:r>
          <w:rPr>
            <w:rStyle w:val="af4"/>
          </w:rPr>
          <w:t xml:space="preserve">10.1016/j.comcom.2026.108437</w:t>
        </w:r>
      </w:hyperlink>
      <w:r>
        <w:t xml:space="preserve">.</w:t>
      </w:r>
    </w:p>
    <w:p>
      <w:pPr>
        <w:numPr>
          <w:ilvl w:val="0"/>
          <w:numId w:val="1004"/>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11">
        <w:r>
          <w:rPr>
            <w:rStyle w:val="af4"/>
          </w:rPr>
          <w:t xml:space="preserve">10.​17586/​2226-​1494-​2023-​23-​6-​1171-​1177</w:t>
        </w:r>
      </w:hyperlink>
      <w:r>
        <w:t xml:space="preserve">.</w:t>
      </w:r>
    </w:p>
    <w:p>
      <w:pPr>
        <w:numPr>
          <w:ilvl w:val="0"/>
          <w:numId w:val="1004"/>
        </w:numPr>
        <w:spacing w:before="0" w:after="0" w:line="360" w:lineRule="auto"/>
        <w:ind w:left="0" w:firstLine="709"/>
      </w:pPr>
      <w:r>
        <w:t xml:space="preserve">Amazon Web Services. Naming Amazon S3 objects [Электронный ресурс]. URL:</w:t>
      </w:r>
      <w:r>
        <w:t xml:space="preserve"> </w:t>
      </w:r>
      <w:hyperlink r:id="rId112">
        <w:r>
          <w:rPr>
            <w:rStyle w:val="af4"/>
          </w:rPr>
          <w:t xml:space="preserve">https://​docs.​aws.​amazon.​com/​AmazonS3/​latest/​userguide/​object-​keys.​html</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13">
        <w:r>
          <w:rPr>
            <w:rStyle w:val="af4"/>
          </w:rPr>
          <w:t xml:space="preserve">https://​docs.​aws.​amazon.​com/​AmazonS3/​latest/​userguide/​Versioning.​html</w:t>
        </w:r>
      </w:hyperlink>
      <w:r>
        <w:t xml:space="preserve"> </w:t>
      </w:r>
      <w:r>
        <w:t xml:space="preserve">(дата обращения: 01.10.2026).</w:t>
      </w:r>
    </w:p>
    <w:p>
      <w:pPr>
        <w:numPr>
          <w:ilvl w:val="0"/>
          <w:numId w:val="1004"/>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14">
        <w:r>
          <w:rPr>
            <w:rStyle w:val="af4"/>
          </w:rPr>
          <w:t xml:space="preserve">https://​github.​com/​alesplll/​opens3-​rebac/​tree/​ac858c748b5d3af96f0440864f4b299e7b617d76</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Transitioning objects using Amazon S3 Lifecycle [Электронный ресурс]. URL:</w:t>
      </w:r>
      <w:r>
        <w:t xml:space="preserve"> </w:t>
      </w:r>
      <w:hyperlink r:id="rId115">
        <w:r>
          <w:rPr>
            <w:rStyle w:val="af4"/>
          </w:rPr>
          <w:t xml:space="preserve">https://​docs.​aws.​amazon.​com/​AmazonS3/​latest/​userguide/​lifecycle-​transition-​general-​considerations.​html</w:t>
        </w:r>
      </w:hyperlink>
      <w:r>
        <w:t xml:space="preserve"> </w:t>
      </w:r>
      <w:r>
        <w:t xml:space="preserve">(дата обращения: 01.10.2026).</w:t>
      </w:r>
    </w:p>
    <w:p>
      <w:pPr>
        <w:numPr>
          <w:ilvl w:val="0"/>
          <w:numId w:val="1004"/>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16">
        <w:r>
          <w:rPr>
            <w:rStyle w:val="af4"/>
          </w:rPr>
          <w:t xml:space="preserve">https://​docs.​ceph.​com/​en/​squid/​radosgw/​placement/​</w:t>
        </w:r>
      </w:hyperlink>
      <w:r>
        <w:t xml:space="preserve"> </w:t>
      </w:r>
      <w:r>
        <w:t xml:space="preserve">(дата обращения: 01.10.2026).</w:t>
      </w:r>
    </w:p>
    <w:p>
      <w:pPr>
        <w:numPr>
          <w:ilvl w:val="0"/>
          <w:numId w:val="1004"/>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17">
        <w:r>
          <w:rPr>
            <w:rStyle w:val="af4"/>
          </w:rPr>
          <w:t xml:space="preserve">https://​docs.​ceph.​com/​en/​squid/​rados/​operations/​crush-​map-​edits/​</w:t>
        </w:r>
      </w:hyperlink>
      <w:r>
        <w:t xml:space="preserve"> </w:t>
      </w:r>
      <w:r>
        <w:t xml:space="preserve">(дата обращения: 01.10.2026).</w:t>
      </w:r>
    </w:p>
    <w:p>
      <w:pPr>
        <w:numPr>
          <w:ilvl w:val="0"/>
          <w:numId w:val="1004"/>
        </w:numPr>
        <w:spacing w:before="0" w:after="0" w:line="360" w:lineRule="auto"/>
        <w:ind w:left="0" w:firstLine="709"/>
      </w:pPr>
      <w:r>
        <w:t xml:space="preserve">MinIO. Object Lifecycle Management. AIStor Documentation [Электронный ресурс]. URL:</w:t>
      </w:r>
      <w:r>
        <w:t xml:space="preserve"> </w:t>
      </w:r>
      <w:hyperlink r:id="rId118">
        <w:r>
          <w:rPr>
            <w:rStyle w:val="af4"/>
          </w:rPr>
          <w:t xml:space="preserve">https://​docs.​min.​io/​aistor/​administration/​object-​lifecycle-​management/​</w:t>
        </w:r>
      </w:hyperlink>
      <w:r>
        <w:t xml:space="preserve"> </w:t>
      </w:r>
      <w:r>
        <w:t xml:space="preserve">(дата обращения: 01.10.2026).</w:t>
      </w:r>
    </w:p>
    <w:p>
      <w:pPr>
        <w:numPr>
          <w:ilvl w:val="0"/>
          <w:numId w:val="1004"/>
        </w:numPr>
        <w:spacing w:before="0" w:after="0" w:line="360" w:lineRule="auto"/>
        <w:ind w:left="0" w:firstLine="709"/>
      </w:pPr>
      <w:r>
        <w:t xml:space="preserve">MinIO. Object Tiering. AIStor Documentation [Электронный ресурс]. URL:</w:t>
      </w:r>
      <w:r>
        <w:t xml:space="preserve"> </w:t>
      </w:r>
      <w:hyperlink r:id="rId119">
        <w:r>
          <w:rPr>
            <w:rStyle w:val="af4"/>
          </w:rPr>
          <w:t xml:space="preserve">https://​docs.​min.​io/​aistor/​administration/​object-​lifecycle-​management/​object-​tiering/​</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GetObject. Amazon S3 API Reference [Электронный ресурс]. URL:</w:t>
      </w:r>
      <w:r>
        <w:t xml:space="preserve"> </w:t>
      </w:r>
      <w:hyperlink r:id="rId120">
        <w:r>
          <w:rPr>
            <w:rStyle w:val="af4"/>
          </w:rPr>
          <w:t xml:space="preserve">https://​docs.​aws.​amazon.​com/​AmazonS3/​latest/​API/​API_​GetObject.​html</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Amazon S3 server access log format [Электронный ресурс]. URL:</w:t>
      </w:r>
      <w:r>
        <w:t xml:space="preserve"> </w:t>
      </w:r>
      <w:hyperlink r:id="rId121">
        <w:r>
          <w:rPr>
            <w:rStyle w:val="af4"/>
          </w:rPr>
          <w:t xml:space="preserve">https://​docs.​aws.​amazon.​com/​AmazonS3/​latest/​userguide/​LogFormat.​html</w:t>
        </w:r>
      </w:hyperlink>
      <w:r>
        <w:t xml:space="preserve"> </w:t>
      </w:r>
      <w:r>
        <w:t xml:space="preserve">(дата обращения: 01.10.2026).</w:t>
      </w:r>
    </w:p>
    <w:p>
      <w:pPr>
        <w:numPr>
          <w:ilvl w:val="0"/>
          <w:numId w:val="1004"/>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22">
        <w:r>
          <w:rPr>
            <w:rStyle w:val="af4"/>
          </w:rPr>
          <w:t xml:space="preserve">https://​arxiv.​org/​abs/​2305.​14818</w:t>
        </w:r>
      </w:hyperlink>
      <w:r>
        <w:t xml:space="preserve"> </w:t>
      </w:r>
      <w:r>
        <w:t xml:space="preserve">(дата обращения: 01.10.2026).</w:t>
      </w:r>
    </w:p>
    <w:p>
      <w:pPr>
        <w:numPr>
          <w:ilvl w:val="0"/>
          <w:numId w:val="1004"/>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23">
        <w:r>
          <w:rPr>
            <w:rStyle w:val="af4"/>
          </w:rPr>
          <w:t xml:space="preserve">https://​www.​usenix.​org/​conference/​fast24/​presentation/​wong</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Amazon S3 pricing [Электронный ресурс]. URL:</w:t>
      </w:r>
      <w:r>
        <w:t xml:space="preserve"> </w:t>
      </w:r>
      <w:hyperlink r:id="rId124">
        <w:r>
          <w:rPr>
            <w:rStyle w:val="af4"/>
          </w:rPr>
          <w:t xml:space="preserve">https://​aws.​amazon.​com/​s3/​pricing/​</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25">
        <w:r>
          <w:rPr>
            <w:rStyle w:val="af4"/>
          </w:rPr>
          <w:t xml:space="preserve">https://​docs.​aws.​amazon.​com/​AmazonS3/​latest/​userguide/​Welcome.​html</w:t>
        </w:r>
      </w:hyperlink>
      <w:r>
        <w:t xml:space="preserve"> </w:t>
      </w:r>
      <w:r>
        <w:t xml:space="preserve">(дата обращения: 01.10.2026).</w:t>
      </w:r>
    </w:p>
    <w:p>
      <w:pPr>
        <w:numPr>
          <w:ilvl w:val="0"/>
          <w:numId w:val="1004"/>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26">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27">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numPr>
          <w:ilvl w:val="0"/>
          <w:numId w:val="1004"/>
        </w:numPr>
        <w:spacing w:before="0" w:after="0" w:line="360" w:lineRule="auto"/>
        <w:ind w:left="0" w:firstLine="709"/>
      </w:pPr>
      <w:r>
        <w:t xml:space="preserve">CacheMon. Open-source Cache Dataset. Раздел Meta CDN request traces [Электронный ресурс]. URL:</w:t>
      </w:r>
      <w:r>
        <w:t xml:space="preserve"> </w:t>
      </w:r>
      <w:hyperlink r:id="rId128">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29">
        <w:r>
          <w:rPr>
            <w:rStyle w:val="af4"/>
          </w:rPr>
          <w:t xml:space="preserve">https://​s3.​amazonaws.​com/​cache-​datasets/​index.​html</w:t>
        </w:r>
      </w:hyperlink>
      <w:r>
        <w:t xml:space="preserve"> </w:t>
      </w:r>
      <w:r>
        <w:t xml:space="preserve">(открытый архив файлов) (дата обращения: 01.10.2026).</w:t>
      </w:r>
    </w:p>
    <w:p>
      <w:pPr>
        <w:numPr>
          <w:ilvl w:val="0"/>
          <w:numId w:val="1004"/>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30">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31">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numPr>
          <w:ilvl w:val="0"/>
          <w:numId w:val="1004"/>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32">
        <w:r>
          <w:rPr>
            <w:rStyle w:val="af4"/>
          </w:rPr>
          <w:t xml:space="preserve">https://​www.​usenix.​org/​conference/​fast18/​presentation/​anwar</w:t>
        </w:r>
      </w:hyperlink>
      <w:r>
        <w:t xml:space="preserve"> </w:t>
      </w:r>
      <w:r>
        <w:t xml:space="preserve">(дата обращения: 01.10.2026).</w:t>
      </w:r>
    </w:p>
    <w:p>
      <w:pPr>
        <w:numPr>
          <w:ilvl w:val="0"/>
          <w:numId w:val="1004"/>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33">
        <w:r>
          <w:rPr>
            <w:rStyle w:val="af4"/>
          </w:rPr>
          <w:t xml:space="preserve">https://​github.​com/​ds2-​lab/​IBM-​docker-​registry-​traces</w:t>
        </w:r>
      </w:hyperlink>
      <w:r>
        <w:t xml:space="preserve"> </w:t>
      </w:r>
      <w:r>
        <w:t xml:space="preserve">(дата обращения: 01.10.2026).</w:t>
      </w:r>
    </w:p>
    <w:p>
      <w:pPr>
        <w:numPr>
          <w:ilvl w:val="0"/>
          <w:numId w:val="1004"/>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34">
        <w:r>
          <w:rPr>
            <w:rStyle w:val="af4"/>
          </w:rPr>
          <w:t xml:space="preserve">https://www.pdl.cmu.edu/CILES/</w:t>
        </w:r>
      </w:hyperlink>
      <w:r>
        <w:t xml:space="preserve"> </w:t>
      </w:r>
      <w:r>
        <w:t xml:space="preserve">(дата обращения: 01.10.2026).</w:t>
      </w:r>
    </w:p>
    <w:p>
      <w:pPr>
        <w:numPr>
          <w:ilvl w:val="0"/>
          <w:numId w:val="1004"/>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35">
        <w:r>
          <w:rPr>
            <w:rStyle w:val="af4"/>
          </w:rPr>
          <w:t xml:space="preserve">10.14778/3357377.3357381</w:t>
        </w:r>
      </w:hyperlink>
      <w:r>
        <w:t xml:space="preserve">. URL:</w:t>
      </w:r>
      <w:r>
        <w:t xml:space="preserve"> </w:t>
      </w:r>
      <w:hyperlink r:id="rId136">
        <w:r>
          <w:rPr>
            <w:rStyle w:val="af4"/>
          </w:rPr>
          <w:t xml:space="preserve">https://​www.​vldb.​org/​pvldb/​vol13/​p43-​herodotou.​pdf</w:t>
        </w:r>
      </w:hyperlink>
      <w:r>
        <w:t xml:space="preserve"> </w:t>
      </w:r>
      <w:r>
        <w:t xml:space="preserve">(дата обращения: 04.10.2026).</w:t>
      </w:r>
    </w:p>
    <w:p>
      <w:pPr>
        <w:numPr>
          <w:ilvl w:val="0"/>
          <w:numId w:val="1004"/>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37">
        <w:r>
          <w:rPr>
            <w:rStyle w:val="af4"/>
          </w:rPr>
          <w:t xml:space="preserve">10.​1109/​FiCloud66139.​2025.​00024</w:t>
        </w:r>
      </w:hyperlink>
      <w:r>
        <w:t xml:space="preserve">.</w:t>
      </w:r>
    </w:p>
    <w:p>
      <w:pPr>
        <w:numPr>
          <w:ilvl w:val="0"/>
          <w:numId w:val="1004"/>
        </w:numPr>
        <w:spacing w:before="0" w:after="0" w:line="360" w:lineRule="auto"/>
        <w:ind w:left="0" w:firstLine="709"/>
      </w:pPr>
      <w:r>
        <w:t xml:space="preserve">Ceph. Rados Gateway Data Layout. Документация версии Squid [Электронный ресурс]. URL:</w:t>
      </w:r>
      <w:r>
        <w:t xml:space="preserve"> </w:t>
      </w:r>
      <w:hyperlink r:id="rId138">
        <w:r>
          <w:rPr>
            <w:rStyle w:val="af4"/>
          </w:rPr>
          <w:t xml:space="preserve">https://​docs.​ceph.​com/​en/​squid/​radosgw/​layout/​</w:t>
        </w:r>
      </w:hyperlink>
      <w:r>
        <w:t xml:space="preserve"> </w:t>
      </w:r>
      <w:r>
        <w:t xml:space="preserve">(дата обращения: 01.10.2026).</w:t>
      </w:r>
    </w:p>
    <w:p>
      <w:pPr>
        <w:numPr>
          <w:ilvl w:val="0"/>
          <w:numId w:val="1004"/>
        </w:numPr>
        <w:spacing w:before="0" w:after="0" w:line="360" w:lineRule="auto"/>
        <w:ind w:left="0" w:firstLine="709"/>
      </w:pPr>
      <w:r>
        <w:t xml:space="preserve">Amazon Web Services. Logging requests with server access logging [Электронный ресурс]. URL:</w:t>
      </w:r>
      <w:r>
        <w:t xml:space="preserve"> </w:t>
      </w:r>
      <w:hyperlink r:id="rId139">
        <w:r>
          <w:rPr>
            <w:rStyle w:val="af4"/>
          </w:rPr>
          <w:t xml:space="preserve">https://​docs.​aws.​amazon.​com/​AmazonS3/​latest/​userguide/​ServerLogs.​html</w:t>
        </w:r>
      </w:hyperlink>
      <w:r>
        <w:t xml:space="preserve"> </w:t>
      </w:r>
      <w:r>
        <w:t xml:space="preserve">(дата обращения: 01.10.2026).</w:t>
      </w:r>
    </w:p>
    <w:p>
      <w:pPr>
        <w:numPr>
          <w:ilvl w:val="0"/>
          <w:numId w:val="1004"/>
        </w:numPr>
        <w:spacing w:before="0" w:after="0" w:line="360" w:lineRule="auto"/>
        <w:ind w:left="0" w:firstLine="709"/>
      </w:pPr>
      <w:r>
        <w:t xml:space="preserve">Kellerer H., Pferschy U., Pisinger D. Knapsack Problems. Berlin; Heidelberg: Springer, 2004. 546 p. DOI:</w:t>
      </w:r>
      <w:r>
        <w:t xml:space="preserve"> </w:t>
      </w:r>
      <w:hyperlink r:id="rId140">
        <w:r>
          <w:rPr>
            <w:rStyle w:val="af4"/>
          </w:rPr>
          <w:t xml:space="preserve">10.1007/978-3-540-24777-7</w:t>
        </w:r>
      </w:hyperlink>
      <w:r>
        <w:t xml:space="preserve">.</w:t>
      </w:r>
    </w:p>
    <w:p>
      <w:pPr>
        <w:numPr>
          <w:ilvl w:val="0"/>
          <w:numId w:val="1004"/>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41">
        <w:r>
          <w:rPr>
            <w:rStyle w:val="af4"/>
          </w:rPr>
          <w:t xml:space="preserve">10.1016/0304-4076(86)90002-3</w:t>
        </w:r>
      </w:hyperlink>
      <w:r>
        <w:t xml:space="preserve">.</w:t>
      </w:r>
    </w:p>
    <w:p>
      <w:pPr>
        <w:numPr>
          <w:ilvl w:val="0"/>
          <w:numId w:val="1004"/>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42">
        <w:r>
          <w:rPr>
            <w:rStyle w:val="af4"/>
          </w:rPr>
          <w:t xml:space="preserve">10.1214/aos/1013203451</w:t>
        </w:r>
      </w:hyperlink>
      <w:r>
        <w:t xml:space="preserve">.</w:t>
      </w:r>
    </w:p>
    <w:p>
      <w:pPr>
        <w:numPr>
          <w:ilvl w:val="0"/>
          <w:numId w:val="1004"/>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43">
        <w:r>
          <w:rPr>
            <w:rStyle w:val="af4"/>
          </w:rPr>
          <w:t xml:space="preserve">https://​lightgbm.​readthedocs.​io/​en/​latest/​Parameters.​html</w:t>
        </w:r>
      </w:hyperlink>
      <w:r>
        <w:t xml:space="preserve"> </w:t>
      </w:r>
      <w:r>
        <w:t xml:space="preserve">(дата обращения: 15.10.2026).</w:t>
      </w:r>
    </w:p>
    <w:p>
      <w:pPr>
        <w:numPr>
          <w:ilvl w:val="0"/>
          <w:numId w:val="1004"/>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44">
        <w:r>
          <w:rPr>
            <w:rStyle w:val="af4"/>
          </w:rPr>
          <w:t xml:space="preserve">10.2307/2344614</w:t>
        </w:r>
      </w:hyperlink>
      <w:r>
        <w:t xml:space="preserve">.</w:t>
      </w:r>
    </w:p>
    <w:p>
      <w:pPr>
        <w:numPr>
          <w:ilvl w:val="0"/>
          <w:numId w:val="1004"/>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45">
        <w:r>
          <w:rPr>
            <w:rStyle w:val="af4"/>
          </w:rPr>
          <w:t xml:space="preserve">https://​arxiv.​org/​abs/​2207.​08815</w:t>
        </w:r>
      </w:hyperlink>
      <w:r>
        <w:t xml:space="preserve"> </w:t>
      </w:r>
      <w:r>
        <w:t xml:space="preserve">(дата обращения: 15.10.2026).</w:t>
      </w:r>
    </w:p>
    <w:p>
      <w:pPr>
        <w:numPr>
          <w:ilvl w:val="0"/>
          <w:numId w:val="1004"/>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46">
        <w:r>
          <w:rPr>
            <w:rStyle w:val="af4"/>
          </w:rPr>
          <w:t xml:space="preserve">https://​scikit-​learn.​org/​stable/​common_​pitfalls.​html</w:t>
        </w:r>
      </w:hyperlink>
      <w:r>
        <w:t xml:space="preserve"> </w:t>
      </w:r>
      <w:r>
        <w:t xml:space="preserve">(дата обращения: 01.10.2026).</w:t>
      </w:r>
    </w:p>
    <w:p>
      <w:pPr>
        <w:numPr>
          <w:ilvl w:val="0"/>
          <w:numId w:val="1004"/>
        </w:numPr>
        <w:spacing w:before="0" w:after="0" w:line="360" w:lineRule="auto"/>
        <w:ind w:left="0" w:firstLine="709"/>
      </w:pPr>
      <w:r>
        <w:t xml:space="preserve">Scikit-learn developers. TimeSeriesSplit [Электронный ресурс]. URL:</w:t>
      </w:r>
      <w:r>
        <w:t xml:space="preserve"> </w:t>
      </w:r>
      <w:hyperlink r:id="rId147">
        <w:r>
          <w:rPr>
            <w:rStyle w:val="af4"/>
          </w:rPr>
          <w:t xml:space="preserve">https://​scikit-​learn.​org/​stable/​modules/​generated/​sklearn.​model_​selection.​TimeSeriesSplit.​html</w:t>
        </w:r>
      </w:hyperlink>
      <w:r>
        <w:t xml:space="preserve"> </w:t>
      </w:r>
      <w:r>
        <w:t xml:space="preserve">(дата обращения: 01.10.2026).</w:t>
      </w:r>
    </w:p>
    <w:p>
      <w:pPr>
        <w:numPr>
          <w:ilvl w:val="0"/>
          <w:numId w:val="1004"/>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48">
        <w:r>
          <w:rPr>
            <w:rStyle w:val="af4"/>
          </w:rPr>
          <w:t xml:space="preserve">10.1145/1143844.1143874</w:t>
        </w:r>
      </w:hyperlink>
      <w:r>
        <w:t xml:space="preserve">.</w:t>
      </w:r>
    </w:p>
    <w:p>
      <w:pPr>
        <w:numPr>
          <w:ilvl w:val="0"/>
          <w:numId w:val="1004"/>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49">
        <w:r>
          <w:rPr>
            <w:rStyle w:val="af4"/>
          </w:rPr>
          <w:t xml:space="preserve">10.​1175/​1520-​0493(1950)078&lt;0001:VOFEIT&gt;2.​0.​CO;2</w:t>
        </w:r>
      </w:hyperlink>
      <w:r>
        <w:t xml:space="preserve">.</w:t>
      </w:r>
    </w:p>
    <w:p>
      <w:pPr>
        <w:numPr>
          <w:ilvl w:val="0"/>
          <w:numId w:val="1004"/>
        </w:numPr>
        <w:spacing w:before="0" w:after="0" w:line="360" w:lineRule="auto"/>
        <w:ind w:left="0" w:firstLine="709"/>
      </w:pPr>
      <w:r>
        <w:t xml:space="preserve">Dantzig G. B. Discrete-Variable Extremum Problems // Operations Research. 1957. Vol. 5, no. 2. P. 266–288. DOI:</w:t>
      </w:r>
      <w:r>
        <w:t xml:space="preserve"> </w:t>
      </w:r>
      <w:hyperlink r:id="rId150">
        <w:r>
          <w:rPr>
            <w:rStyle w:val="af4"/>
          </w:rPr>
          <w:t xml:space="preserve">10.1287/opre.5.2.266</w:t>
        </w:r>
      </w:hyperlink>
      <w:r>
        <w:t xml:space="preserve">.</w:t>
      </w:r>
    </w:p>
    <w:p>
      <w:pPr>
        <w:numPr>
          <w:ilvl w:val="0"/>
          <w:numId w:val="1004"/>
        </w:numPr>
        <w:spacing w:before="0" w:after="0" w:line="360" w:lineRule="auto"/>
        <w:ind w:left="0" w:firstLine="709"/>
      </w:pPr>
      <w:r>
        <w:t xml:space="preserve">Kleppmann M. Designing Data-Intensive Applications. Sebastopol: O’Reilly Media, 2017. 616 p.</w:t>
      </w:r>
    </w:p>
    <w:p>
      <w:pPr>
        <w:numPr>
          <w:ilvl w:val="0"/>
          <w:numId w:val="1004"/>
        </w:numPr>
        <w:spacing w:before="0" w:after="0" w:line="360" w:lineRule="auto"/>
        <w:ind w:left="0" w:firstLine="709"/>
      </w:pPr>
      <w:r>
        <w:t xml:space="preserve">Amazon Web Services. Checking object integrity for data uploads in Amazon S3 [Электронный ресурс]. URL:</w:t>
      </w:r>
      <w:r>
        <w:t xml:space="preserve"> </w:t>
      </w:r>
      <w:hyperlink r:id="rId151">
        <w:r>
          <w:rPr>
            <w:rStyle w:val="af4"/>
          </w:rPr>
          <w:t xml:space="preserve">https://​docs.​aws.​amazon.​com/​AmazonS3/​latest/​userguide/​checking-​object-​integrity-​upload.​html</w:t>
        </w:r>
      </w:hyperlink>
      <w:r>
        <w:t xml:space="preserve"> </w:t>
      </w:r>
      <w:r>
        <w:t xml:space="preserve">(дата обращения: 01.10.2026).</w:t>
      </w:r>
    </w:p>
    <w:p>
      <w:pPr>
        <w:numPr>
          <w:ilvl w:val="0"/>
          <w:numId w:val="1004"/>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52">
        <w:r>
          <w:rPr>
            <w:rStyle w:val="af4"/>
          </w:rPr>
          <w:t xml:space="preserve">https://​www.​omg.​org/​spec/​UML/​2.​5.​1/​</w:t>
        </w:r>
      </w:hyperlink>
      <w:r>
        <w:t xml:space="preserve"> </w:t>
      </w:r>
      <w:r>
        <w:t xml:space="preserve">(дата обращения: 15.10.2026).</w:t>
      </w:r>
    </w:p>
    <w:p>
      <w:pPr>
        <w:numPr>
          <w:ilvl w:val="0"/>
          <w:numId w:val="1004"/>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53">
        <w:r>
          <w:rPr>
            <w:rStyle w:val="af4"/>
          </w:rPr>
          <w:t xml:space="preserve">https://​www.​omg.​org/​spec/​BPMN/​2.​0.​2/​</w:t>
        </w:r>
      </w:hyperlink>
      <w:r>
        <w:t xml:space="preserve"> </w:t>
      </w:r>
      <w:r>
        <w:t xml:space="preserve">(дата обращения: 15.10.2026).</w:t>
      </w:r>
    </w:p>
    <w:p>
      <w:pPr>
        <w:numPr>
          <w:ilvl w:val="0"/>
          <w:numId w:val="1004"/>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54">
        <w:r>
          <w:rPr>
            <w:rStyle w:val="af4"/>
          </w:rPr>
          <w:t xml:space="preserve">https://​papers.​nips.​cc/​paper/​6907-​lightgbm-​a-​highly-​efficient-​gradient-​boosting-​decision-​tree</w:t>
        </w:r>
      </w:hyperlink>
      <w:r>
        <w:t xml:space="preserve"> </w:t>
      </w:r>
      <w:r>
        <w:t xml:space="preserve">(дата обращения: 15.10.2026).</w:t>
      </w:r>
    </w:p>
    <w:p>
      <w:pPr>
        <w:numPr>
          <w:ilvl w:val="0"/>
          <w:numId w:val="1004"/>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55">
        <w:r>
          <w:rPr>
            <w:rStyle w:val="af4"/>
          </w:rPr>
          <w:t xml:space="preserve">https://​github.​com/​dmitryikh/​leaves</w:t>
        </w:r>
      </w:hyperlink>
      <w:r>
        <w:t xml:space="preserve"> </w:t>
      </w:r>
      <w:r>
        <w:t xml:space="preserve">(дата обращения: 15.10.2026).</w:t>
      </w:r>
    </w:p>
    <w:p>
      <w:pPr>
        <w:numPr>
          <w:ilvl w:val="0"/>
          <w:numId w:val="1004"/>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56">
        <w:r>
          <w:rPr>
            <w:rStyle w:val="af4"/>
          </w:rPr>
          <w:t xml:space="preserve">https://​www.​postgresql.​org/​docs/​16/​mvcc.​html</w:t>
        </w:r>
      </w:hyperlink>
      <w:r>
        <w:t xml:space="preserve"> </w:t>
      </w:r>
      <w:r>
        <w:t xml:space="preserve">(дата обращения: 15.10.2026).</w:t>
      </w:r>
    </w:p>
    <w:p>
      <w:pPr>
        <w:numPr>
          <w:ilvl w:val="0"/>
          <w:numId w:val="1004"/>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57">
        <w:r>
          <w:rPr>
            <w:rStyle w:val="af4"/>
          </w:rPr>
          <w:t xml:space="preserve">https://​kafka.​apache.​org/​documentation/#​semantics</w:t>
        </w:r>
      </w:hyperlink>
      <w:r>
        <w:t xml:space="preserve"> </w:t>
      </w:r>
      <w:r>
        <w:t xml:space="preserve">(дата обращения: 15.10.2026).</w:t>
      </w:r>
    </w:p>
    <w:p>
      <w:pPr>
        <w:numPr>
          <w:ilvl w:val="0"/>
          <w:numId w:val="1004"/>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58">
        <w:r>
          <w:rPr>
            <w:rStyle w:val="af4"/>
          </w:rPr>
          <w:t xml:space="preserve">https://​github.​com/​yalue/​onnxruntime_​go</w:t>
        </w:r>
      </w:hyperlink>
      <w:r>
        <w:t xml:space="preserve"> </w:t>
      </w:r>
      <w:r>
        <w:t xml:space="preserve">(дата обращения: 20.10.2026).</w:t>
      </w:r>
    </w:p>
    <w:p>
      <w:pPr>
        <w:numPr>
          <w:ilvl w:val="0"/>
          <w:numId w:val="1004"/>
        </w:numPr>
        <w:spacing w:before="0" w:after="0" w:line="360" w:lineRule="auto"/>
        <w:ind w:left="0" w:firstLine="709"/>
      </w:pPr>
      <w:r>
        <w:t xml:space="preserve">ГОСТ 19.701-90 (ИСО 5807-85). Единая система программной документации. Схемы алгоритмов, программ, данных и систем. Обозначения условные и правила выполнения [Электронный ресурс]. URL:</w:t>
      </w:r>
      <w:r>
        <w:t xml:space="preserve"> </w:t>
      </w:r>
      <w:hyperlink r:id="rId159">
        <w:r>
          <w:rPr>
            <w:rStyle w:val="af4"/>
          </w:rPr>
          <w:t xml:space="preserve">https://​protect.​gost.​ru/​gost/​details/​0c85e066-​f89e-​433d-​a6d3-​b7f746bd0c7c</w:t>
        </w:r>
      </w:hyperlink>
      <w:r>
        <w:t xml:space="preserve">, текст стандарта:</w:t>
      </w:r>
      <w:r>
        <w:t xml:space="preserve"> </w:t>
      </w:r>
      <w:hyperlink r:id="rId160">
        <w:r>
          <w:rPr>
            <w:rStyle w:val="af4"/>
          </w:rPr>
          <w:t xml:space="preserve">https://​www.​swrit.​ru/​doc/​espd/​19.​701-​90.​pdf</w:t>
        </w:r>
      </w:hyperlink>
      <w:r>
        <w:t xml:space="preserve"> </w:t>
      </w:r>
      <w:r>
        <w:t xml:space="preserve">(дата обращения: 26.10.2026).</w:t>
      </w:r>
    </w:p>
    <w:p>
      <w:pPr>
        <w:numPr>
          <w:ilvl w:val="0"/>
          <w:numId w:val="1004"/>
        </w:numPr>
        <w:spacing w:before="0" w:after="0" w:line="360" w:lineRule="auto"/>
        <w:ind w:left="0" w:firstLine="709"/>
      </w:pPr>
      <w:r>
        <w:t xml:space="preserve">NIST/SEMATECH. e-Handbook of Statistical Methods. Раздел 6.3.2.4. EWMA Control Charts [Электронный ресурс]. URL:</w:t>
      </w:r>
      <w:r>
        <w:t xml:space="preserve"> </w:t>
      </w:r>
      <w:hyperlink r:id="rId161">
        <w:r>
          <w:rPr>
            <w:rStyle w:val="af4"/>
          </w:rPr>
          <w:t xml:space="preserve">https://​www.​itl.​nist.​gov/​div898/​handbook/​pmc/​section3/​pmc324.​htm</w:t>
        </w:r>
      </w:hyperlink>
      <w:r>
        <w:t xml:space="preserve"> </w:t>
      </w:r>
      <w:r>
        <w:t xml:space="preserve">(дата обращения: 26.10.2026).</w:t>
      </w:r>
    </w:p>
    <w:p>
      <w:pPr>
        <w:numPr>
          <w:ilvl w:val="0"/>
          <w:numId w:val="1004"/>
        </w:numPr>
        <w:spacing w:before="0" w:after="0" w:line="360" w:lineRule="auto"/>
        <w:ind w:left="0" w:firstLine="709"/>
      </w:pPr>
      <w:r>
        <w:t xml:space="preserve">Rivest R. The MD5 Message-Digest Algorithm. RFC 1321. 1992 [Электронный ресурс]. URL:</w:t>
      </w:r>
      <w:r>
        <w:t xml:space="preserve"> </w:t>
      </w:r>
      <w:hyperlink r:id="rId162">
        <w:r>
          <w:rPr>
            <w:rStyle w:val="af4"/>
          </w:rPr>
          <w:t xml:space="preserve">https://​www.​rfc-​editor.​org/​rfc/​rfc1321</w:t>
        </w:r>
      </w:hyperlink>
      <w:r>
        <w:t xml:space="preserve"> </w:t>
      </w:r>
      <w:r>
        <w:t xml:space="preserve">(дата обращения: 26.10.2026).</w:t>
      </w:r>
    </w:p>
    <w:p>
      <w:pPr>
        <w:numPr>
          <w:ilvl w:val="0"/>
          <w:numId w:val="1004"/>
        </w:numPr>
        <w:spacing w:before="0" w:after="0" w:line="360" w:lineRule="auto"/>
        <w:ind w:left="0" w:firstLine="709"/>
      </w:pPr>
      <w:r>
        <w:t xml:space="preserve">XGBoost developers. XGBoost Parameters. Раздел Learning Task Parameters [Электронный ресурс]. URL:</w:t>
      </w:r>
      <w:r>
        <w:t xml:space="preserve"> </w:t>
      </w:r>
      <w:hyperlink r:id="rId163">
        <w:r>
          <w:rPr>
            <w:rStyle w:val="af4"/>
          </w:rPr>
          <w:t xml:space="preserve">https://​xgboost.​readthedocs.​io/​en/​stable/​parameter.​html</w:t>
        </w:r>
      </w:hyperlink>
      <w:r>
        <w:t xml:space="preserve"> </w:t>
      </w:r>
      <w:r>
        <w:t xml:space="preserve">(дата обращения: 26.10.2026).</w:t>
      </w:r>
    </w:p>
    <w:p>
      <w:pPr>
        <w:numPr>
          <w:ilvl w:val="0"/>
          <w:numId w:val="1004"/>
        </w:numPr>
        <w:spacing w:before="0" w:after="0" w:line="360" w:lineRule="auto"/>
        <w:ind w:left="0" w:firstLine="709"/>
      </w:pPr>
      <w:r>
        <w:t xml:space="preserve">CatBoost developers. Regression: objectives and metrics. Раздел Poisson [Электронный ресурс]. URL:</w:t>
      </w:r>
      <w:r>
        <w:t xml:space="preserve"> </w:t>
      </w:r>
      <w:hyperlink r:id="rId164">
        <w:r>
          <w:rPr>
            <w:rStyle w:val="af4"/>
          </w:rPr>
          <w:t xml:space="preserve">https://​catboost.​ai/​docs/​en/​concepts/​loss-​functions-​regression</w:t>
        </w:r>
      </w:hyperlink>
      <w:r>
        <w:t xml:space="preserve"> </w:t>
      </w:r>
      <w:r>
        <w:t xml:space="preserve">(дата обращения: 26.10.2026).</w:t>
      </w:r>
    </w:p>
    <w:p>
      <w:pPr>
        <w:numPr>
          <w:ilvl w:val="0"/>
          <w:numId w:val="1004"/>
        </w:numPr>
        <w:spacing w:before="0" w:after="0" w:line="360" w:lineRule="auto"/>
        <w:ind w:left="0" w:firstLine="709"/>
      </w:pPr>
      <w:r>
        <w:t xml:space="preserve">Oracle. MySQL 8.4 Reference Manual. Раздел 17.1 Introduction to InnoDB [Электронный ресурс]. URL:</w:t>
      </w:r>
      <w:r>
        <w:t xml:space="preserve"> </w:t>
      </w:r>
      <w:hyperlink r:id="rId165">
        <w:r>
          <w:rPr>
            <w:rStyle w:val="af4"/>
          </w:rPr>
          <w:t xml:space="preserve">https://​dev.​mysql.​com/​doc/​refman/​8.​4/​en/​innodb-​introduction.​html</w:t>
        </w:r>
      </w:hyperlink>
      <w:r>
        <w:t xml:space="preserve"> </w:t>
      </w:r>
      <w:r>
        <w:t xml:space="preserve">(дата обращения: 26.10.2026).</w:t>
      </w:r>
    </w:p>
    <w:p>
      <w:pPr>
        <w:numPr>
          <w:ilvl w:val="0"/>
          <w:numId w:val="1004"/>
        </w:numPr>
        <w:spacing w:before="0" w:after="0" w:line="360" w:lineRule="auto"/>
        <w:ind w:left="0" w:firstLine="709"/>
      </w:pPr>
      <w:r>
        <w:t xml:space="preserve">RabbitMQ. Streams and Superstreams [Электронный ресурс]. URL:</w:t>
      </w:r>
      <w:r>
        <w:t xml:space="preserve"> </w:t>
      </w:r>
      <w:hyperlink r:id="rId166">
        <w:r>
          <w:rPr>
            <w:rStyle w:val="af4"/>
          </w:rPr>
          <w:t xml:space="preserve">https://​www.​rabbitmq.​com/​docs/​streams</w:t>
        </w:r>
      </w:hyperlink>
      <w:r>
        <w:t xml:space="preserve"> </w:t>
      </w:r>
      <w:r>
        <w:t xml:space="preserve">(дата обращения: 26.10.2026).</w:t>
      </w:r>
    </w:p>
    <w:bookmarkEnd w:id="167"/>
    <w:bookmarkStart w:id="168" w:name="приложения"/>
    <w:p>
      <w:pPr>
        <w:pStyle w:val="GOSTStructuralHeading"/>
      </w:pPr>
      <w:bookmarkStart w:id="221" w:name="GOSTHeading221"/>
      <w:r>
        <w:t xml:space="preserve">ПРИЛОЖЕНИЯ</w:t>
      </w:r>
      <w:bookmarkEnd w:id="221"/>
    </w:p>
    <w:p>
      <w:pPr>
        <w:pStyle w:val="FirstParagraph"/>
      </w:pPr>
      <w:r>
        <w:t xml:space="preserve">Приложение А – Модель данных метаданных и СППР</w:t>
      </w:r>
    </w:p>
    <w:bookmarkEnd w:id="168"/>
    <w:bookmarkStart w:id="173" w:name="X6f0523c438b8ca68de781e168123afa45dd506f"/>
    <w:p>
      <w:pPr>
        <w:pStyle w:val="GOSTAppendixHeading"/>
      </w:pPr>
      <w:bookmarkStart w:id="222" w:name="GOSTHeading222"/>
      <w:r>
        <w:t xml:space="preserve">Приложение А</w:t>
      </w:r>
      <w:bookmarkEnd w:id="222"/>
    </w:p>
    <w:p>
      <w:pPr>
        <w:pStyle w:val="GOSTAppendixTitle"/>
      </w:pPr>
      <w:r>
        <w:t xml:space="preserve">Модель данных метаданных и СППР</w:t>
      </w:r>
    </w:p>
    <w:p>
      <w:pPr>
        <w:pStyle w:val="a2"/>
      </w:pPr>
      <w:r>
        <w:t xml:space="preserve">Приложение относится к разделу 2.3.3 пояснительной записки и показывает таблицы базы метаданных, таблицы базы СППР и связи между ними (Рисунок А.1). Назначение таблиц приведено в Таблице 2.4.</w:t>
      </w:r>
    </w:p>
    <w:bookmarkStart w:id="172" w:name="gost-fig:er"/>
    <w:p>
      <w:pPr>
        <w:pStyle w:val="CaptionedFigure"/>
        <w:keepNext w:val="1"/>
      </w:pPr>
      <w:r>
        <w:drawing>
          <wp:inline>
            <wp:extent cx="4732739" cy="6840000"/>
            <wp:effectExtent b="0" l="0" r="0" t="0"/>
            <wp:docPr descr="Модель данных метаданных и СППР" title="" id="170" name="Picture"/>
            <a:graphic>
              <a:graphicData uri="http://schemas.openxmlformats.org/drawingml/2006/picture">
                <pic:pic>
                  <pic:nvPicPr>
                    <pic:cNvPr descr="images/er.png" id="171" name="Picture"/>
                    <pic:cNvPicPr>
                      <a:picLocks noChangeArrowheads="1" noChangeAspect="1"/>
                    </pic:cNvPicPr>
                  </pic:nvPicPr>
                  <pic:blipFill>
                    <a:blip r:embed="rId169"/>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А.1 – Модель данных метаданных и СППР</w:t>
      </w:r>
    </w:p>
    <w:bookmarkEnd w:id="172"/>
    <w:bookmarkEnd w:id="173"/>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7" Target="media/rId77.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169" Target="media/rId169.png" /><Relationship Type="http://schemas.openxmlformats.org/officeDocument/2006/relationships/image" Id="rId57" Target="media/rId5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hyperlink" Id="rId145" Target="https://arxiv.org/abs/2207.08815" TargetMode="External" /><Relationship Type="http://schemas.openxmlformats.org/officeDocument/2006/relationships/hyperlink" Id="rId122" Target="https://arxiv.org/abs/2305.14818" TargetMode="External" /><Relationship Type="http://schemas.openxmlformats.org/officeDocument/2006/relationships/hyperlink" Id="rId124" Target="https://aws.amazon.com/s3/pricing/" TargetMode="External" /><Relationship Type="http://schemas.openxmlformats.org/officeDocument/2006/relationships/hyperlink" Id="rId126" Target="https://cachelib.org/docs/Cache_Library_User_Guides/Cachebench_FB_HW_eval/" TargetMode="External" /><Relationship Type="http://schemas.openxmlformats.org/officeDocument/2006/relationships/hyperlink" Id="rId164" Target="https://catboost.ai/docs/en/concepts/loss-functions-regression" TargetMode="External" /><Relationship Type="http://schemas.openxmlformats.org/officeDocument/2006/relationships/hyperlink" Id="rId165" Target="https://dev.mysql.com/doc/refman/8.4/en/innodb-introduction.html" TargetMode="External" /><Relationship Type="http://schemas.openxmlformats.org/officeDocument/2006/relationships/hyperlink" Id="rId120" Target="https://docs.aws.amazon.com/AmazonS3/latest/API/API_GetObject.html" TargetMode="External" /><Relationship Type="http://schemas.openxmlformats.org/officeDocument/2006/relationships/hyperlink" Id="rId121" Target="https://docs.aws.amazon.com/AmazonS3/latest/userguide/LogFormat.html" TargetMode="External" /><Relationship Type="http://schemas.openxmlformats.org/officeDocument/2006/relationships/hyperlink" Id="rId139" Target="https://docs.aws.amazon.com/AmazonS3/latest/userguide/ServerLogs.html" TargetMode="External" /><Relationship Type="http://schemas.openxmlformats.org/officeDocument/2006/relationships/hyperlink" Id="rId113" Target="https://docs.aws.amazon.com/AmazonS3/latest/userguide/Versioning.html" TargetMode="External" /><Relationship Type="http://schemas.openxmlformats.org/officeDocument/2006/relationships/hyperlink" Id="rId125" Target="https://docs.aws.amazon.com/AmazonS3/latest/userguide/Welcome.html" TargetMode="External" /><Relationship Type="http://schemas.openxmlformats.org/officeDocument/2006/relationships/hyperlink" Id="rId151" Target="https://docs.aws.amazon.com/AmazonS3/latest/userguide/checking-object-integrity-upload.html" TargetMode="External" /><Relationship Type="http://schemas.openxmlformats.org/officeDocument/2006/relationships/hyperlink" Id="rId109" Target="https://docs.aws.amazon.com/AmazonS3/latest/userguide/intelligent-tiering-overview.html" TargetMode="External" /><Relationship Type="http://schemas.openxmlformats.org/officeDocument/2006/relationships/hyperlink" Id="rId115" Target="https://docs.aws.amazon.com/AmazonS3/latest/userguide/lifecycle-transition-general-considerations.html" TargetMode="External" /><Relationship Type="http://schemas.openxmlformats.org/officeDocument/2006/relationships/hyperlink" Id="rId112" Target="https://docs.aws.amazon.com/AmazonS3/latest/userguide/object-keys.html" TargetMode="External" /><Relationship Type="http://schemas.openxmlformats.org/officeDocument/2006/relationships/hyperlink" Id="rId108" Target="https://docs.aws.amazon.com/AmazonS3/latest/userguide/object-lifecycle-mgmt.html" TargetMode="External" /><Relationship Type="http://schemas.openxmlformats.org/officeDocument/2006/relationships/hyperlink" Id="rId107" Target="https://docs.aws.amazon.com/AmazonS3/latest/userguide/storage-class-intro.html" TargetMode="External" /><Relationship Type="http://schemas.openxmlformats.org/officeDocument/2006/relationships/hyperlink" Id="rId117" Target="https://docs.ceph.com/en/squid/rados/operations/crush-map-edits/" TargetMode="External" /><Relationship Type="http://schemas.openxmlformats.org/officeDocument/2006/relationships/hyperlink" Id="rId138" Target="https://docs.ceph.com/en/squid/radosgw/layout/" TargetMode="External" /><Relationship Type="http://schemas.openxmlformats.org/officeDocument/2006/relationships/hyperlink" Id="rId116" Target="https://docs.ceph.com/en/squid/radosgw/placement/" TargetMode="External" /><Relationship Type="http://schemas.openxmlformats.org/officeDocument/2006/relationships/hyperlink" Id="rId118" Target="https://docs.min.io/aistor/administration/object-lifecycle-management/" TargetMode="External" /><Relationship Type="http://schemas.openxmlformats.org/officeDocument/2006/relationships/hyperlink" Id="rId119" Target="https://docs.min.io/aistor/administration/object-lifecycle-management/object-tiering/" TargetMode="External" /><Relationship Type="http://schemas.openxmlformats.org/officeDocument/2006/relationships/hyperlink" Id="rId140" Target="https://doi.org/10.1007/978-3-540-24777-7" TargetMode="External" /><Relationship Type="http://schemas.openxmlformats.org/officeDocument/2006/relationships/hyperlink" Id="rId141" Target="https://doi.org/10.1016/0304-4076(86)90002-3" TargetMode="External" /><Relationship Type="http://schemas.openxmlformats.org/officeDocument/2006/relationships/hyperlink" Id="rId110" Target="https://doi.org/10.1016/j.comcom.2026.108437" TargetMode="External" /><Relationship Type="http://schemas.openxmlformats.org/officeDocument/2006/relationships/hyperlink" Id="rId137" Target="https://doi.org/10.1109/FiCloud66139.2025.00024" TargetMode="External" /><Relationship Type="http://schemas.openxmlformats.org/officeDocument/2006/relationships/hyperlink" Id="rId148" Target="https://doi.org/10.1145/1143844.1143874" TargetMode="External" /><Relationship Type="http://schemas.openxmlformats.org/officeDocument/2006/relationships/hyperlink" Id="rId106" Target="https://doi.org/10.1145/3803857" TargetMode="External" /><Relationship Type="http://schemas.openxmlformats.org/officeDocument/2006/relationships/hyperlink" Id="rId149" Target="https://doi.org/10.1175/1520-0493(1950)078%3C0001:VOFEIT%3E2.0.CO;2" TargetMode="External" /><Relationship Type="http://schemas.openxmlformats.org/officeDocument/2006/relationships/hyperlink" Id="rId142" Target="https://doi.org/10.1214/aos/1013203451" TargetMode="External" /><Relationship Type="http://schemas.openxmlformats.org/officeDocument/2006/relationships/hyperlink" Id="rId150" Target="https://doi.org/10.1287/opre.5.2.266" TargetMode="External" /><Relationship Type="http://schemas.openxmlformats.org/officeDocument/2006/relationships/hyperlink" Id="rId135" Target="https://doi.org/10.14778/3357377.3357381" TargetMode="External" /><Relationship Type="http://schemas.openxmlformats.org/officeDocument/2006/relationships/hyperlink" Id="rId111" Target="https://doi.org/10.17586/2226-1494-2023-23-6-1171-1177" TargetMode="External" /><Relationship Type="http://schemas.openxmlformats.org/officeDocument/2006/relationships/hyperlink" Id="rId144" Target="https://doi.org/10.2307/2344614" TargetMode="External" /><Relationship Type="http://schemas.openxmlformats.org/officeDocument/2006/relationships/hyperlink" Id="rId114" Target="https://github.com/alesplll/opens3-rebac/tree/ac858c748b5d3af96f0440864f4b299e7b617d76" TargetMode="External" /><Relationship Type="http://schemas.openxmlformats.org/officeDocument/2006/relationships/hyperlink" Id="rId128" Target="https://github.com/cacheMon/cache_dataset" TargetMode="External" /><Relationship Type="http://schemas.openxmlformats.org/officeDocument/2006/relationships/hyperlink" Id="rId155" Target="https://github.com/dmitryikh/leaves" TargetMode="External" /><Relationship Type="http://schemas.openxmlformats.org/officeDocument/2006/relationships/hyperlink" Id="rId133" Target="https://github.com/ds2-lab/IBM-docker-registry-traces" TargetMode="External" /><Relationship Type="http://schemas.openxmlformats.org/officeDocument/2006/relationships/hyperlink" Id="rId127" Target="https://github.com/facebook/CacheLib/blob/0f7e808335599ca5d0e935d35aad75db8dc63f16/cachelib/cachebench/util/Request.h" TargetMode="External" /><Relationship Type="http://schemas.openxmlformats.org/officeDocument/2006/relationships/hyperlink" Id="rId158" Target="https://github.com/yalue/onnxruntime_go" TargetMode="External" /><Relationship Type="http://schemas.openxmlformats.org/officeDocument/2006/relationships/hyperlink" Id="rId131" Target="https://iotta.snia.org/tracetypes/17" TargetMode="External" /><Relationship Type="http://schemas.openxmlformats.org/officeDocument/2006/relationships/hyperlink" Id="rId157" Target="https://kafka.apache.org/documentation/#semantics" TargetMode="External" /><Relationship Type="http://schemas.openxmlformats.org/officeDocument/2006/relationships/hyperlink" Id="rId143" Target="https://lightgbm.readthedocs.io/en/latest/Parameters.html" TargetMode="External" /><Relationship Type="http://schemas.openxmlformats.org/officeDocument/2006/relationships/hyperlink" Id="rId154" Target="https://papers.nips.cc/paper/6907-lightgbm-a-highly-efficient-gradient-boosting-decision-tree" TargetMode="External" /><Relationship Type="http://schemas.openxmlformats.org/officeDocument/2006/relationships/hyperlink" Id="rId159" Target="https://protect.gost.ru/gost/details/0c85e066-f89e-433d-a6d3-b7f746bd0c7c" TargetMode="External" /><Relationship Type="http://schemas.openxmlformats.org/officeDocument/2006/relationships/hyperlink" Id="rId129" Target="https://s3.amazonaws.com/cache-datasets/index.html" TargetMode="External" /><Relationship Type="http://schemas.openxmlformats.org/officeDocument/2006/relationships/hyperlink" Id="rId146" Target="https://scikit-learn.org/stable/common_pitfalls.html" TargetMode="External" /><Relationship Type="http://schemas.openxmlformats.org/officeDocument/2006/relationships/hyperlink" Id="rId147" Target="https://scikit-learn.org/stable/modules/generated/sklearn.model_selection.TimeSeriesSplit.html" TargetMode="External" /><Relationship Type="http://schemas.openxmlformats.org/officeDocument/2006/relationships/hyperlink" Id="rId161" Target="https://www.itl.nist.gov/div898/handbook/pmc/section3/pmc324.htm" TargetMode="External" /><Relationship Type="http://schemas.openxmlformats.org/officeDocument/2006/relationships/hyperlink" Id="rId153" Target="https://www.omg.org/spec/BPMN/2.0.2/" TargetMode="External" /><Relationship Type="http://schemas.openxmlformats.org/officeDocument/2006/relationships/hyperlink" Id="rId152" Target="https://www.omg.org/spec/UML/2.5.1/" TargetMode="External" /><Relationship Type="http://schemas.openxmlformats.org/officeDocument/2006/relationships/hyperlink" Id="rId134" Target="https://www.pdl.cmu.edu/CILES/" TargetMode="External" /><Relationship Type="http://schemas.openxmlformats.org/officeDocument/2006/relationships/hyperlink" Id="rId156" Target="https://www.postgresql.org/docs/16/mvcc.html" TargetMode="External" /><Relationship Type="http://schemas.openxmlformats.org/officeDocument/2006/relationships/hyperlink" Id="rId166" Target="https://www.rabbitmq.com/docs/streams" TargetMode="External" /><Relationship Type="http://schemas.openxmlformats.org/officeDocument/2006/relationships/hyperlink" Id="rId162" Target="https://www.rfc-editor.org/rfc/rfc1321" TargetMode="External" /><Relationship Type="http://schemas.openxmlformats.org/officeDocument/2006/relationships/hyperlink" Id="rId130" Target="https://www.snia.org/sites/default/files/SDCEMEA/2021/snia-evaluating-cache-performance-using-cloud-storage-traces.pdf" TargetMode="External" /><Relationship Type="http://schemas.openxmlformats.org/officeDocument/2006/relationships/hyperlink" Id="rId160" Target="https://www.swrit.ru/doc/espd/19.701-90.pdf" TargetMode="External" /><Relationship Type="http://schemas.openxmlformats.org/officeDocument/2006/relationships/hyperlink" Id="rId132" Target="https://www.usenix.org/conference/fast18/presentation/anwar" TargetMode="External" /><Relationship Type="http://schemas.openxmlformats.org/officeDocument/2006/relationships/hyperlink" Id="rId123" Target="https://www.usenix.org/conference/fast24/presentation/wong" TargetMode="External" /><Relationship Type="http://schemas.openxmlformats.org/officeDocument/2006/relationships/hyperlink" Id="rId136" Target="https://www.vldb.org/pvldb/vol13/p43-herodotou.pdf" TargetMode="External" /><Relationship Type="http://schemas.openxmlformats.org/officeDocument/2006/relationships/hyperlink" Id="rId163" Target="https://xgboost.readthedocs.io/en/stable/parameter.html" TargetMode="External" /></Relationships>
</file>

<file path=word/_rels/footnotes.xml.rels><?xml version="1.0" encoding="UTF-8"?><Relationships xmlns="http://schemas.openxmlformats.org/package/2006/relationships"><Relationship Type="http://schemas.openxmlformats.org/officeDocument/2006/relationships/hyperlink" Id="rId145" Target="https://arxiv.org/abs/2207.08815" TargetMode="External" /><Relationship Type="http://schemas.openxmlformats.org/officeDocument/2006/relationships/hyperlink" Id="rId122" Target="https://arxiv.org/abs/2305.14818" TargetMode="External" /><Relationship Type="http://schemas.openxmlformats.org/officeDocument/2006/relationships/hyperlink" Id="rId124" Target="https://aws.amazon.com/s3/pricing/" TargetMode="External" /><Relationship Type="http://schemas.openxmlformats.org/officeDocument/2006/relationships/hyperlink" Id="rId126" Target="https://cachelib.org/docs/Cache_Library_User_Guides/Cachebench_FB_HW_eval/" TargetMode="External" /><Relationship Type="http://schemas.openxmlformats.org/officeDocument/2006/relationships/hyperlink" Id="rId164" Target="https://catboost.ai/docs/en/concepts/loss-functions-regression" TargetMode="External" /><Relationship Type="http://schemas.openxmlformats.org/officeDocument/2006/relationships/hyperlink" Id="rId165" Target="https://dev.mysql.com/doc/refman/8.4/en/innodb-introduction.html" TargetMode="External" /><Relationship Type="http://schemas.openxmlformats.org/officeDocument/2006/relationships/hyperlink" Id="rId120" Target="https://docs.aws.amazon.com/AmazonS3/latest/API/API_GetObject.html" TargetMode="External" /><Relationship Type="http://schemas.openxmlformats.org/officeDocument/2006/relationships/hyperlink" Id="rId121" Target="https://docs.aws.amazon.com/AmazonS3/latest/userguide/LogFormat.html" TargetMode="External" /><Relationship Type="http://schemas.openxmlformats.org/officeDocument/2006/relationships/hyperlink" Id="rId139" Target="https://docs.aws.amazon.com/AmazonS3/latest/userguide/ServerLogs.html" TargetMode="External" /><Relationship Type="http://schemas.openxmlformats.org/officeDocument/2006/relationships/hyperlink" Id="rId113" Target="https://docs.aws.amazon.com/AmazonS3/latest/userguide/Versioning.html" TargetMode="External" /><Relationship Type="http://schemas.openxmlformats.org/officeDocument/2006/relationships/hyperlink" Id="rId125" Target="https://docs.aws.amazon.com/AmazonS3/latest/userguide/Welcome.html" TargetMode="External" /><Relationship Type="http://schemas.openxmlformats.org/officeDocument/2006/relationships/hyperlink" Id="rId151" Target="https://docs.aws.amazon.com/AmazonS3/latest/userguide/checking-object-integrity-upload.html" TargetMode="External" /><Relationship Type="http://schemas.openxmlformats.org/officeDocument/2006/relationships/hyperlink" Id="rId109" Target="https://docs.aws.amazon.com/AmazonS3/latest/userguide/intelligent-tiering-overview.html" TargetMode="External" /><Relationship Type="http://schemas.openxmlformats.org/officeDocument/2006/relationships/hyperlink" Id="rId115" Target="https://docs.aws.amazon.com/AmazonS3/latest/userguide/lifecycle-transition-general-considerations.html" TargetMode="External" /><Relationship Type="http://schemas.openxmlformats.org/officeDocument/2006/relationships/hyperlink" Id="rId112" Target="https://docs.aws.amazon.com/AmazonS3/latest/userguide/object-keys.html" TargetMode="External" /><Relationship Type="http://schemas.openxmlformats.org/officeDocument/2006/relationships/hyperlink" Id="rId108" Target="https://docs.aws.amazon.com/AmazonS3/latest/userguide/object-lifecycle-mgmt.html" TargetMode="External" /><Relationship Type="http://schemas.openxmlformats.org/officeDocument/2006/relationships/hyperlink" Id="rId107" Target="https://docs.aws.amazon.com/AmazonS3/latest/userguide/storage-class-intro.html" TargetMode="External" /><Relationship Type="http://schemas.openxmlformats.org/officeDocument/2006/relationships/hyperlink" Id="rId117" Target="https://docs.ceph.com/en/squid/rados/operations/crush-map-edits/" TargetMode="External" /><Relationship Type="http://schemas.openxmlformats.org/officeDocument/2006/relationships/hyperlink" Id="rId138" Target="https://docs.ceph.com/en/squid/radosgw/layout/" TargetMode="External" /><Relationship Type="http://schemas.openxmlformats.org/officeDocument/2006/relationships/hyperlink" Id="rId116" Target="https://docs.ceph.com/en/squid/radosgw/placement/" TargetMode="External" /><Relationship Type="http://schemas.openxmlformats.org/officeDocument/2006/relationships/hyperlink" Id="rId118" Target="https://docs.min.io/aistor/administration/object-lifecycle-management/" TargetMode="External" /><Relationship Type="http://schemas.openxmlformats.org/officeDocument/2006/relationships/hyperlink" Id="rId119" Target="https://docs.min.io/aistor/administration/object-lifecycle-management/object-tiering/" TargetMode="External" /><Relationship Type="http://schemas.openxmlformats.org/officeDocument/2006/relationships/hyperlink" Id="rId140" Target="https://doi.org/10.1007/978-3-540-24777-7" TargetMode="External" /><Relationship Type="http://schemas.openxmlformats.org/officeDocument/2006/relationships/hyperlink" Id="rId141" Target="https://doi.org/10.1016/0304-4076(86)90002-3" TargetMode="External" /><Relationship Type="http://schemas.openxmlformats.org/officeDocument/2006/relationships/hyperlink" Id="rId110" Target="https://doi.org/10.1016/j.comcom.2026.108437" TargetMode="External" /><Relationship Type="http://schemas.openxmlformats.org/officeDocument/2006/relationships/hyperlink" Id="rId137" Target="https://doi.org/10.1109/FiCloud66139.2025.00024" TargetMode="External" /><Relationship Type="http://schemas.openxmlformats.org/officeDocument/2006/relationships/hyperlink" Id="rId148" Target="https://doi.org/10.1145/1143844.1143874" TargetMode="External" /><Relationship Type="http://schemas.openxmlformats.org/officeDocument/2006/relationships/hyperlink" Id="rId106" Target="https://doi.org/10.1145/3803857" TargetMode="External" /><Relationship Type="http://schemas.openxmlformats.org/officeDocument/2006/relationships/hyperlink" Id="rId149" Target="https://doi.org/10.1175/1520-0493(1950)078%3C0001:VOFEIT%3E2.0.CO;2" TargetMode="External" /><Relationship Type="http://schemas.openxmlformats.org/officeDocument/2006/relationships/hyperlink" Id="rId142" Target="https://doi.org/10.1214/aos/1013203451" TargetMode="External" /><Relationship Type="http://schemas.openxmlformats.org/officeDocument/2006/relationships/hyperlink" Id="rId150" Target="https://doi.org/10.1287/opre.5.2.266" TargetMode="External" /><Relationship Type="http://schemas.openxmlformats.org/officeDocument/2006/relationships/hyperlink" Id="rId135" Target="https://doi.org/10.14778/3357377.3357381" TargetMode="External" /><Relationship Type="http://schemas.openxmlformats.org/officeDocument/2006/relationships/hyperlink" Id="rId111" Target="https://doi.org/10.17586/2226-1494-2023-23-6-1171-1177" TargetMode="External" /><Relationship Type="http://schemas.openxmlformats.org/officeDocument/2006/relationships/hyperlink" Id="rId144" Target="https://doi.org/10.2307/2344614" TargetMode="External" /><Relationship Type="http://schemas.openxmlformats.org/officeDocument/2006/relationships/hyperlink" Id="rId114" Target="https://github.com/alesplll/opens3-rebac/tree/ac858c748b5d3af96f0440864f4b299e7b617d76" TargetMode="External" /><Relationship Type="http://schemas.openxmlformats.org/officeDocument/2006/relationships/hyperlink" Id="rId128" Target="https://github.com/cacheMon/cache_dataset" TargetMode="External" /><Relationship Type="http://schemas.openxmlformats.org/officeDocument/2006/relationships/hyperlink" Id="rId155" Target="https://github.com/dmitryikh/leaves" TargetMode="External" /><Relationship Type="http://schemas.openxmlformats.org/officeDocument/2006/relationships/hyperlink" Id="rId133" Target="https://github.com/ds2-lab/IBM-docker-registry-traces" TargetMode="External" /><Relationship Type="http://schemas.openxmlformats.org/officeDocument/2006/relationships/hyperlink" Id="rId127" Target="https://github.com/facebook/CacheLib/blob/0f7e808335599ca5d0e935d35aad75db8dc63f16/cachelib/cachebench/util/Request.h" TargetMode="External" /><Relationship Type="http://schemas.openxmlformats.org/officeDocument/2006/relationships/hyperlink" Id="rId158" Target="https://github.com/yalue/onnxruntime_go" TargetMode="External" /><Relationship Type="http://schemas.openxmlformats.org/officeDocument/2006/relationships/hyperlink" Id="rId131" Target="https://iotta.snia.org/tracetypes/17" TargetMode="External" /><Relationship Type="http://schemas.openxmlformats.org/officeDocument/2006/relationships/hyperlink" Id="rId157" Target="https://kafka.apache.org/documentation/#semantics" TargetMode="External" /><Relationship Type="http://schemas.openxmlformats.org/officeDocument/2006/relationships/hyperlink" Id="rId143" Target="https://lightgbm.readthedocs.io/en/latest/Parameters.html" TargetMode="External" /><Relationship Type="http://schemas.openxmlformats.org/officeDocument/2006/relationships/hyperlink" Id="rId154" Target="https://papers.nips.cc/paper/6907-lightgbm-a-highly-efficient-gradient-boosting-decision-tree" TargetMode="External" /><Relationship Type="http://schemas.openxmlformats.org/officeDocument/2006/relationships/hyperlink" Id="rId159" Target="https://protect.gost.ru/gost/details/0c85e066-f89e-433d-a6d3-b7f746bd0c7c" TargetMode="External" /><Relationship Type="http://schemas.openxmlformats.org/officeDocument/2006/relationships/hyperlink" Id="rId129" Target="https://s3.amazonaws.com/cache-datasets/index.html" TargetMode="External" /><Relationship Type="http://schemas.openxmlformats.org/officeDocument/2006/relationships/hyperlink" Id="rId146" Target="https://scikit-learn.org/stable/common_pitfalls.html" TargetMode="External" /><Relationship Type="http://schemas.openxmlformats.org/officeDocument/2006/relationships/hyperlink" Id="rId147" Target="https://scikit-learn.org/stable/modules/generated/sklearn.model_selection.TimeSeriesSplit.html" TargetMode="External" /><Relationship Type="http://schemas.openxmlformats.org/officeDocument/2006/relationships/hyperlink" Id="rId161" Target="https://www.itl.nist.gov/div898/handbook/pmc/section3/pmc324.htm" TargetMode="External" /><Relationship Type="http://schemas.openxmlformats.org/officeDocument/2006/relationships/hyperlink" Id="rId153" Target="https://www.omg.org/spec/BPMN/2.0.2/" TargetMode="External" /><Relationship Type="http://schemas.openxmlformats.org/officeDocument/2006/relationships/hyperlink" Id="rId152" Target="https://www.omg.org/spec/UML/2.5.1/" TargetMode="External" /><Relationship Type="http://schemas.openxmlformats.org/officeDocument/2006/relationships/hyperlink" Id="rId134" Target="https://www.pdl.cmu.edu/CILES/" TargetMode="External" /><Relationship Type="http://schemas.openxmlformats.org/officeDocument/2006/relationships/hyperlink" Id="rId156" Target="https://www.postgresql.org/docs/16/mvcc.html" TargetMode="External" /><Relationship Type="http://schemas.openxmlformats.org/officeDocument/2006/relationships/hyperlink" Id="rId166" Target="https://www.rabbitmq.com/docs/streams" TargetMode="External" /><Relationship Type="http://schemas.openxmlformats.org/officeDocument/2006/relationships/hyperlink" Id="rId162" Target="https://www.rfc-editor.org/rfc/rfc1321" TargetMode="External" /><Relationship Type="http://schemas.openxmlformats.org/officeDocument/2006/relationships/hyperlink" Id="rId130" Target="https://www.snia.org/sites/default/files/SDCEMEA/2021/snia-evaluating-cache-performance-using-cloud-storage-traces.pdf" TargetMode="External" /><Relationship Type="http://schemas.openxmlformats.org/officeDocument/2006/relationships/hyperlink" Id="rId160" Target="https://www.swrit.ru/doc/espd/19.701-90.pdf" TargetMode="External" /><Relationship Type="http://schemas.openxmlformats.org/officeDocument/2006/relationships/hyperlink" Id="rId132" Target="https://www.usenix.org/conference/fast18/presentation/anwar" TargetMode="External" /><Relationship Type="http://schemas.openxmlformats.org/officeDocument/2006/relationships/hyperlink" Id="rId123" Target="https://www.usenix.org/conference/fast24/presentation/wong" TargetMode="External" /><Relationship Type="http://schemas.openxmlformats.org/officeDocument/2006/relationships/hyperlink" Id="rId136" Target="https://www.vldb.org/pvldb/vol13/p43-herodotou.pdf" TargetMode="External" /><Relationship Type="http://schemas.openxmlformats.org/officeDocument/2006/relationships/hyperlink" Id="rId163" Target="https://xgboost.readthedocs.io/en/stable/paramete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2026-10-26T14:18:26Z</dcterms:created>
  <dcterms:modified xsi:type="dcterms:W3CDTF">2026-10-26T14:18:26Z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