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3.png" ContentType="image/png"/>
  <Override PartName="/word/media/rId78.png" ContentType="image/png"/>
  <Override PartName="/word/media/rId87.png" ContentType="image/png"/>
  <Override PartName="/word/media/rId161.png" ContentType="image/png"/>
  <Override PartName="/word/media/rId57.png" ContentType="image/png"/>
  <Override PartName="/word/media/rId156.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6">
            <w:r>
              <w:t>ВВЕДЕНИЕ</w:t>
            </w:r>
          </w:hyperlink>
          <w:r>
            <w:tab/>
          </w:r>
          <w:fldSimple w:instr="PAGEREF &quot;GOSTHeading166&quot; \h" w:dirty="true">
            <w:r>
              <w:t>—</w:t>
            </w:r>
          </w:fldSimple>
        </w:p>
        <w:p>
          <w:pPr>
            <w:pStyle w:val="10"/>
          </w:pPr>
          <w:hyperlink w:anchor="GOSTHeading167">
            <w:r>
              <w:t>ЛИТЕРАТУРНЫЙ ОБЗОР</w:t>
            </w:r>
          </w:hyperlink>
          <w:r>
            <w:tab/>
          </w:r>
          <w:fldSimple w:instr="PAGEREF &quot;GOSTHeading167&quot; \h" w:dirty="true">
            <w:r>
              <w:t>—</w:t>
            </w:r>
          </w:fldSimple>
        </w:p>
        <w:p>
          <w:pPr>
            <w:pStyle w:val="10"/>
          </w:pPr>
          <w:hyperlink w:anchor="GOSTHeading168">
            <w:r>
              <w:t>1 ИССЛЕДОВАТЕЛЬСКИЙ РАЗДЕЛ</w:t>
            </w:r>
          </w:hyperlink>
          <w:r>
            <w:tab/>
          </w:r>
          <w:fldSimple w:instr="PAGEREF &quot;GOSTHeading168&quot; \h" w:dirty="true">
            <w:r>
              <w:t>—</w:t>
            </w:r>
          </w:fldSimple>
        </w:p>
        <w:p>
          <w:pPr>
            <w:pStyle w:val="22"/>
          </w:pPr>
          <w:hyperlink w:anchor="GOSTHeading169">
            <w:r>
              <w:t>1.1 Анализ предметной области</w:t>
            </w:r>
          </w:hyperlink>
          <w:r>
            <w:tab/>
          </w:r>
          <w:fldSimple w:instr="PAGEREF &quot;GOSTHeading169&quot; \h" w:dirty="true">
            <w:r>
              <w:t>—</w:t>
            </w:r>
          </w:fldSimple>
        </w:p>
        <w:p>
          <w:pPr>
            <w:pStyle w:val="31"/>
          </w:pPr>
          <w:hyperlink w:anchor="GOSTHeading170">
            <w:r>
              <w:t>1.1.1 Предметная область и участники процесса</w:t>
            </w:r>
          </w:hyperlink>
          <w:r>
            <w:tab/>
          </w:r>
          <w:fldSimple w:instr="PAGEREF &quot;GOSTHeading170&quot; \h" w:dirty="true">
            <w:r>
              <w:t>—</w:t>
            </w:r>
          </w:fldSimple>
        </w:p>
        <w:p>
          <w:pPr>
            <w:pStyle w:val="31"/>
          </w:pPr>
          <w:hyperlink w:anchor="GOSTHeading171">
            <w:r>
              <w:t>1.1.2 Объектная модель и единица размещения</w:t>
            </w:r>
          </w:hyperlink>
          <w:r>
            <w:tab/>
          </w:r>
          <w:fldSimple w:instr="PAGEREF &quot;GOSTHeading171&quot; \h" w:dirty="true">
            <w:r>
              <w:t>—</w:t>
            </w:r>
          </w:fldSimple>
        </w:p>
        <w:p>
          <w:pPr>
            <w:pStyle w:val="31"/>
          </w:pPr>
          <w:hyperlink w:anchor="GOSTHeading172">
            <w:r>
              <w:t>1.1.3 Классы хранения и характеристики ресурсов</w:t>
            </w:r>
          </w:hyperlink>
          <w:r>
            <w:tab/>
          </w:r>
          <w:fldSimple w:instr="PAGEREF &quot;GOSTHeading172&quot; \h" w:dirty="true">
            <w:r>
              <w:t>—</w:t>
            </w:r>
          </w:fldSimple>
        </w:p>
        <w:p>
          <w:pPr>
            <w:pStyle w:val="31"/>
          </w:pPr>
          <w:hyperlink w:anchor="GOSTHeading173">
            <w:r>
              <w:t>1.1.4 Востребованность и история обращений</w:t>
            </w:r>
          </w:hyperlink>
          <w:r>
            <w:tab/>
          </w:r>
          <w:fldSimple w:instr="PAGEREF &quot;GOSTHeading173&quot; \h" w:dirty="true">
            <w:r>
              <w:t>—</w:t>
            </w:r>
          </w:fldSimple>
        </w:p>
        <w:p>
          <w:pPr>
            <w:pStyle w:val="31"/>
          </w:pPr>
          <w:hyperlink w:anchor="GOSTHeading174">
            <w:r>
              <w:t>1.1.5 Способы управления размещением</w:t>
            </w:r>
          </w:hyperlink>
          <w:r>
            <w:tab/>
          </w:r>
          <w:fldSimple w:instr="PAGEREF &quot;GOSTHeading174&quot; \h" w:dirty="true">
            <w:r>
              <w:t>—</w:t>
            </w:r>
          </w:fldSimple>
        </w:p>
        <w:p>
          <w:pPr>
            <w:pStyle w:val="31"/>
          </w:pPr>
          <w:hyperlink w:anchor="GOSTHeading175">
            <w:r>
              <w:t>1.1.6 Ресурсные ограничения и затраты</w:t>
            </w:r>
          </w:hyperlink>
          <w:r>
            <w:tab/>
          </w:r>
          <w:fldSimple w:instr="PAGEREF &quot;GOSTHeading175&quot; \h" w:dirty="true">
            <w:r>
              <w:t>—</w:t>
            </w:r>
          </w:fldSimple>
        </w:p>
        <w:p>
          <w:pPr>
            <w:pStyle w:val="31"/>
          </w:pPr>
          <w:hyperlink w:anchor="GOSTHeading176">
            <w:r>
              <w:t>1.1.7 Согласованность и безопасное перемещение</w:t>
            </w:r>
          </w:hyperlink>
          <w:r>
            <w:tab/>
          </w:r>
          <w:fldSimple w:instr="PAGEREF &quot;GOSTHeading176&quot; \h" w:dirty="true">
            <w:r>
              <w:t>—</w:t>
            </w:r>
          </w:fldSimple>
        </w:p>
        <w:p>
          <w:pPr>
            <w:pStyle w:val="31"/>
          </w:pPr>
          <w:hyperlink w:anchor="GOSTHeading177">
            <w:r>
              <w:t>1.1.8 Источники данных и условия исследования</w:t>
            </w:r>
          </w:hyperlink>
          <w:r>
            <w:tab/>
          </w:r>
          <w:fldSimple w:instr="PAGEREF &quot;GOSTHeading177&quot; \h" w:dirty="true">
            <w:r>
              <w:t>—</w:t>
            </w:r>
          </w:fldSimple>
        </w:p>
        <w:p>
          <w:pPr>
            <w:pStyle w:val="22"/>
          </w:pPr>
          <w:hyperlink w:anchor="GOSTHeading178">
            <w:r>
              <w:t>1.2 Анализ существующих решений</w:t>
            </w:r>
          </w:hyperlink>
          <w:r>
            <w:tab/>
          </w:r>
          <w:fldSimple w:instr="PAGEREF &quot;GOSTHeading178&quot; \h" w:dirty="true">
            <w:r>
              <w:t>—</w:t>
            </w:r>
          </w:fldSimple>
        </w:p>
        <w:p>
          <w:pPr>
            <w:pStyle w:val="31"/>
          </w:pPr>
          <w:hyperlink w:anchor="GOSTHeading179">
            <w:r>
              <w:t>1.2.1 Анализ критериев</w:t>
            </w:r>
          </w:hyperlink>
          <w:r>
            <w:tab/>
          </w:r>
          <w:fldSimple w:instr="PAGEREF &quot;GOSTHeading179&quot; \h" w:dirty="true">
            <w:r>
              <w:t>—</w:t>
            </w:r>
          </w:fldSimple>
        </w:p>
        <w:p>
          <w:pPr>
            <w:pStyle w:val="31"/>
          </w:pPr>
          <w:hyperlink w:anchor="GOSTHeading180">
            <w:r>
              <w:t>1.2.2 Обзор аналогов</w:t>
            </w:r>
          </w:hyperlink>
          <w:r>
            <w:tab/>
          </w:r>
          <w:fldSimple w:instr="PAGEREF &quot;GOSTHeading180&quot; \h" w:dirty="true">
            <w:r>
              <w:t>—</w:t>
            </w:r>
          </w:fldSimple>
        </w:p>
        <w:p>
          <w:pPr>
            <w:pStyle w:val="31"/>
          </w:pPr>
          <w:hyperlink w:anchor="GOSTHeading181">
            <w:r>
              <w:t>1.2.3 Сопоставление аналогов</w:t>
            </w:r>
          </w:hyperlink>
          <w:r>
            <w:tab/>
          </w:r>
          <w:fldSimple w:instr="PAGEREF &quot;GOSTHeading181&quot; \h" w:dirty="true">
            <w:r>
              <w:t>—</w:t>
            </w:r>
          </w:fldSimple>
        </w:p>
        <w:p>
          <w:pPr>
            <w:pStyle w:val="22"/>
          </w:pPr>
          <w:hyperlink w:anchor="GOSTHeading182">
            <w:r>
              <w:t>1.3 Требования к разрабатываемой системе</w:t>
            </w:r>
          </w:hyperlink>
          <w:r>
            <w:tab/>
          </w:r>
          <w:fldSimple w:instr="PAGEREF &quot;GOSTHeading182&quot; \h" w:dirty="true">
            <w:r>
              <w:t>—</w:t>
            </w:r>
          </w:fldSimple>
        </w:p>
        <w:p>
          <w:pPr>
            <w:pStyle w:val="31"/>
          </w:pPr>
          <w:hyperlink w:anchor="GOSTHeading183">
            <w:r>
              <w:t>1.3.1 Назначение и границы разрабатываемого расширения</w:t>
            </w:r>
          </w:hyperlink>
          <w:r>
            <w:tab/>
          </w:r>
          <w:fldSimple w:instr="PAGEREF &quot;GOSTHeading183&quot; \h" w:dirty="true">
            <w:r>
              <w:t>—</w:t>
            </w:r>
          </w:fldSimple>
        </w:p>
        <w:p>
          <w:pPr>
            <w:pStyle w:val="31"/>
          </w:pPr>
          <w:hyperlink w:anchor="GOSTHeading184">
            <w:r>
              <w:t>1.3.2 Требования к выполняемым функциям</w:t>
            </w:r>
          </w:hyperlink>
          <w:r>
            <w:tab/>
          </w:r>
          <w:fldSimple w:instr="PAGEREF &quot;GOSTHeading184&quot; \h" w:dirty="true">
            <w:r>
              <w:t>—</w:t>
            </w:r>
          </w:fldSimple>
        </w:p>
        <w:p>
          <w:pPr>
            <w:pStyle w:val="31"/>
          </w:pPr>
          <w:hyperlink w:anchor="GOSTHeading185">
            <w:r>
              <w:t>1.3.3 Требования к надёжности и сохранности данных</w:t>
            </w:r>
          </w:hyperlink>
          <w:r>
            <w:tab/>
          </w:r>
          <w:fldSimple w:instr="PAGEREF &quot;GOSTHeading185&quot; \h" w:dirty="true">
            <w:r>
              <w:t>—</w:t>
            </w:r>
          </w:fldSimple>
        </w:p>
        <w:p>
          <w:pPr>
            <w:pStyle w:val="31"/>
          </w:pPr>
          <w:hyperlink w:anchor="GOSTHeading186">
            <w:r>
              <w:t>1.3.4 Требования к доступу и интерфейсу администратора</w:t>
            </w:r>
          </w:hyperlink>
          <w:r>
            <w:tab/>
          </w:r>
          <w:fldSimple w:instr="PAGEREF &quot;GOSTHeading186&quot; \h" w:dirty="true">
            <w:r>
              <w:t>—</w:t>
            </w:r>
          </w:fldSimple>
        </w:p>
        <w:p>
          <w:pPr>
            <w:pStyle w:val="31"/>
          </w:pPr>
          <w:hyperlink w:anchor="GOSTHeading187">
            <w:r>
              <w:t>1.3.5 Требования к ресурсам, совместимости и контролю выполнения</w:t>
            </w:r>
          </w:hyperlink>
          <w:r>
            <w:tab/>
          </w:r>
          <w:fldSimple w:instr="PAGEREF &quot;GOSTHeading187&quot; \h" w:dirty="true">
            <w:r>
              <w:t>—</w:t>
            </w:r>
          </w:fldSimple>
        </w:p>
        <w:p>
          <w:pPr>
            <w:pStyle w:val="31"/>
          </w:pPr>
          <w:hyperlink w:anchor="GOSTHeading188">
            <w:r>
              <w:t>1.3.6 Требования к жизненному циклу модели</w:t>
            </w:r>
          </w:hyperlink>
          <w:r>
            <w:tab/>
          </w:r>
          <w:fldSimple w:instr="PAGEREF &quot;GOSTHeading188&quot; \h" w:dirty="true">
            <w:r>
              <w:t>—</w:t>
            </w:r>
          </w:fldSimple>
        </w:p>
        <w:p>
          <w:pPr>
            <w:pStyle w:val="31"/>
          </w:pPr>
          <w:hyperlink w:anchor="GOSTHeading189">
            <w:r>
              <w:t>1.3.7 Требования к проверке эффективности и минимальному результату</w:t>
            </w:r>
          </w:hyperlink>
          <w:r>
            <w:tab/>
          </w:r>
          <w:fldSimple w:instr="PAGEREF &quot;GOSTHeading189&quot; \h" w:dirty="true">
            <w:r>
              <w:t>—</w:t>
            </w:r>
          </w:fldSimple>
        </w:p>
        <w:p>
          <w:pPr>
            <w:pStyle w:val="22"/>
          </w:pPr>
          <w:hyperlink w:anchor="GOSTHeading190">
            <w:r>
              <w:t>1.4 Выводы по исследовательскому разделу</w:t>
            </w:r>
          </w:hyperlink>
          <w:r>
            <w:tab/>
          </w:r>
          <w:fldSimple w:instr="PAGEREF &quot;GOSTHeading190&quot; \h" w:dirty="true">
            <w:r>
              <w:t>—</w:t>
            </w:r>
          </w:fldSimple>
        </w:p>
        <w:p>
          <w:pPr>
            <w:pStyle w:val="10"/>
          </w:pPr>
          <w:hyperlink w:anchor="GOSTHeading191">
            <w:r>
              <w:t>2 АНАЛИТИЧЕСКИЙ РАЗДЕЛ</w:t>
            </w:r>
          </w:hyperlink>
          <w:r>
            <w:tab/>
          </w:r>
          <w:fldSimple w:instr="PAGEREF &quot;GOSTHeading191&quot; \h" w:dirty="true">
            <w:r>
              <w:t>—</w:t>
            </w:r>
          </w:fldSimple>
        </w:p>
        <w:p>
          <w:pPr>
            <w:pStyle w:val="22"/>
          </w:pPr>
          <w:hyperlink w:anchor="GOSTHeading192">
            <w:r>
              <w:t>2.1 Математическое и алгоритмическое обеспечение</w:t>
            </w:r>
          </w:hyperlink>
          <w:r>
            <w:tab/>
          </w:r>
          <w:fldSimple w:instr="PAGEREF &quot;GOSTHeading192&quot; \h" w:dirty="true">
            <w:r>
              <w:t>—</w:t>
            </w:r>
          </w:fldSimple>
        </w:p>
        <w:p>
          <w:pPr>
            <w:pStyle w:val="31"/>
          </w:pPr>
          <w:hyperlink w:anchor="GOSTHeading193">
            <w:r>
              <w:t>2.1.1 Постановка задачи размещения</w:t>
            </w:r>
          </w:hyperlink>
          <w:r>
            <w:tab/>
          </w:r>
          <w:fldSimple w:instr="PAGEREF &quot;GOSTHeading193&quot; \h" w:dirty="true">
            <w:r>
              <w:t>—</w:t>
            </w:r>
          </w:fldSimple>
        </w:p>
        <w:p>
          <w:pPr>
            <w:pStyle w:val="31"/>
          </w:pPr>
          <w:hyperlink w:anchor="GOSTHeading194">
            <w:r>
              <w:t>2.1.2 Модель прогнозирования востребованности</w:t>
            </w:r>
          </w:hyperlink>
          <w:r>
            <w:tab/>
          </w:r>
          <w:fldSimple w:instr="PAGEREF &quot;GOSTHeading194&quot; \h" w:dirty="true">
            <w:r>
              <w:t>—</w:t>
            </w:r>
          </w:fldSimple>
        </w:p>
        <w:p>
          <w:pPr>
            <w:pStyle w:val="31"/>
          </w:pPr>
          <w:hyperlink w:anchor="GOSTHeading195">
            <w:r>
              <w:t>2.1.3 Обработка данных и формирование обучающих примеров</w:t>
            </w:r>
          </w:hyperlink>
          <w:r>
            <w:tab/>
          </w:r>
          <w:fldSimple w:instr="PAGEREF &quot;GOSTHeading195&quot; \h" w:dirty="true">
            <w:r>
              <w:t>—</w:t>
            </w:r>
          </w:fldSimple>
        </w:p>
        <w:p>
          <w:pPr>
            <w:pStyle w:val="31"/>
          </w:pPr>
          <w:hyperlink w:anchor="GOSTHeading196">
            <w:r>
              <w:t>2.1.4 Обучение, проверка и ввод модели в работу</w:t>
            </w:r>
          </w:hyperlink>
          <w:r>
            <w:tab/>
          </w:r>
          <w:fldSimple w:instr="PAGEREF &quot;GOSTHeading196&quot; \h" w:dirty="true">
            <w:r>
              <w:t>—</w:t>
            </w:r>
          </w:fldSimple>
        </w:p>
        <w:p>
          <w:pPr>
            <w:pStyle w:val="31"/>
          </w:pPr>
          <w:hyperlink w:anchor="GOSTHeading197">
            <w:r>
              <w:t>2.1.5 Алгоритм формирования плана размещения</w:t>
            </w:r>
          </w:hyperlink>
          <w:r>
            <w:tab/>
          </w:r>
          <w:fldSimple w:instr="PAGEREF &quot;GOSTHeading197&quot; \h" w:dirty="true">
            <w:r>
              <w:t>—</w:t>
            </w:r>
          </w:fldSimple>
        </w:p>
        <w:p>
          <w:pPr>
            <w:pStyle w:val="31"/>
          </w:pPr>
          <w:hyperlink w:anchor="GOSTHeading198">
            <w:r>
              <w:t>2.1.6 Объяснение рекомендаций</w:t>
            </w:r>
          </w:hyperlink>
          <w:r>
            <w:tab/>
          </w:r>
          <w:fldSimple w:instr="PAGEREF &quot;GOSTHeading198&quot; \h" w:dirty="true">
            <w:r>
              <w:t>—</w:t>
            </w:r>
          </w:fldSimple>
        </w:p>
        <w:p>
          <w:pPr>
            <w:pStyle w:val="31"/>
          </w:pPr>
          <w:hyperlink w:anchor="GOSTHeading199">
            <w:r>
              <w:t>2.1.7 Протокол безопасного переноса</w:t>
            </w:r>
          </w:hyperlink>
          <w:r>
            <w:tab/>
          </w:r>
          <w:fldSimple w:instr="PAGEREF &quot;GOSTHeading199&quot; \h" w:dirty="true">
            <w:r>
              <w:t>—</w:t>
            </w:r>
          </w:fldSimple>
        </w:p>
        <w:p>
          <w:pPr>
            <w:pStyle w:val="22"/>
          </w:pPr>
          <w:hyperlink w:anchor="GOSTHeading200">
            <w:r>
              <w:t>2.2 Модели процессов</w:t>
            </w:r>
          </w:hyperlink>
          <w:r>
            <w:tab/>
          </w:r>
          <w:fldSimple w:instr="PAGEREF &quot;GOSTHeading200&quot; \h" w:dirty="true">
            <w:r>
              <w:t>—</w:t>
            </w:r>
          </w:fldSimple>
        </w:p>
        <w:p>
          <w:pPr>
            <w:pStyle w:val="31"/>
          </w:pPr>
          <w:hyperlink w:anchor="GOSTHeading201">
            <w:r>
              <w:t>2.2.1 Исходный процесс управления размещением</w:t>
            </w:r>
          </w:hyperlink>
          <w:r>
            <w:tab/>
          </w:r>
          <w:fldSimple w:instr="PAGEREF &quot;GOSTHeading201&quot; \h" w:dirty="true">
            <w:r>
              <w:t>—</w:t>
            </w:r>
          </w:fldSimple>
        </w:p>
        <w:p>
          <w:pPr>
            <w:pStyle w:val="31"/>
          </w:pPr>
          <w:hyperlink w:anchor="GOSTHeading202">
            <w:r>
              <w:t>2.2.2 Проектируемый процесс</w:t>
            </w:r>
          </w:hyperlink>
          <w:r>
            <w:tab/>
          </w:r>
          <w:fldSimple w:instr="PAGEREF &quot;GOSTHeading202&quot; \h" w:dirty="true">
            <w:r>
              <w:t>—</w:t>
            </w:r>
          </w:fldSimple>
        </w:p>
        <w:p>
          <w:pPr>
            <w:pStyle w:val="31"/>
          </w:pPr>
          <w:hyperlink w:anchor="GOSTHeading203">
            <w:r>
              <w:t>2.2.3 Сравнение процессов</w:t>
            </w:r>
          </w:hyperlink>
          <w:r>
            <w:tab/>
          </w:r>
          <w:fldSimple w:instr="PAGEREF &quot;GOSTHeading203&quot; \h" w:dirty="true">
            <w:r>
              <w:t>—</w:t>
            </w:r>
          </w:fldSimple>
        </w:p>
        <w:p>
          <w:pPr>
            <w:pStyle w:val="22"/>
          </w:pPr>
          <w:hyperlink w:anchor="GOSTHeading204">
            <w:r>
              <w:t>2.3 Архитектура системы</w:t>
            </w:r>
          </w:hyperlink>
          <w:r>
            <w:tab/>
          </w:r>
          <w:fldSimple w:instr="PAGEREF &quot;GOSTHeading204&quot; \h" w:dirty="true">
            <w:r>
              <w:t>—</w:t>
            </w:r>
          </w:fldSimple>
        </w:p>
        <w:p>
          <w:pPr>
            <w:pStyle w:val="31"/>
          </w:pPr>
          <w:hyperlink w:anchor="GOSTHeading205">
            <w:r>
              <w:t>2.3.1 Изменения компонентов OpenS3</w:t>
            </w:r>
          </w:hyperlink>
          <w:r>
            <w:tab/>
          </w:r>
          <w:fldSimple w:instr="PAGEREF &quot;GOSTHeading205&quot; \h" w:dirty="true">
            <w:r>
              <w:t>—</w:t>
            </w:r>
          </w:fldSimple>
        </w:p>
        <w:p>
          <w:pPr>
            <w:pStyle w:val="31"/>
          </w:pPr>
          <w:hyperlink w:anchor="GOSTHeading206">
            <w:r>
              <w:t>2.3.2 Компонентная модель</w:t>
            </w:r>
          </w:hyperlink>
          <w:r>
            <w:tab/>
          </w:r>
          <w:fldSimple w:instr="PAGEREF &quot;GOSTHeading206&quot; \h" w:dirty="true">
            <w:r>
              <w:t>—</w:t>
            </w:r>
          </w:fldSimple>
        </w:p>
        <w:p>
          <w:pPr>
            <w:pStyle w:val="31"/>
          </w:pPr>
          <w:hyperlink w:anchor="GOSTHeading207">
            <w:r>
              <w:t>2.3.3 Модель данных</w:t>
            </w:r>
          </w:hyperlink>
          <w:r>
            <w:tab/>
          </w:r>
          <w:fldSimple w:instr="PAGEREF &quot;GOSTHeading207&quot; \h" w:dirty="true">
            <w:r>
              <w:t>—</w:t>
            </w:r>
          </w:fldSimple>
        </w:p>
        <w:p>
          <w:pPr>
            <w:pStyle w:val="31"/>
          </w:pPr>
          <w:hyperlink w:anchor="GOSTHeading208">
            <w:r>
              <w:t>2.3.4 Анализ архитектуры</w:t>
            </w:r>
          </w:hyperlink>
          <w:r>
            <w:tab/>
          </w:r>
          <w:fldSimple w:instr="PAGEREF &quot;GOSTHeading208&quot; \h" w:dirty="true">
            <w:r>
              <w:t>—</w:t>
            </w:r>
          </w:fldSimple>
        </w:p>
        <w:p>
          <w:pPr>
            <w:pStyle w:val="31"/>
          </w:pPr>
          <w:hyperlink w:anchor="GOSTHeading209">
            <w:r>
              <w:t>2.3.5 Соответствие требованиям</w:t>
            </w:r>
          </w:hyperlink>
          <w:r>
            <w:tab/>
          </w:r>
          <w:fldSimple w:instr="PAGEREF &quot;GOSTHeading209&quot; \h" w:dirty="true">
            <w:r>
              <w:t>—</w:t>
            </w:r>
          </w:fldSimple>
        </w:p>
        <w:p>
          <w:pPr>
            <w:pStyle w:val="22"/>
          </w:pPr>
          <w:hyperlink w:anchor="GOSTHeading210">
            <w:r>
              <w:t>2.4 Обоснование инструментов реализации</w:t>
            </w:r>
          </w:hyperlink>
          <w:r>
            <w:tab/>
          </w:r>
          <w:fldSimple w:instr="PAGEREF &quot;GOSTHeading210&quot; \h" w:dirty="true">
            <w:r>
              <w:t>—</w:t>
            </w:r>
          </w:fldSimple>
        </w:p>
        <w:p>
          <w:pPr>
            <w:pStyle w:val="22"/>
          </w:pPr>
          <w:hyperlink w:anchor="GOSTHeading211">
            <w:r>
              <w:t>2.5 Выводы по аналитическому разделу</w:t>
            </w:r>
          </w:hyperlink>
          <w:r>
            <w:tab/>
          </w:r>
          <w:fldSimple w:instr="PAGEREF &quot;GOSTHeading211&quot; \h" w:dirty="true">
            <w:r>
              <w:t>—</w:t>
            </w:r>
          </w:fldSimple>
        </w:p>
        <w:p>
          <w:pPr>
            <w:pStyle w:val="10"/>
          </w:pPr>
          <w:hyperlink w:anchor="GOSTHeading212">
            <w:r>
              <w:t>СПИСОК ИСПОЛЬЗОВАННЫХ ИСТОЧНИКОВ</w:t>
            </w:r>
          </w:hyperlink>
          <w:r>
            <w:tab/>
          </w:r>
          <w:fldSimple w:instr="PAGEREF &quot;GOSTHeading212&quot; \h" w:dirty="true">
            <w:r>
              <w:t>—</w:t>
            </w:r>
          </w:fldSimple>
        </w:p>
        <w:p>
          <w:pPr>
            <w:pStyle w:val="10"/>
          </w:pPr>
          <w:hyperlink w:anchor="GOSTHeading213">
            <w:r>
              <w:t>ПРИЛОЖЕНИЯ</w:t>
            </w:r>
          </w:hyperlink>
          <w:r>
            <w:tab/>
          </w:r>
          <w:fldSimple w:instr="PAGEREF &quot;GOSTHeading213&quot; \h" w:dirty="true">
            <w:r>
              <w:t>—</w:t>
            </w:r>
          </w:fldSimple>
        </w:p>
        <w:p>
          <w:pPr>
            <w:pStyle w:val="10"/>
          </w:pPr>
          <w:hyperlink w:anchor="GOSTHeading214">
            <w:r>
              <w:t>Приложение А</w:t>
            </w:r>
          </w:hyperlink>
          <w:r>
            <w:tab/>
          </w:r>
          <w:fldSimple w:instr="PAGEREF &quot;GOSTHeading214&quot; \h" w:dirty="true">
            <w:r>
              <w:t>—</w:t>
            </w:r>
          </w:fldSimple>
        </w:p>
        <w:p>
          <w:pPr>
            <w:pStyle w:val="10"/>
          </w:pPr>
          <w:hyperlink w:anchor="GOSTHeading215">
            <w:r>
              <w:t>Приложение Б</w:t>
            </w:r>
          </w:hyperlink>
          <w:r>
            <w:tab/>
          </w:r>
          <w:fldSimple w:instr="PAGEREF &quot;GOSTHeading215&quot; \h" w:dirty="true">
            <w:r>
              <w:t>—</w:t>
            </w:r>
          </w:fldSimple>
        </w:p>
        <w:p>
          <w:pPr>
            <w:spacing w:before="0" w:after="0" w:line="1" w:lineRule="exact"/>
          </w:pPr>
          <w:r>
            <w:fldChar w:fldCharType="end"/>
          </w:r>
        </w:p>
      </w:sdtContent>
    </w:sdt>
    <w:bookmarkStart w:id="25" w:name="введение"/>
    <w:p>
      <w:pPr>
        <w:pStyle w:val="GOSTStructuralHeading"/>
      </w:pPr>
      <w:bookmarkStart w:id="166" w:name="GOSTHeading166"/>
      <w:r>
        <w:t xml:space="preserve">ВВЕДЕНИЕ</w:t>
      </w:r>
      <w:bookmarkEnd w:id="166"/>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7" w:name="GOSTHeading167"/>
      <w:r>
        <w:t xml:space="preserve">ЛИТЕРАТУРНЫЙ ОБЗОР</w:t>
      </w:r>
      <w:bookmarkEnd w:id="167"/>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8" w:name="GOSTHeading168"/>
      <w:r>
        <w:t xml:space="preserve">1 ИССЛЕДОВАТЕЛЬСКИЙ РАЗДЕЛ</w:t>
      </w:r>
      <w:bookmarkEnd w:id="168"/>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9" w:name="GOSTHeading169"/>
      <w:r>
        <w:t xml:space="preserve">1.1 Анализ предметной области</w:t>
      </w:r>
      <w:bookmarkEnd w:id="169"/>
    </w:p>
    <w:p>
      <w:pPr>
        <w:pStyle w:val="FirstParagraph"/>
      </w:pPr>
      <w:r>
        <w:t xml:space="preserve">Анализ предметной области определяет понятия, ресурсы и условия, от которых зависит выбор размещения версий объектов в OpenS3. Далее рассматриваются участники процесса, объектная модель и классы хранения, признаки востребованности, способы управления размещением, ресурсные ограничения, условия безопасного перемещения и источники данных для исследования.</w:t>
      </w:r>
    </w:p>
    <w:bookmarkStart w:id="27" w:name="предметная-область-и-участники-процесса"/>
    <w:p>
      <w:pPr>
        <w:pStyle w:val="30"/>
      </w:pPr>
      <w:bookmarkStart w:id="170" w:name="GOSTHeading170"/>
      <w:r>
        <w:t xml:space="preserve">1.1.1 Предметная область и участники процесса</w:t>
      </w:r>
      <w:bookmarkEnd w:id="170"/>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1" w:name="GOSTHeading171"/>
      <w:r>
        <w:t xml:space="preserve">1.1.2 Объектная модель и единица размещения</w:t>
      </w:r>
      <w:bookmarkEnd w:id="171"/>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2" w:name="GOSTHeading172"/>
      <w:r>
        <w:t xml:space="preserve">1.1.3 Классы хранения и характеристики ресурсов</w:t>
      </w:r>
      <w:bookmarkEnd w:id="172"/>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3" w:name="GOSTHeading173"/>
      <w:r>
        <w:t xml:space="preserve">1.1.4 Востребованность и история обращений</w:t>
      </w:r>
      <w:bookmarkEnd w:id="173"/>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4" w:name="GOSTHeading174"/>
      <w:r>
        <w:t xml:space="preserve">1.1.5 Способы управления размещением</w:t>
      </w:r>
      <w:bookmarkEnd w:id="174"/>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5" w:name="GOSTHeading175"/>
      <w:r>
        <w:t xml:space="preserve">1.1.6 Ресурсные ограничения и затраты</w:t>
      </w:r>
      <w:bookmarkEnd w:id="175"/>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6" w:name="GOSTHeading176"/>
      <w:r>
        <w:t xml:space="preserve">1.1.7 Согласованность и безопасное перемещение</w:t>
      </w:r>
      <w:bookmarkEnd w:id="176"/>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7" w:name="GOSTHeading177"/>
      <w:r>
        <w:t xml:space="preserve">1.1.8 Источники данных и условия исследования</w:t>
      </w:r>
      <w:bookmarkEnd w:id="177"/>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8" w:name="GOSTHeading178"/>
      <w:r>
        <w:t xml:space="preserve">1.2 Анализ существующих решений</w:t>
      </w:r>
      <w:bookmarkEnd w:id="178"/>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9" w:name="GOSTHeading179"/>
      <w:r>
        <w:t xml:space="preserve">1.2.1 Анализ критериев</w:t>
      </w:r>
      <w:bookmarkEnd w:id="179"/>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0" w:name="GOSTHeading180"/>
      <w:r>
        <w:t xml:space="preserve">1.2.2 Обзор аналогов</w:t>
      </w:r>
      <w:bookmarkEnd w:id="180"/>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1" w:name="GOSTHeading181"/>
      <w:r>
        <w:t xml:space="preserve">1.2.3 Сопоставление аналогов</w:t>
      </w:r>
      <w:bookmarkEnd w:id="181"/>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2" w:name="GOSTHeading182"/>
      <w:r>
        <w:t xml:space="preserve">1.3 Требования к разрабатываемой системе</w:t>
      </w:r>
      <w:bookmarkEnd w:id="182"/>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3" w:name="GOSTHeading183"/>
      <w:r>
        <w:t xml:space="preserve">1.3.1 Назначение и границы разрабатываемого расширения</w:t>
      </w:r>
      <w:bookmarkEnd w:id="183"/>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4" w:name="GOSTHeading184"/>
      <w:r>
        <w:t xml:space="preserve">1.3.2 Требования к выполняемым функциям</w:t>
      </w:r>
      <w:bookmarkEnd w:id="184"/>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5" w:name="GOSTHeading185"/>
      <w:r>
        <w:t xml:space="preserve">1.3.3 Требования к надёжности и сохранности данных</w:t>
      </w:r>
      <w:bookmarkEnd w:id="185"/>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6" w:name="GOSTHeading186"/>
      <w:r>
        <w:t xml:space="preserve">1.3.4 Требования к доступу и интерфейсу администратора</w:t>
      </w:r>
      <w:bookmarkEnd w:id="186"/>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7" w:name="GOSTHeading187"/>
      <w:r>
        <w:t xml:space="preserve">1.3.5 Требования к ресурсам, совместимости и контролю выполнения</w:t>
      </w:r>
      <w:bookmarkEnd w:id="187"/>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8" w:name="GOSTHeading188"/>
      <w:r>
        <w:t xml:space="preserve">1.3.6 Требования к жизненному циклу модели</w:t>
      </w:r>
      <w:bookmarkEnd w:id="188"/>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9" w:name="GOSTHeading189"/>
      <w:r>
        <w:t xml:space="preserve">1.3.7 Требования к проверке эффективности и минимальному результату</w:t>
      </w:r>
      <w:bookmarkEnd w:id="189"/>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0" w:name="GOSTHeading190"/>
      <w:r>
        <w:t xml:space="preserve">1.4 Выводы по исследовательскому разделу</w:t>
      </w:r>
      <w:bookmarkEnd w:id="190"/>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00" w:name="аналитический-раздел"/>
    <w:p>
      <w:pPr>
        <w:pStyle w:val="1"/>
      </w:pPr>
      <w:bookmarkStart w:id="191" w:name="GOSTHeading191"/>
      <w:r>
        <w:t xml:space="preserve">2 АНАЛИТИЧЕСКИЙ РАЗДЕЛ</w:t>
      </w:r>
      <w:bookmarkEnd w:id="191"/>
    </w:p>
    <w:p>
      <w:pPr>
        <w:pStyle w:val="FirstParagraph"/>
      </w:pPr>
      <w:r>
        <w:t xml:space="preserve">В аналитическом разделе требования из исследовательского раздела преобразуются в проект СППР: описываются математическое и алгоритмическое обеспечение, модели процессов управления размещением и архитектура системы, обосновывается выбор инструментов реализации. Проектируемая СППР связывает прогноз клиентского спроса с планом размещения, а применение плана требует решения администратора и безопасного изменения расположения версий.</w:t>
      </w:r>
    </w:p>
    <w:bookmarkStart w:id="72" w:name="X84bd9294f1307ff8601e5cfa6da9c74af29fe47"/>
    <w:p>
      <w:pPr>
        <w:pStyle w:val="21"/>
      </w:pPr>
      <w:bookmarkStart w:id="192" w:name="GOSTHeading192"/>
      <w:r>
        <w:t xml:space="preserve">2.1 Математическое и алгоритмическое обеспечение</w:t>
      </w:r>
      <w:bookmarkEnd w:id="192"/>
    </w:p>
    <w:p>
      <w:pPr>
        <w:pStyle w:val="FirstParagraph"/>
      </w:pPr>
      <w:r>
        <w:t xml:space="preserve">Математическая модель определяет ожидаемый эффект размещения и ограничения, а алгоритмы преобразуют оценки спроса в план переносов и безопасно применяют его.</w:t>
      </w:r>
    </w:p>
    <w:bookmarkStart w:id="56" w:name="постановка-задачи-размещения"/>
    <w:p>
      <w:pPr>
        <w:pStyle w:val="30"/>
      </w:pPr>
      <w:bookmarkStart w:id="193" w:name="GOSTHeading193"/>
      <w:r>
        <w:t xml:space="preserve">2.1.1 Постановка задачи размещения</w:t>
      </w:r>
      <w:bookmarkEnd w:id="193"/>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На входе задачи прогноз спроса и метаданные хранилища о версиях объектов, их размерах, размещении и занятости классов, на выходе план переносов. Выбор ограничен ёмкостью классов, бюджетом копирования и закреплёнными объектами: объекты с запретом переноса, участвующие в выполняемом переносе или перенесённые раньше минимального интервала, сохраняют текущее размещение. Предыдущие версии в задачу не входят, но их объём учитывается в ограничениях ёмкости. Задача реализует функциональное требование F-05 с учётом ограничений ресурсов и периода цикла планирования из раздела 1.3.5 пояснительной записки.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841"/>
        <w:gridCol w:w="7797"/>
      </w:tblGrid>
      <w:tr>
        <w:trPr>
          <w:tblHeader w:val="on"/>
          <w:cantSplit/>
        </w:trPr>
        <w:tc>
          <w:tcPr>
            <w:tcW w:w="184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7797"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T</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I</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хранилище в момент</w:t>
            </w:r>
            <w:r>
              <w:rPr>
                <w:sz w:val="24"/>
                <w:szCs w:val="24"/>
              </w:rPr>
              <w:t xml:space="preserve"> </w:t>
            </w:r>
            <m:oMath>
              <m:r>
                <m:t>T</m:t>
              </m:r>
            </m:oMath>
            <w:r>
              <w:rPr>
                <w:sz w:val="24"/>
                <w:szCs w:val="24"/>
              </w:rPr>
              <w:t xml:space="preserve">;</w:t>
            </w:r>
            <w:r>
              <w:rPr>
                <w:sz w:val="24"/>
                <w:szCs w:val="24"/>
              </w:rPr>
              <w:t xml:space="preserve"> </w:t>
            </w:r>
            <m:oMath>
              <m:r>
                <m:t>i</m:t>
              </m:r>
            </m:oMath>
            <w:r>
              <w:rPr>
                <w:sz w:val="24"/>
                <w:szCs w:val="24"/>
              </w:rPr>
              <w:t xml:space="preserve"> </w:t>
            </w:r>
            <w:r>
              <w:rPr>
                <w:sz w:val="24"/>
                <w:szCs w:val="24"/>
              </w:rPr>
              <w:t xml:space="preserve">— номер объекта в</w:t>
            </w:r>
            <w:r>
              <w:rPr>
                <w:sz w:val="24"/>
                <w:szCs w:val="24"/>
              </w:rPr>
              <w:t xml:space="preserve"> </w:t>
            </w:r>
            <m:oMath>
              <m:r>
                <m:t>I</m:t>
              </m:r>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j</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Класс хранения,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H</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w:t>
            </w:r>
            <w:r>
              <w:rPr>
                <w:sz w:val="24"/>
                <w:szCs w:val="24"/>
              </w:rPr>
              <w:t xml:space="preserve">по формуле (2.14), далее</w:t>
            </w:r>
            <w:r>
              <w:rPr>
                <w:sz w:val="24"/>
                <w:szCs w:val="24"/>
              </w:rPr>
              <w:t xml:space="preserve"> </w:t>
            </w:r>
            <m:oMath>
              <m:sSub>
                <m:e>
                  <m:r>
                    <m:t>N</m:t>
                  </m:r>
                </m:e>
                <m:sub>
                  <m:r>
                    <m:t>i</m:t>
                  </m:r>
                </m:sub>
              </m:sSub>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w:t>
            </w:r>
            <w:r>
              <w:rPr>
                <w:sz w:val="24"/>
                <w:szCs w:val="24"/>
              </w:rPr>
              <w:t xml:space="preserve">по формуле (2.10)</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по истории обращений; 1 при полном чтении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 равный</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классе</w:t>
            </w:r>
            <w:r>
              <w:rPr>
                <w:sz w:val="24"/>
                <w:szCs w:val="24"/>
              </w:rPr>
              <w:t xml:space="preserve"> </w:t>
            </w:r>
            <m:oMath>
              <m:r>
                <m:t>j</m:t>
              </m:r>
            </m:oMath>
            <w:r>
              <w:rPr>
                <w:sz w:val="24"/>
                <w:szCs w:val="24"/>
              </w:rPr>
              <w:t xml:space="preserve">, мс</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v</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классе</w:t>
            </w:r>
            <w:r>
              <w:rPr>
                <w:sz w:val="24"/>
                <w:szCs w:val="24"/>
              </w:rPr>
              <w:t xml:space="preserve"> </w:t>
            </w:r>
            <m:oMath>
              <m:r>
                <m:t>j</m:t>
              </m:r>
            </m:oMath>
            <w:r>
              <w:rPr>
                <w:sz w:val="24"/>
                <w:szCs w:val="24"/>
              </w:rPr>
              <w:t xml:space="preserve">, МиБ/мс</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класса</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u</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класса</w:t>
            </w:r>
            <w:r>
              <w:rPr>
                <w:sz w:val="24"/>
                <w:szCs w:val="24"/>
              </w:rPr>
              <w:t xml:space="preserve"> </w:t>
            </w:r>
            <m:oMath>
              <m:r>
                <m:t>j</m:t>
              </m:r>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t</m:t>
                  </m:r>
                  <m:r>
                    <m:rPr>
                      <m:sty m:val="p"/>
                    </m:rPr>
                    <m:t>m</m:t>
                  </m:r>
                  <m:r>
                    <m:rPr>
                      <m:sty m:val="p"/>
                    </m:rPr>
                    <m:t>p</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классе</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o</m:t>
                  </m:r>
                  <m:r>
                    <m:rPr>
                      <m:sty m:val="p"/>
                    </m:rPr>
                    <m:t>l</m:t>
                  </m:r>
                  <m:r>
                    <m:rPr>
                      <m:sty m:val="p"/>
                    </m:rPr>
                    <m:t>d</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классе</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B</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P</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 мс/МиБ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 мс</w:t>
            </w:r>
          </w:p>
        </w:tc>
      </w:tr>
    </w:tbl>
    <w:bookmarkEnd w:id="55"/>
    <w:p>
      <w:pPr>
        <w:pStyle w:val="a2"/>
        <w:spacing w:before="120"/>
      </w:pPr>
      <w:r>
        <w:t xml:space="preserve">Параметры</w:t>
      </w:r>
      <w:r>
        <w:t xml:space="preserve"> </w:t>
      </w:r>
      <m:oMath>
        <m:sSub>
          <m:e>
            <m:r>
              <m:t>c</m:t>
            </m:r>
          </m:e>
          <m:sub>
            <m:r>
              <m:t>j</m:t>
            </m:r>
          </m:sub>
        </m:sSub>
      </m:oMath>
      <w:r>
        <w:t xml:space="preserve"> </w:t>
      </w:r>
      <w:r>
        <w:t xml:space="preserve">и</w:t>
      </w:r>
      <w:r>
        <w:t xml:space="preserve"> </w:t>
      </w:r>
      <m:oMath>
        <m:sSub>
          <m:e>
            <m:r>
              <m:t>v</m:t>
            </m:r>
          </m:e>
          <m:sub>
            <m:r>
              <m:t>j</m:t>
            </m:r>
          </m:sub>
        </m:sSub>
      </m:oMath>
      <w:r>
        <w:t xml:space="preserve"> </w:t>
      </w:r>
      <w:r>
        <w:t xml:space="preserve">измеряются на стенде, долю</w:t>
      </w:r>
      <w:r>
        <w:t xml:space="preserve"> </w:t>
      </w:r>
      <m:oMath>
        <m:sSub>
          <m:e>
            <m:r>
              <m:t>u</m:t>
            </m:r>
          </m:e>
          <m:sub>
            <m:r>
              <m:t>j</m:t>
            </m:r>
          </m:sub>
        </m:sSub>
      </m:oMath>
      <w:r>
        <w:t xml:space="preserve"> </w:t>
      </w:r>
      <w:r>
        <w:t xml:space="preserve">и бюджет копирования задаёт администратор, а</w:t>
      </w:r>
      <w:r>
        <w:t xml:space="preserve"> </w:t>
      </w:r>
      <m:oMath>
        <m:r>
          <m:t>H</m:t>
        </m:r>
      </m:oMath>
      <w:r>
        <w:t xml:space="preserve">,</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подбираются на данных настройки. Ёмкость ограничивает размещение с учётом временных копий и предыдущих версий, а бюджет — объём переносов за цикл, поэтому при выборе плана проверяются оба ограничения.</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из класса линейно зависит от объёма и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t>j</m:t>
            </m:r>
          </m:sub>
        </m:sSub>
        <m:r>
          <m:rPr>
            <m:sty m:val="p"/>
          </m:rPr>
          <m:t>(</m:t>
        </m:r>
        <m:r>
          <m:t>d</m:t>
        </m:r>
        <m:r>
          <m:rPr>
            <m:sty m:val="p"/>
          </m:rPr>
          <m:t>)</m:t>
        </m:r>
        <m:r>
          <m:rPr>
            <m:sty m:val="p"/>
          </m:rPr>
          <m:t>=</m:t>
        </m:r>
        <m:sSub>
          <m:e>
            <m:r>
              <m:t>c</m:t>
            </m:r>
          </m:e>
          <m:sub>
            <m:r>
              <m:t>j</m:t>
            </m:r>
          </m:sub>
        </m:sSub>
        <m:r>
          <m:rPr>
            <m:sty m:val="p"/>
          </m:rPr>
          <m:t>+</m:t>
        </m:r>
        <m:f>
          <m:fPr>
            <m:type m:val="bar"/>
          </m:fPr>
          <m:num>
            <m:r>
              <m:t>d</m:t>
            </m:r>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t>j</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класса</w:t>
      </w:r>
      <w:r>
        <w:t xml:space="preserve"> </w:t>
      </w:r>
      <m:oMath>
        <m:r>
          <m:t>j</m:t>
        </m:r>
      </m:oMath>
      <w:r>
        <w:t xml:space="preserve">, мс;</w:t>
      </w:r>
    </w:p>
    <w:p>
      <w:pPr>
        <w:pStyle w:val="Where"/>
      </w:pPr>
      <w:r>
        <w:tab/>
      </w:r>
      <m:oMath>
        <m:r>
          <m:t>j</m:t>
        </m:r>
      </m:oMath>
      <w:r>
        <w:t xml:space="preserve"> </w:t>
      </w:r>
      <w:r>
        <w:t xml:space="preserve">— класс хранения, HOT или COLD;</w:t>
      </w:r>
    </w:p>
    <w:p>
      <w:pPr>
        <w:pStyle w:val="Where"/>
      </w:pPr>
      <w:r>
        <w:tab/>
      </w:r>
      <m:oMath>
        <m:r>
          <m:t>d</m:t>
        </m:r>
      </m:oMath>
      <w:r>
        <w:t xml:space="preserve"> </w:t>
      </w:r>
      <w:r>
        <w:t xml:space="preserve">— объём одного чтения, МиБ;</w:t>
      </w:r>
    </w:p>
    <w:p>
      <w:pPr>
        <w:pStyle w:val="Where"/>
      </w:pPr>
      <w:r>
        <w:tab/>
      </w:r>
      <m:oMath>
        <m:sSub>
          <m:e>
            <m:r>
              <m:t>c</m:t>
            </m:r>
          </m:e>
          <m:sub>
            <m:r>
              <m:t>j</m:t>
            </m:r>
          </m:sub>
        </m:sSub>
      </m:oMath>
      <w:r>
        <w:t xml:space="preserve"> </w:t>
      </w:r>
      <w:r>
        <w:t xml:space="preserve">— постоянная часть времени чтения в классе</w:t>
      </w:r>
      <w:r>
        <w:t xml:space="preserve"> </w:t>
      </w:r>
      <m:oMath>
        <m:r>
          <m:t>j</m:t>
        </m:r>
      </m:oMath>
      <w:r>
        <w:t xml:space="preserve">, мс;</w:t>
      </w:r>
    </w:p>
    <w:p>
      <w:pPr>
        <w:pStyle w:val="Where"/>
      </w:pPr>
      <w:r>
        <w:tab/>
      </w:r>
      <m:oMath>
        <m:sSub>
          <m:e>
            <m:r>
              <m:t>v</m:t>
            </m:r>
          </m:e>
          <m:sub>
            <m:r>
              <m:t>j</m:t>
            </m:r>
          </m:sub>
        </m:sSub>
      </m:oMath>
      <w:r>
        <w:t xml:space="preserve"> </w:t>
      </w:r>
      <w:r>
        <w:t xml:space="preserve">— скорость передачи данных в классе</w:t>
      </w:r>
      <w:r>
        <w:t xml:space="preserve"> </w:t>
      </w:r>
      <m:oMath>
        <m:r>
          <m:t>j</m:t>
        </m:r>
      </m:oMath>
      <w:r>
        <w:t xml:space="preserve">,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классе по формуле (2.2).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t>j</m:t>
            </m:r>
          </m:sup>
        </m:sSubSup>
        <m:r>
          <m:rPr>
            <m:sty m:val="p"/>
          </m:rPr>
          <m:t>=</m:t>
        </m:r>
        <m:sSub>
          <m:e>
            <m:acc>
              <m:accPr>
                <m:chr m:val="̂"/>
              </m:accPr>
              <m:e>
                <m:r>
                  <m:t>N</m:t>
                </m:r>
              </m:e>
            </m:acc>
          </m:e>
          <m:sub>
            <m:r>
              <m:t>i</m:t>
            </m:r>
          </m:sub>
        </m:sSub>
        <m:r>
          <m:t> </m:t>
        </m:r>
        <m:sSub>
          <m:e>
            <m:r>
              <m:t>c</m:t>
            </m:r>
          </m:e>
          <m:sub>
            <m:r>
              <m:t>j</m:t>
            </m:r>
          </m:sub>
        </m:sSub>
        <m:r>
          <m:rPr>
            <m:sty m:val="p"/>
          </m:rPr>
          <m:t>+</m:t>
        </m:r>
        <m:f>
          <m:fPr>
            <m:type m:val="bar"/>
          </m:fPr>
          <m:num>
            <m:sSub>
              <m:e>
                <m:acc>
                  <m:accPr>
                    <m:chr m:val="̂"/>
                  </m:accPr>
                  <m:e>
                    <m:r>
                      <m:t>D</m:t>
                    </m:r>
                  </m:e>
                </m:acc>
              </m:e>
              <m:sub>
                <m:r>
                  <m:t>i</m:t>
                </m:r>
              </m:sub>
            </m:sSub>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Where"/>
      </w:pPr>
      <w:r>
        <w:t xml:space="preserve">где</w:t>
      </w:r>
      <w:r>
        <w:tab/>
      </w:r>
      <m:oMath>
        <m:sSubSup>
          <m:e>
            <m:r>
              <m:t>L</m:t>
            </m:r>
          </m:e>
          <m:sub>
            <m:r>
              <m:t>i</m:t>
            </m:r>
          </m:sub>
          <m:sup>
            <m:r>
              <m:t>j</m:t>
            </m:r>
          </m:sup>
        </m:sSubSup>
      </m:oMath>
      <w:r>
        <w:t xml:space="preserve"> </w:t>
      </w:r>
      <w:r>
        <w:t xml:space="preserve">— ожидаемая суммарная задержка чтений объекта</w:t>
      </w:r>
      <w:r>
        <w:t xml:space="preserve"> </w:t>
      </w:r>
      <m:oMath>
        <m:r>
          <m:t>i</m:t>
        </m:r>
      </m:oMath>
      <w:r>
        <w:t xml:space="preserve"> </w:t>
      </w:r>
      <w:r>
        <w:t xml:space="preserve">в классе</w:t>
      </w:r>
      <w:r>
        <w:t xml:space="preserve"> </w:t>
      </w:r>
      <m:oMath>
        <m:r>
          <m:t>j</m:t>
        </m:r>
      </m:oMath>
      <w:r>
        <w:t xml:space="preserve"> </w:t>
      </w:r>
      <w:r>
        <w:t xml:space="preserve">за горизонт, мс;</w:t>
      </w:r>
    </w:p>
    <w:p>
      <w:pPr>
        <w:pStyle w:val="Where"/>
      </w:pP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Where"/>
      </w:pPr>
      <w:r>
        <w:tab/>
      </w:r>
      <m:oMath>
        <m:sSub>
          <m:e>
            <m:acc>
              <m:accPr>
                <m:chr m:val="̂"/>
              </m:accPr>
              <m:e>
                <m:r>
                  <m:t>D</m:t>
                </m:r>
              </m:e>
            </m:acc>
          </m:e>
          <m:sub>
            <m:r>
              <m:t>i</m:t>
            </m:r>
          </m:sub>
        </m:sSub>
      </m:oMath>
      <w:r>
        <w:t xml:space="preserve"> </w:t>
      </w:r>
      <w:r>
        <w:t xml:space="preserve">— прогноз прочитанного объёма объекта</w:t>
      </w:r>
      <w:r>
        <w:t xml:space="preserve"> </w:t>
      </w:r>
      <m:oMath>
        <m:r>
          <m:t>i</m:t>
        </m:r>
      </m:oMath>
      <w:r>
        <w:t xml:space="preserve"> </w:t>
      </w:r>
      <w:r>
        <w:t xml:space="preserve">за горизонт, МиБ.</w:t>
      </w:r>
    </w:p>
    <w:p>
      <w:pPr>
        <w:pStyle w:val="a2"/>
      </w:pPr>
      <w:r>
        <w:t xml:space="preserve">Выигрыш от размещения объекта в HOT равен разности его задержек в COLD и HOT по формуле (2.2) и вычисляется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
          <m:e>
            <m:r>
              <m:rPr>
                <m:sty m:val="p"/>
              </m:rPr>
              <m:t>Δ</m:t>
            </m:r>
          </m:e>
          <m:sub>
            <m:r>
              <m:t>i</m:t>
            </m:r>
          </m:sub>
        </m:sSub>
      </m:oMath>
      <w:r>
        <w:t xml:space="preserve"> </w:t>
      </w:r>
      <w:r>
        <w:t xml:space="preserve">— уменьшение суммарной задержки чтений объекта</w:t>
      </w:r>
      <w:r>
        <w:t xml:space="preserve"> </w:t>
      </w:r>
      <m:oMath>
        <m:r>
          <m:t>i</m:t>
        </m:r>
      </m:oMath>
      <w:r>
        <w:t xml:space="preserve"> </w:t>
      </w:r>
      <w:r>
        <w:t xml:space="preserve">за горизонт при размещении в HOT,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(2.4)</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r>
          <m:t>h</m:t>
        </m:r>
      </m:oMath>
      <w:r>
        <w:t xml:space="preserve"> </w:t>
      </w:r>
      <w:r>
        <w:t xml:space="preserve">— план, то есть размещения</w:t>
      </w:r>
      <w:r>
        <w:t xml:space="preserve"> </w:t>
      </w:r>
      <m:oMath>
        <m:sSub>
          <m:e>
            <m:r>
              <m:t>h</m:t>
            </m:r>
          </m:e>
          <m:sub>
            <m:r>
              <m:t>i</m:t>
            </m:r>
          </m:sub>
        </m:sSub>
      </m:oMath>
      <w:r>
        <w:t xml:space="preserve"> </w:t>
      </w:r>
      <w:r>
        <w:t xml:space="preserve">всех объектов из</w:t>
      </w:r>
      <w:r>
        <w:t xml:space="preserve"> </w:t>
      </w:r>
      <m:oMath>
        <m:r>
          <m:t>I</m:t>
        </m:r>
      </m:oMath>
      <w:r>
        <w:t xml:space="preserve">;</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r>
          <m:t>P</m:t>
        </m:r>
      </m:oMath>
      <w:r>
        <w:t xml:space="preserve"> </w:t>
      </w:r>
      <w:r>
        <w:t xml:space="preserve">— штраф за перенос 1 МиБ, мс/МиБ;</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Вводимый в работе штраф</w:t>
      </w:r>
      <w:r>
        <w:t xml:space="preserve"> </w:t>
      </w:r>
      <m:oMath>
        <m:r>
          <m:t>P</m:t>
        </m:r>
      </m:oMath>
      <w:r>
        <w:t xml:space="preserve"> </w:t>
      </w:r>
      <w:r>
        <w:t xml:space="preserve">переводит объём копирования в миллисекунды задержки из-за конкуренции копирования с чтениями. Ёмкость каждого класса с учётом временных копий и предыдущих версий ограничена условием (2.5).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t>j</m:t>
                </m:r>
              </m:sub>
            </m:sSub>
          </m:sub>
          <m:sup>
            <m:r>
              <m:t>​</m:t>
            </m:r>
          </m:sup>
          <m:e>
            <m:sSub>
              <m:e>
                <m:r>
                  <m:t>s</m:t>
                </m:r>
              </m:e>
              <m:sub>
                <m:r>
                  <m:t>i</m:t>
                </m:r>
              </m:sub>
            </m:sSub>
          </m:e>
        </m:nary>
        <m:r>
          <m:rPr>
            <m:sty m:val="p"/>
          </m:rPr>
          <m:t>+</m:t>
        </m:r>
        <m:sSubSup>
          <m:e>
            <m:r>
              <m:t>S</m:t>
            </m:r>
          </m:e>
          <m:sub>
            <m:r>
              <m:t>j</m:t>
            </m:r>
          </m:sub>
          <m:sup>
            <m:r>
              <m:rPr>
                <m:sty m:val="p"/>
              </m:rPr>
              <m:t>t</m:t>
            </m:r>
            <m:r>
              <m:rPr>
                <m:sty m:val="p"/>
              </m:rPr>
              <m:t>m</m:t>
            </m:r>
            <m:r>
              <m:rPr>
                <m:sty m:val="p"/>
              </m:rPr>
              <m:t>p</m:t>
            </m:r>
          </m:sup>
        </m:sSubSup>
        <m:r>
          <m:rPr>
            <m:sty m:val="p"/>
          </m:rPr>
          <m:t>+</m:t>
        </m:r>
        <m:sSubSup>
          <m:e>
            <m:r>
              <m:t>S</m:t>
            </m:r>
          </m:e>
          <m:sub>
            <m:r>
              <m:t>j</m:t>
            </m:r>
          </m:sub>
          <m:sup>
            <m:r>
              <m:rPr>
                <m:sty m:val="p"/>
              </m:rPr>
              <m:t>o</m:t>
            </m:r>
            <m:r>
              <m:rPr>
                <m:sty m:val="p"/>
              </m:rPr>
              <m:t>l</m:t>
            </m:r>
            <m:r>
              <m:rPr>
                <m:sty m:val="p"/>
              </m:rPr>
              <m:t>d</m:t>
            </m:r>
          </m:sup>
        </m:sSubSup>
        <m:r>
          <m:rPr>
            <m:sty m:val="p"/>
          </m:rPr>
          <m:t>≤</m:t>
        </m:r>
        <m:sSub>
          <m:e>
            <m:r>
              <m:t>u</m:t>
            </m:r>
          </m:e>
          <m:sub>
            <m:r>
              <m:t>j</m:t>
            </m:r>
          </m:sub>
        </m:sSub>
        <m:sSub>
          <m:e>
            <m:r>
              <m:t>C</m:t>
            </m:r>
          </m:e>
          <m:sub>
            <m:r>
              <m:t>j</m:t>
            </m:r>
          </m:sub>
        </m:sSub>
        <m:r>
          <m:rPr>
            <m:sty m:val="p"/>
          </m:rPr>
          <m:t>,</m:t>
        </m:r>
      </m:oMath>
      <w:r>
        <w:tab/>
      </w:r>
      <w:r>
        <w:rPr>
          <w:rFonts w:ascii="Times New Roman" w:hAnsi="Times New Roman" w:cs="Times New Roman" w:eastAsia="Times New Roman"/>
          <w:b w:val="0"/>
          <w:bCs w:val="0"/>
          <w:i w:val="0"/>
          <w:iCs w:val="0"/>
          <w:color w:val="000000"/>
          <w:sz w:val="28"/>
          <w:szCs w:val="28"/>
        </w:rPr>
        <w:t>(2.5)</w:t>
      </w:r>
    </w:p>
    <w:p>
      <w:pPr>
        <w:pStyle w:val="Where"/>
      </w:pPr>
      <w:r>
        <w:t xml:space="preserve">где</w:t>
      </w:r>
      <w:r>
        <w:tab/>
      </w:r>
      <m:oMath>
        <m:sSub>
          <m:e>
            <m:r>
              <m:t>I</m:t>
            </m:r>
          </m:e>
          <m:sub>
            <m:r>
              <m:t>j</m:t>
            </m:r>
          </m:sub>
        </m:sSub>
      </m:oMath>
      <w:r>
        <w:t xml:space="preserve"> </w:t>
      </w:r>
      <w:r>
        <w:t xml:space="preserve">— множество объектов, размещённых по плану в классе</w:t>
      </w:r>
      <w:r>
        <w:t xml:space="preserve"> </w:t>
      </w:r>
      <m:oMath>
        <m:r>
          <m:t>j</m:t>
        </m:r>
      </m:oMath>
      <w:r>
        <w:t xml:space="preserve">;</w:t>
      </w:r>
    </w:p>
    <w:p>
      <w:pPr>
        <w:pStyle w:val="Where"/>
      </w:pPr>
      <w:r>
        <w:tab/>
      </w:r>
      <m:oMath>
        <m:sSubSup>
          <m:e>
            <m:r>
              <m:t>S</m:t>
            </m:r>
          </m:e>
          <m:sub>
            <m:r>
              <m:t>j</m:t>
            </m:r>
          </m:sub>
          <m:sup>
            <m:r>
              <m:rPr>
                <m:sty m:val="p"/>
              </m:rPr>
              <m:t>t</m:t>
            </m:r>
            <m:r>
              <m:rPr>
                <m:sty m:val="p"/>
              </m:rPr>
              <m:t>m</m:t>
            </m:r>
            <m:r>
              <m:rPr>
                <m:sty m:val="p"/>
              </m:rPr>
              <m:t>p</m:t>
            </m:r>
          </m:sup>
        </m:sSubSup>
      </m:oMath>
      <w:r>
        <w:t xml:space="preserve"> </w:t>
      </w:r>
      <w:r>
        <w:t xml:space="preserve">— объём временных копий в классе</w:t>
      </w:r>
      <w:r>
        <w:t xml:space="preserve"> </w:t>
      </w:r>
      <m:oMath>
        <m:r>
          <m:t>j</m:t>
        </m:r>
      </m:oMath>
      <w:r>
        <w:t xml:space="preserve">: целевых копий выполняемых переносов, источников до удаления и неудалённых копий, МиБ;</w:t>
      </w:r>
    </w:p>
    <w:p>
      <w:pPr>
        <w:pStyle w:val="Where"/>
      </w:pPr>
      <w:r>
        <w:tab/>
      </w:r>
      <m:oMath>
        <m:sSubSup>
          <m:e>
            <m:r>
              <m:t>S</m:t>
            </m:r>
          </m:e>
          <m:sub>
            <m:r>
              <m:t>j</m:t>
            </m:r>
          </m:sub>
          <m:sup>
            <m:r>
              <m:rPr>
                <m:sty m:val="p"/>
              </m:rPr>
              <m:t>o</m:t>
            </m:r>
            <m:r>
              <m:rPr>
                <m:sty m:val="p"/>
              </m:rPr>
              <m:t>l</m:t>
            </m:r>
            <m:r>
              <m:rPr>
                <m:sty m:val="p"/>
              </m:rPr>
              <m:t>d</m:t>
            </m:r>
          </m:sup>
        </m:sSubSup>
      </m:oMath>
      <w:r>
        <w:t xml:space="preserve"> </w:t>
      </w:r>
      <w:r>
        <w:t xml:space="preserve">— объём предыдущих версий в классе</w:t>
      </w:r>
      <w:r>
        <w:t xml:space="preserve"> </w:t>
      </w:r>
      <m:oMath>
        <m:r>
          <m:t>j</m:t>
        </m:r>
      </m:oMath>
      <w:r>
        <w:t xml:space="preserve">, МиБ;</w:t>
      </w:r>
    </w:p>
    <w:p>
      <w:pPr>
        <w:pStyle w:val="Where"/>
      </w:pPr>
      <w:r>
        <w:tab/>
      </w:r>
      <m:oMath>
        <m:sSub>
          <m:e>
            <m:r>
              <m:t>u</m:t>
            </m:r>
          </m:e>
          <m:sub>
            <m:r>
              <m:t>j</m:t>
            </m:r>
          </m:sub>
        </m:sSub>
      </m:oMath>
      <w:r>
        <w:t xml:space="preserve"> </w:t>
      </w:r>
      <w:r>
        <w:t xml:space="preserve">— допустимая доля занятости класса</w:t>
      </w:r>
      <w:r>
        <w:t xml:space="preserve"> </w:t>
      </w:r>
      <m:oMath>
        <m:r>
          <m:t>j</m:t>
        </m:r>
      </m:oMath>
      <w:r>
        <w:t xml:space="preserve">;</w:t>
      </w:r>
    </w:p>
    <w:p>
      <w:pPr>
        <w:pStyle w:val="Where"/>
      </w:pPr>
      <w:r>
        <w:tab/>
      </w:r>
      <m:oMath>
        <m:sSub>
          <m:e>
            <m:r>
              <m:t>C</m:t>
            </m:r>
          </m:e>
          <m:sub>
            <m:r>
              <m:t>j</m:t>
            </m:r>
          </m:sub>
        </m:sSub>
      </m:oMath>
      <w:r>
        <w:t xml:space="preserve"> </w:t>
      </w:r>
      <w:r>
        <w:t xml:space="preserve">— ёмкость класса</w:t>
      </w:r>
      <w:r>
        <w:t xml:space="preserve"> </w:t>
      </w:r>
      <m:oMath>
        <m:r>
          <m:t>j</m:t>
        </m:r>
      </m:oMath>
      <w:r>
        <w:t xml:space="preserve">, МиБ.</w:t>
      </w:r>
    </w:p>
    <w:p>
      <w:pPr>
        <w:pStyle w:val="a2"/>
      </w:pPr>
      <w:r>
        <w:t xml:space="preserve">Объём копирования за цикл ограничен бюджетом из раздела 1.3.5 пояснительной записки по условию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B</m:t>
        </m:r>
      </m:oMath>
      <w:r>
        <w:t xml:space="preserve"> </w:t>
      </w:r>
      <w:r>
        <w:t xml:space="preserve">— остаток бюджета копирования на цикл, МиБ.</w:t>
      </w:r>
    </w:p>
    <w:p>
      <w:pPr>
        <w:pStyle w:val="a2"/>
      </w:pPr>
      <w:r>
        <w:t xml:space="preserve">Вводимый в работе порог</w:t>
      </w:r>
      <w:r>
        <w:t xml:space="preserve"> </w:t>
      </w:r>
      <m:oMath>
        <m:sSub>
          <m:e>
            <m:r>
              <m:rPr>
                <m:sty m:val="p"/>
              </m:rPr>
              <m:t>Δ</m:t>
            </m:r>
          </m:e>
          <m:sub>
            <m:r>
              <m:rPr>
                <m:sty m:val="p"/>
              </m:rPr>
              <m:t>min</m:t>
            </m:r>
          </m:sub>
        </m:sSub>
      </m:oMath>
      <w:r>
        <w:t xml:space="preserve"> </w:t>
      </w:r>
      <w:r>
        <w:t xml:space="preserve">в целевую функцию не входит: набор переносов принимается, только если его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 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служит только для его проверки на малых задачах.</w:t>
      </w:r>
    </w:p>
    <w:bookmarkEnd w:id="56"/>
    <w:bookmarkStart w:id="61" w:name="модель-прогнозирования-востребованности"/>
    <w:p>
      <w:pPr>
        <w:pStyle w:val="30"/>
      </w:pPr>
      <w:bookmarkStart w:id="194" w:name="GOSTHeading194"/>
      <w:r>
        <w:t xml:space="preserve">2.1.2 Модель прогнозирования востребованности</w:t>
      </w:r>
      <w:bookmarkEnd w:id="194"/>
    </w:p>
    <w:p>
      <w:pPr>
        <w:pStyle w:val="FirstParagraph"/>
        <w:keepNext w:val="1"/>
      </w:pPr>
      <w:r>
        <w:t xml:space="preserve">Выигрыш (2.3) пропорционален числу чтений, а на коротком горизонте у большинства объектов чтений нет. Поэтому используется двухэтапная модель с барьером (англ. Hurdle Model) [30], показанная на Рисунке 2.1: 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Пунктиром на схеме показаны базовые оценки, которые выдают прогноз через тот же интерфейс, что и модель, 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 EWMA служит также базовой политикой из функционального требования F-12.</w:t>
      </w:r>
    </w:p>
    <w:p>
      <w:pPr>
        <w:pStyle w:val="a2"/>
      </w:pPr>
      <w:r>
        <w:t xml:space="preserve">Обе части модели строятся градиентным бустингом деревьев решений (англ. Gradient Boosting Decision Tree, далее GBDT) [31], в котором модель представляется суммой деревьев по формуле (2.7).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(2.7)</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[32] по формуле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(2.7).</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(2.9)</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(2.7).</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[32].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[32]. Регрессор обучается только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с логарифмической связью, принятой для пуассоновской регрессии [32],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 по формуле (2.9) равный</w:t>
      </w:r>
      <w:r>
        <w:t xml:space="preserve"> </w:t>
      </w:r>
      <m:oMath>
        <m:sSub>
          <m:e>
            <m:r>
              <m:t>m</m:t>
            </m:r>
          </m:e>
          <m:sub>
            <m:r>
              <m:t>i</m:t>
            </m:r>
          </m:sub>
        </m:sSub>
        <m:r>
          <m:rPr>
            <m:sty m:val="p"/>
          </m:rPr>
          <m:t>−</m:t>
        </m:r>
        <m:r>
          <m:t>1</m:t>
        </m:r>
      </m:oMath>
      <w:r>
        <w:t xml:space="preserve">.</w:t>
      </w:r>
    </w:p>
    <w:p>
      <w:pPr>
        <w:pStyle w:val="a2"/>
      </w:pPr>
      <w:r>
        <w:t xml:space="preserve">Регрессор обучается с функцией потерь Пуассона [32], [33], которая совпадает с отрицательным логарифмом правдоподобия Пуассона без постоянного слагаемого и задаётся формулой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все оценки спроса сравниваются с одним планировщиком.</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w:t>
      </w:r>
    </w:p>
    <w:bookmarkEnd w:id="61"/>
    <w:bookmarkStart w:id="63" w:name="X5cb85bb2864257b50580b8dfa11fbf34fed6abe"/>
    <w:p>
      <w:pPr>
        <w:pStyle w:val="30"/>
      </w:pPr>
      <w:bookmarkStart w:id="195" w:name="GOSTHeading195"/>
      <w:r>
        <w:t xml:space="preserve">2.1.3 Обработка данных и формирование обучающих примеров</w:t>
      </w:r>
      <w:bookmarkEnd w:id="195"/>
    </w:p>
    <w:p>
      <w:pPr>
        <w:pStyle w:val="FirstParagraph"/>
      </w:pPr>
      <w:r>
        <w:t xml:space="preserve">История обращений ведётся по каждому объекту: каждое клиентское чтение фиксируется отдельным событием с порядковым номером источника. Чтения при переносе между классами в историю спроса не включаются, так как они не отражают обращения клиентов. Текущий класс и задержка чтения в признаки не входят, так как отражают прежнее решение о размещении, а не спрос: иначе модель связала бы медленные чтения из COLD с низкой востребованностью и закрепляла бы объекты в COLD.</w:t>
      </w:r>
    </w:p>
    <w:p>
      <w:pPr>
        <w:pStyle w:val="a2"/>
      </w:pPr>
      <w:r>
        <w:t xml:space="preserve">Повторы отбрасываются, так как доставка выполняется по схеме «не менее одного раза» [35], а разрыв порядковых номеров отмечается как интервал неполной истории. Отметка актуальности</w:t>
      </w:r>
      <w:r>
        <w:t xml:space="preserve"> </w:t>
      </w:r>
      <m:oMath>
        <m:r>
          <m:t>W</m:t>
        </m:r>
      </m:oMath>
      <w:r>
        <w:t xml:space="preserve"> </w:t>
      </w:r>
      <w:r>
        <w:t xml:space="preserve">— момент, до которого события получены или отнесены к таким интервалам. По агрегатам событий строятся признаки с версией правил расчёта, состав которых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Давность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(2.13)</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w:t>
      </w:r>
    </w:p>
    <w:p>
      <w:pPr>
        <w:pStyle w:val="Where"/>
      </w:pPr>
      <w:r>
        <w:tab/>
      </w:r>
      <m:oMath>
        <m:r>
          <m:rPr>
            <m:sty m:val="p"/>
          </m:rPr>
          <m:t>|</m:t>
        </m:r>
        <m:r>
          <m:rPr>
            <m:sty m:val="p"/>
          </m:rPr>
          <m:t>⋅</m:t>
        </m:r>
        <m:r>
          <m:rPr>
            <m:sty m:val="p"/>
          </m:rPr>
          <m:t>|</m:t>
        </m:r>
      </m:oMath>
      <w:r>
        <w:t xml:space="preserve"> </w:t>
      </w:r>
      <w:r>
        <w:t xml:space="preserve">— число элементов множества;</w:t>
      </w:r>
    </w:p>
    <w:p>
      <w:pPr>
        <w:pStyle w:val="Where"/>
      </w:pP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w:r>
        <w:tab/>
      </w:r>
      <m:oMath>
        <m:r>
          <m:t>H</m:t>
        </m:r>
      </m:oMath>
      <w:r>
        <w:t xml:space="preserve"> </w:t>
      </w:r>
      <w:r>
        <w:t xml:space="preserve">— горизонт прогноза.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 фиксируется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w:t>
      </w:r>
    </w:p>
    <w:bookmarkEnd w:id="63"/>
    <w:bookmarkStart w:id="64" w:name="обучение-проверка-и-ввод-модели-в-работу"/>
    <w:p>
      <w:pPr>
        <w:pStyle w:val="30"/>
      </w:pPr>
      <w:bookmarkStart w:id="196" w:name="GOSTHeading196"/>
      <w:r>
        <w:t xml:space="preserve">2.1.4 Обучение, проверка и ввод модели в работу</w:t>
      </w:r>
      <w:bookmarkEnd w:id="196"/>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которая проверяет различение читаемых объектов при преобладании нулевых меток [38], и оценкой Брайера, проверяющей калибровку [39]. Пригодность прогноза к размещению проверяет вводимая в работе доля покрытия будущих чтений 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число отбираемых объектов, которое при одинаковом размере объектов равно вместимости HOT;</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по требованию к подготовке модели из раздела 1.3.5 пояснительной записки и совместимость обученной модели с моделью,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7" w:name="GOSTHeading197"/>
      <w:r>
        <w:t xml:space="preserve">2.1.5 Алгоритм формирования плана размещения</w:t>
      </w:r>
      <w:bookmarkEnd w:id="197"/>
    </w:p>
    <w:p>
      <w:pPr>
        <w:pStyle w:val="FirstParagraph"/>
      </w:pPr>
      <w:r>
        <w:t xml:space="preserve">Алгоритм решает задачу 2.4 – 2.6 жадным выбором после проверки актуальности данных и пригодности модели по правилам разделов 2.1.3 и 2.1.4 пояснительной записки.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 поэтому действия плана связаны зависимостями.</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проверки выигрыша, бюджета и места в COLD: отклонённый набор в план не добавляется, и перебор продолжается, пока есть кандидаты и бюджет.</w:t>
      </w:r>
    </w:p>
    <w:bookmarkEnd w:id="69"/>
    <w:bookmarkStart w:id="70" w:name="объяснение-рекомендаций"/>
    <w:p>
      <w:pPr>
        <w:pStyle w:val="30"/>
      </w:pPr>
      <w:bookmarkStart w:id="198" w:name="GOSTHeading198"/>
      <w:r>
        <w:t xml:space="preserve">2.1.6 Объяснение рекомендаций</w:t>
      </w:r>
      <w:bookmarkEnd w:id="198"/>
    </w:p>
    <w:p>
      <w:pPr>
        <w:pStyle w:val="FirstParagraph"/>
      </w:pPr>
      <w:r>
        <w:t xml:space="preserve">Объяснение нужно администратору как лицу, принимающему решение (далее ЛПР), для решения по плану в пределах функционального требования F-07. Оно строится из величин планировщика и включает три группы сведений: действие и прогноз (объект и версия, исходный и целевой классы, время расчёта, горизонт, версия модели,</w:t>
      </w:r>
      <w:r>
        <w:t xml:space="preserve"> </w:t>
      </w:r>
      <m:oMath>
        <m:sSub>
          <m:e>
            <m:r>
              <m:t>p</m:t>
            </m:r>
          </m:e>
          <m:sub>
            <m:r>
              <m:t>i</m:t>
            </m:r>
          </m:sub>
        </m:sSub>
      </m:oMath>
      <w:r>
        <w:t xml:space="preserve">,</w:t>
      </w:r>
      <w:r>
        <w:t xml:space="preserve"> </w:t>
      </w:r>
      <m:oMath>
        <m:sSub>
          <m:e>
            <m:r>
              <m:t>m</m:t>
            </m:r>
          </m:e>
          <m:sub>
            <m:r>
              <m:t>i</m:t>
            </m:r>
          </m:sub>
        </m:sSub>
      </m:oMath>
      <w:r>
        <w:t xml:space="preserve">,</w:t>
      </w:r>
      <w:r>
        <w:t xml:space="preserve"> </w:t>
      </w:r>
      <m:oMath>
        <m:sSub>
          <m:e>
            <m:acc>
              <m:accPr>
                <m:chr m:val="̂"/>
              </m:accPr>
              <m:e>
                <m:r>
                  <m:t>N</m:t>
                </m:r>
              </m:e>
            </m:acc>
          </m:e>
          <m:sub>
            <m:r>
              <m:t>i</m:t>
            </m:r>
          </m:sub>
        </m:sSub>
      </m:oMath>
      <w:r>
        <w:t xml:space="preserve"> </w:t>
      </w:r>
      <w:r>
        <w:t xml:space="preserve">и оценка EWMA для сравнения с простой оценкой), ожидаемый эффект и основания (расчётное изменение суммарной задержки за горизонт, давность, частоты по окнам и динамика с процентилем в каталоге), ресурсы и зависимости (занятость класса до и после переноса, объём копирования, остаток бюджета, зависимости, запреты и минимальный интервал переноса).</w:t>
      </w:r>
    </w:p>
    <w:p>
      <w:pPr>
        <w:pStyle w:val="a2"/>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 Поэтому часть плана подтверждается только вместе с действиями, от которых она зависит.</w:t>
      </w:r>
    </w:p>
    <w:bookmarkEnd w:id="70"/>
    <w:bookmarkStart w:id="71" w:name="протокол-безопасного-переноса"/>
    <w:p>
      <w:pPr>
        <w:pStyle w:val="30"/>
      </w:pPr>
      <w:bookmarkStart w:id="199" w:name="GOSTHeading199"/>
      <w:r>
        <w:t xml:space="preserve">2.1.7 Протокол безопасного переноса</w:t>
      </w:r>
      <w:bookmarkEnd w:id="199"/>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2"/>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2"/>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2"/>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2"/>
        </w:numPr>
        <w:tabs>
          <w:tab w:val="num" w:pos="1276"/>
        </w:tabs>
        <w:spacing w:before="0" w:after="0" w:line="360" w:lineRule="auto"/>
        <w:ind w:left="1276" w:hanging="567"/>
      </w:pPr>
      <w:r>
        <w:t xml:space="preserve">Источник удаляется после паузы, превышающей предельное время чтения в шлюзе.</w:t>
      </w:r>
    </w:p>
    <w:p>
      <w:pPr>
        <w:pStyle w:val="FirstParagraph"/>
      </w:pPr>
      <w:r>
        <w:t xml:space="preserve">Поколение записи показывает, менялось ли расположение после проверки, а пауза позволяет завершиться чтениям, начатым по прежнему расположению. Перед действием исполнитель повторно проверяет версию, поколение, запреты, ресурсы и бюджет, резервирует место записью временной копии и сверяет размер и MD5 копии с источником, а не с ETag, который при составной загрузке не является суммой объекта [42].</w:t>
      </w:r>
    </w:p>
    <w:p>
      <w:pPr>
        <w:pStyle w:val="a2"/>
      </w:pPr>
      <w:r>
        <w:t xml:space="preserve">Состояния миграции показаны на Рисунке А.1 в Приложении А в нотации диаграммы состояний унифицированного языка моделирования (англ. Unified Modeling Language, далее UML) [43].</w:t>
      </w:r>
    </w:p>
    <w:p>
      <w:pPr>
        <w:pStyle w:val="a2"/>
      </w:pPr>
      <w:r>
        <w:t xml:space="preserve">Основной путь ведёт от состояния «Подтверждено» через «Ожидает зависимости», «Проверено», «Перенос до переключения», «Переключение расположения (CAS)» и «Ожидание очистки источника» к состоянию «Завершено». Отмена переводит действие в состояние «Отменено администратором» только до проверки исполнителем, а пауза прекращает выдачу новых действий, не прерывая начатые. Границей отказов служит успешный CAS: до него ошибка, несовпадение копии или конфликт CAS ведут в состояние «Ошибка до переключения» и далее в состояние «Не выполнено» при прежнем расположении, а после него завершается очистка источника. Повтор команды не создаёт новой миграции, а после перезапуска исполнитель по поколению записи определяет, было ли переключение, и продолжает перенос с нужного шага.</w:t>
      </w:r>
    </w:p>
    <w:bookmarkEnd w:id="71"/>
    <w:bookmarkEnd w:id="72"/>
    <w:bookmarkStart w:id="85" w:name="модели-процессов"/>
    <w:p>
      <w:pPr>
        <w:pStyle w:val="21"/>
      </w:pPr>
      <w:bookmarkStart w:id="200" w:name="GOSTHeading200"/>
      <w:r>
        <w:t xml:space="preserve">2.2 Модели процессов</w:t>
      </w:r>
      <w:bookmarkEnd w:id="200"/>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с дорожками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77" w:name="исходный-процесс-управления-размещением"/>
    <w:p>
      <w:pPr>
        <w:pStyle w:val="30"/>
      </w:pPr>
      <w:bookmarkStart w:id="201" w:name="GOSTHeading201"/>
      <w:r>
        <w:t xml:space="preserve">2.2.1 Исходный процесс управления размещением</w:t>
      </w:r>
      <w:bookmarkEnd w:id="201"/>
    </w:p>
    <w:p>
      <w:pPr>
        <w:pStyle w:val="FirstParagraph"/>
        <w:keepNext w:val="1"/>
      </w:pPr>
      <w:r>
        <w:t xml:space="preserve">AS-IS описывает рассматриваемый в разделе 1.1.5 пояснительной записки сценарий управления размещением, а не измеренную эксплуатацию конкретной организации. Класс объекта выбирает администратор по журналам обращений, наподобие журналов серверного доступа Amazon S3 [28]: он выгружает журналы, оценивает спрос, выбирает объекты, запускает копирование и вручную проверяет результат. Независимо от него статическое правило по возрасту, аналогичное Lifecycle [8], по таймеру переводит старые объекты в COLD. Модель приведена на Рисунке 2.3.</w:t>
      </w:r>
    </w:p>
    <w:bookmarkStart w:id="76" w:name="gost-fig:bpmn_asis"/>
    <w:p>
      <w:pPr>
        <w:pStyle w:val="CaptionedFigure"/>
        <w:keepNext w:val="1"/>
      </w:pPr>
      <w:r>
        <w:drawing>
          <wp:inline>
            <wp:extent cx="5010607" cy="6300000"/>
            <wp:effectExtent b="0" l="0" r="0" t="0"/>
            <wp:docPr descr="Модель исходного процесса управления размещением AS-IS" title="" id="74" name="Picture"/>
            <a:graphic>
              <a:graphicData uri="http://schemas.openxmlformats.org/drawingml/2006/picture">
                <pic:pic>
                  <pic:nvPicPr>
                    <pic:cNvPr descr="images/bpmn_asis.png" id="75" name="Picture"/>
                    <pic:cNvPicPr>
                      <a:picLocks noChangeArrowheads="1" noChangeAspect="1"/>
                    </pic:cNvPicPr>
                  </pic:nvPicPr>
                  <pic:blipFill>
                    <a:blip r:embed="rId73"/>
                    <a:stretch>
                      <a:fillRect/>
                    </a:stretch>
                  </pic:blipFill>
                  <pic:spPr bwMode="auto">
                    <a:xfrm>
                      <a:off x="0" y="0"/>
                      <a:ext cx="5010607" cy="6300000"/>
                    </a:xfrm>
                    <a:prstGeom prst="rect">
                      <a:avLst/>
                    </a:prstGeom>
                    <a:noFill/>
                    <a:ln w="9525">
                      <a:noFill/>
                      <a:headEnd/>
                      <a:tailEnd/>
                    </a:ln>
                  </pic:spPr>
                </pic:pic>
              </a:graphicData>
            </a:graphic>
          </wp:inline>
        </w:drawing>
      </w:r>
    </w:p>
    <w:p>
      <w:pPr>
        <w:pStyle w:val="ImageCaption"/>
      </w:pPr>
      <w:r>
        <w:t xml:space="preserve">Рисунок 2.3 — Модель исходного процесса управления размещением AS-IS</w:t>
      </w:r>
    </w:p>
    <w:bookmarkEnd w:id="76"/>
    <w:p>
      <w:pPr>
        <w:pStyle w:val="a2"/>
      </w:pPr>
      <w:r>
        <w:t xml:space="preserve">Ручная работа сосредоточена на дорожке администратора: цветом выделены ожидание предупреждения, выгрузка журналов, оценка спроса, выбор объектов и проверка результата. Хранилище меняет расположение только по команде администратора, а правило по возрасту работает отдельной ветвью и спрос не учитывает. Поэтому процесс реагирует на уже возникшую проблему, не возвращает востребованные объекты и не проверяет версию и копию.</w:t>
      </w:r>
    </w:p>
    <w:bookmarkEnd w:id="77"/>
    <w:bookmarkStart w:id="82" w:name="проектируемый-процесс"/>
    <w:p>
      <w:pPr>
        <w:pStyle w:val="30"/>
      </w:pPr>
      <w:bookmarkStart w:id="202" w:name="GOSTHeading202"/>
      <w:r>
        <w:t xml:space="preserve">2.2.2 Проектируемый процесс</w:t>
      </w:r>
      <w:bookmarkEnd w:id="202"/>
    </w:p>
    <w:p>
      <w:pPr>
        <w:pStyle w:val="FirstParagraph"/>
        <w:keepNext w:val="1"/>
      </w:pPr>
      <w:r>
        <w:t xml:space="preserve">Модель TO-BE на Рисунке 2.4 показывает цикл планирования, в котором СППР готовит план, администратор принимает решение, а исполнитель применяет подтверждённые действия. Отмена, пауза и отказы выполняются по протоколу раздела 2.1.7 пояснительной записки и на рисунке не показаны.</w:t>
      </w:r>
    </w:p>
    <w:bookmarkStart w:id="81" w:name="gost-fig:bpmn_tobe"/>
    <w:p>
      <w:pPr>
        <w:pStyle w:val="CaptionedFigure"/>
        <w:keepNext w:val="1"/>
      </w:pPr>
      <w:r>
        <w:drawing>
          <wp:inline>
            <wp:extent cx="4499676" cy="6300000"/>
            <wp:effectExtent b="0" l="0" r="0" t="0"/>
            <wp:docPr descr="Модель проектируемого процесса управления размещением TO-BE" title="" id="79" name="Picture"/>
            <a:graphic>
              <a:graphicData uri="http://schemas.openxmlformats.org/drawingml/2006/picture">
                <pic:pic>
                  <pic:nvPicPr>
                    <pic:cNvPr descr="images/bpmn_tobe.png" id="80" name="Picture"/>
                    <pic:cNvPicPr>
                      <a:picLocks noChangeArrowheads="1" noChangeAspect="1"/>
                    </pic:cNvPicPr>
                  </pic:nvPicPr>
                  <pic:blipFill>
                    <a:blip r:embed="rId78"/>
                    <a:stretch>
                      <a:fillRect/>
                    </a:stretch>
                  </pic:blipFill>
                  <pic:spPr bwMode="auto">
                    <a:xfrm>
                      <a:off x="0" y="0"/>
                      <a:ext cx="4499676" cy="6300000"/>
                    </a:xfrm>
                    <a:prstGeom prst="rect">
                      <a:avLst/>
                    </a:prstGeom>
                    <a:noFill/>
                    <a:ln w="9525">
                      <a:noFill/>
                      <a:headEnd/>
                      <a:tailEnd/>
                    </a:ln>
                  </pic:spPr>
                </pic:pic>
              </a:graphicData>
            </a:graphic>
          </wp:inline>
        </w:drawing>
      </w:r>
    </w:p>
    <w:p>
      <w:pPr>
        <w:pStyle w:val="ImageCaption"/>
      </w:pPr>
      <w:r>
        <w:t xml:space="preserve">Рисунок 2.4 — Модель проектируемого процесса управления размещением TO-BE</w:t>
      </w:r>
    </w:p>
    <w:bookmarkEnd w:id="81"/>
    <w:p>
      <w:pPr>
        <w:pStyle w:val="Compact"/>
        <w:numPr>
          <w:ilvl w:val="0"/>
          <w:numId w:val="1003"/>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3"/>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или, при её непригодности, базовой политикой EWMA и формирует план с объяснениями с учётом ограничений и запретов администратора.</w:t>
      </w:r>
    </w:p>
    <w:p>
      <w:pPr>
        <w:pStyle w:val="Compact"/>
        <w:numPr>
          <w:ilvl w:val="0"/>
          <w:numId w:val="1003"/>
        </w:numPr>
        <w:tabs>
          <w:tab w:val="num" w:pos="1276"/>
        </w:tabs>
        <w:spacing w:before="0" w:after="0" w:line="360" w:lineRule="auto"/>
        <w:ind w:left="1276" w:hanging="567"/>
      </w:pPr>
      <w:r>
        <w:t xml:space="preserve">Администратор решает, применять ли план: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3"/>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3"/>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версия переносится по протоколу раздела 2.1.7 пояснительной записки и читается из целевого класса.</w:t>
      </w:r>
    </w:p>
    <w:p>
      <w:pPr>
        <w:pStyle w:val="Compact"/>
        <w:numPr>
          <w:ilvl w:val="0"/>
          <w:numId w:val="1003"/>
        </w:numPr>
        <w:tabs>
          <w:tab w:val="num" w:pos="1276"/>
        </w:tabs>
        <w:spacing w:before="0" w:after="0" w:line="360" w:lineRule="auto"/>
        <w:ind w:left="1276" w:hanging="567"/>
      </w:pPr>
      <w:r>
        <w:t xml:space="preserve">Администратор просматривает результат.</w:t>
      </w:r>
    </w:p>
    <w:bookmarkEnd w:id="82"/>
    <w:bookmarkStart w:id="84" w:name="сравнение-процессов"/>
    <w:p>
      <w:pPr>
        <w:pStyle w:val="30"/>
      </w:pPr>
      <w:bookmarkStart w:id="203" w:name="GOSTHeading203"/>
      <w:r>
        <w:t xml:space="preserve">2.2.3 Сравнение процессов</w:t>
      </w:r>
      <w:bookmarkEnd w:id="203"/>
    </w:p>
    <w:p>
      <w:pPr>
        <w:pStyle w:val="FirstParagraph"/>
      </w:pPr>
      <w:r>
        <w:t xml:space="preserve">Изменения сведены в Таблице 2.3. Процессы не измерялись, поэтому сравнение качественное.</w:t>
      </w:r>
    </w:p>
    <w:bookmarkStart w:id="83" w:name="gost-tbl:process_compare"/>
    <w:p>
      <w:pPr>
        <w:pStyle w:val="TableCaption"/>
      </w:pPr>
      <w:r>
        <w:t xml:space="preserve">Таблица 2.3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равнение исходного и проектируемого процессов"/>
      </w:tblPr>
      <w:tblGrid>
        <w:gridCol w:w="2465"/>
        <w:gridCol w:w="3447"/>
        <w:gridCol w:w="3726"/>
      </w:tblGrid>
      <w:tr>
        <w:trPr>
          <w:tblHeader w:val="on"/>
          <w:cantSplit/>
        </w:trPr>
        <w:tc>
          <w:tcPr>
            <w:tcW w:w="2465"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447"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3726"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плану</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По протоколу безопасного переноса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w:t>
            </w:r>
          </w:p>
        </w:tc>
      </w:tr>
    </w:tbl>
    <w:bookmarkEnd w:id="83"/>
    <w:p>
      <w:pPr>
        <w:pStyle w:val="a2"/>
        <w:spacing w:before="120"/>
      </w:pPr>
      <w:r>
        <w:t xml:space="preserve">Системе передаются выгрузка журналов, оценка спроса и проверка копий, а у администратора остаются ограничения, решение и контроль результата. Добавляется ожидание подтверждения, и его влияние учитывается в эксперименте.</w:t>
      </w:r>
    </w:p>
    <w:bookmarkEnd w:id="84"/>
    <w:bookmarkEnd w:id="85"/>
    <w:bookmarkStart w:id="97" w:name="архитектура-системы"/>
    <w:p>
      <w:pPr>
        <w:pStyle w:val="21"/>
      </w:pPr>
      <w:bookmarkStart w:id="204" w:name="GOSTHeading204"/>
      <w:r>
        <w:t xml:space="preserve">2.3 Архитектура системы</w:t>
      </w:r>
      <w:bookmarkEnd w:id="204"/>
    </w:p>
    <w:p>
      <w:pPr>
        <w:pStyle w:val="FirstParagraph"/>
      </w:pPr>
      <w:r>
        <w:t xml:space="preserve">Расчёт рекомендаций отделяется от клиентского чтения, а переносы выполняет отдельный процесс. Подраздел определяет ответственность компонентов OpenS3 и СППР, хранение их данных и согласование состояния с Metadata.</w:t>
      </w:r>
    </w:p>
    <w:bookmarkStart w:id="86" w:name="изменения-компонентов-opens3"/>
    <w:p>
      <w:pPr>
        <w:pStyle w:val="30"/>
      </w:pPr>
      <w:bookmarkStart w:id="205" w:name="GOSTHeading205"/>
      <w:r>
        <w:t xml:space="preserve">2.3.1 Изменения компонентов OpenS3</w:t>
      </w:r>
      <w:bookmarkEnd w:id="205"/>
    </w:p>
    <w:p>
      <w:pPr>
        <w:pStyle w:val="FirstParagraph"/>
      </w:pPr>
      <w:r>
        <w:t xml:space="preserve">Для СППР в рассмотренной версии OpenS3 [7] изменяются три компонента.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86"/>
    <w:bookmarkStart w:id="91" w:name="компонентная-модель"/>
    <w:p>
      <w:pPr>
        <w:pStyle w:val="30"/>
      </w:pPr>
      <w:bookmarkStart w:id="206" w:name="GOSTHeading206"/>
      <w:r>
        <w:t xml:space="preserve">2.3.2 Компонентная модель</w:t>
      </w:r>
      <w:bookmarkEnd w:id="206"/>
    </w:p>
    <w:p>
      <w:pPr>
        <w:pStyle w:val="FirstParagraph"/>
        <w:keepNext w:val="1"/>
      </w:pPr>
      <w:r>
        <w:t xml:space="preserve">Компоненты СППР выведены из модели TO-BE: Ingestor, Feature Builder, Predictor и Planner с Explainer рассчитывают план, Admin API с веб-интерфейсом принимает решения ЛПР, Model Manager запускает Trainer и ведёт реестр моделей, Migration Executor применяет подтверждённые действия. Компоненты показаны на Рисунке 2.5 в нотации диаграммы компонентов UML [43]: пунктирная рамка выделяет OpenS3, сплошная — СППР.</w:t>
      </w:r>
    </w:p>
    <w:bookmarkStart w:id="90" w:name="gost-fig:components"/>
    <w:p>
      <w:pPr>
        <w:pStyle w:val="CaptionedFigure"/>
        <w:keepNext w:val="1"/>
      </w:pPr>
      <w:r>
        <w:drawing>
          <wp:inline>
            <wp:extent cx="5608742" cy="6300000"/>
            <wp:effectExtent b="0" l="0" r="0" t="0"/>
            <wp:docPr descr="Диаграмма компонентов системы" title="" id="88" name="Picture"/>
            <a:graphic>
              <a:graphicData uri="http://schemas.openxmlformats.org/drawingml/2006/picture">
                <pic:pic>
                  <pic:nvPicPr>
                    <pic:cNvPr descr="images/components.png" id="89" name="Picture"/>
                    <pic:cNvPicPr>
                      <a:picLocks noChangeArrowheads="1" noChangeAspect="1"/>
                    </pic:cNvPicPr>
                  </pic:nvPicPr>
                  <pic:blipFill>
                    <a:blip r:embed="rId87"/>
                    <a:stretch>
                      <a:fillRect/>
                    </a:stretch>
                  </pic:blipFill>
                  <pic:spPr bwMode="auto">
                    <a:xfrm>
                      <a:off x="0" y="0"/>
                      <a:ext cx="5608742" cy="6300000"/>
                    </a:xfrm>
                    <a:prstGeom prst="rect">
                      <a:avLst/>
                    </a:prstGeom>
                    <a:noFill/>
                    <a:ln w="9525">
                      <a:noFill/>
                      <a:headEnd/>
                      <a:tailEnd/>
                    </a:ln>
                  </pic:spPr>
                </pic:pic>
              </a:graphicData>
            </a:graphic>
          </wp:inline>
        </w:drawing>
      </w:r>
    </w:p>
    <w:p>
      <w:pPr>
        <w:pStyle w:val="ImageCaption"/>
      </w:pPr>
      <w:r>
        <w:t xml:space="preserve">Рисунок 2.5 — Диаграмма компонентов системы</w:t>
      </w:r>
    </w:p>
    <w:bookmarkEnd w:id="90"/>
    <w:p>
      <w:pPr>
        <w:pStyle w:val="a2"/>
      </w:pPr>
      <w:r>
        <w:t xml:space="preserve">Схема отражает три решения. Во-первых, сервис СППР находится вне синхронного пути чтения: клиентское чтение проходит через Gateway, Metadata и Storage, а события попадают в Ingestor асинхронно через Kafka. Во-вторых, подтверждённые команды сохраняются до исполнения: Admin API проверяет права через Auth и AuthZ и записывает команды в базу СППР, откуда их забирает Migration Executor. В-третьих,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общей квоте вычислительных ресурсов из раздела 1.3.5 пояснительной записки, поэтому влияние обучения на чтения входит в измерения.</w:t>
      </w:r>
    </w:p>
    <w:bookmarkEnd w:id="91"/>
    <w:bookmarkStart w:id="92" w:name="модель-данных"/>
    <w:p>
      <w:pPr>
        <w:pStyle w:val="30"/>
      </w:pPr>
      <w:bookmarkStart w:id="207" w:name="GOSTHeading207"/>
      <w:r>
        <w:t xml:space="preserve">2.3.3 Модель данных</w:t>
      </w:r>
      <w:bookmarkEnd w:id="207"/>
    </w:p>
    <w:p>
      <w:pPr>
        <w:pStyle w:val="FirstParagraph"/>
      </w:pPr>
      <w:r>
        <w:t xml:space="preserve">Структура хранимых данных показана на Рисунке Б.1 в Приложении Б: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таблицы относятся к базе СППР.</w:t>
      </w:r>
    </w:p>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ссылки на версию и поколение, поэтому расхождения выявляет повторная проверка перед переносом. Таким образом, Metadata хранит то, что нужно для клиентского чтения, а база СППР — данные для расчёта и контроля рекомендаций, в которых команды и миграции образуют журнал.</w:t>
      </w:r>
    </w:p>
    <w:bookmarkEnd w:id="92"/>
    <w:bookmarkStart w:id="94" w:name="анализ-архитектуры"/>
    <w:p>
      <w:pPr>
        <w:pStyle w:val="30"/>
      </w:pPr>
      <w:bookmarkStart w:id="208" w:name="GOSTHeading208"/>
      <w:r>
        <w:t xml:space="preserve">2.3.4 Анализ архитектуры</w:t>
      </w:r>
      <w:bookmarkEnd w:id="208"/>
    </w:p>
    <w:p>
      <w:pPr>
        <w:pStyle w:val="FirstParagraph"/>
      </w:pPr>
      <w:r>
        <w:t xml:space="preserve">Узкие места, точки отказа и принятые решения сведены в Таблице 2.4.</w:t>
      </w:r>
    </w:p>
    <w:bookmarkStart w:id="93" w:name="gost-tbl:arch_analysis"/>
    <w:p>
      <w:pPr>
        <w:pStyle w:val="TableCaption"/>
      </w:pPr>
      <w:r>
        <w:t xml:space="preserve">Таблица 2.4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93"/>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94"/>
    <w:bookmarkStart w:id="96" w:name="соответствие-требованиям"/>
    <w:p>
      <w:pPr>
        <w:pStyle w:val="30"/>
      </w:pPr>
      <w:bookmarkStart w:id="209" w:name="GOSTHeading209"/>
      <w:r>
        <w:t xml:space="preserve">2.3.5 Соответствие требованиям</w:t>
      </w:r>
      <w:bookmarkEnd w:id="209"/>
    </w:p>
    <w:p>
      <w:pPr>
        <w:pStyle w:val="FirstParagraph"/>
      </w:pPr>
      <w:r>
        <w:t xml:space="preserve">Связь функциональных требований раздела 1.3.2 пояснительной записки с проектом приведена в Таблице 2.5.</w:t>
      </w:r>
    </w:p>
    <w:bookmarkStart w:id="95" w:name="gost-tbl:traceability"/>
    <w:p>
      <w:pPr>
        <w:pStyle w:val="TableCaption"/>
      </w:pPr>
      <w:r>
        <w:t xml:space="preserve">Таблица 2.5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Соответствие требований проектным решениям"/>
      </w:tblPr>
      <w:tblGrid>
        <w:gridCol w:w="1698"/>
        <w:gridCol w:w="794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794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 и проектное решение</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 события с номерами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Metadata: классы, расположение, занятость с копиями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 окна до</w:t>
            </w:r>
            <w:r>
              <w:rPr>
                <w:sz w:val="24"/>
                <w:szCs w:val="24"/>
              </w:rPr>
              <w:t xml:space="preserve"> </w:t>
            </w:r>
            <m:oMath>
              <m:r>
                <m:t>T</m:t>
              </m:r>
            </m:oMath>
            <w:r>
              <w:rPr>
                <w:sz w:val="24"/>
                <w:szCs w:val="24"/>
              </w:rPr>
              <w:t xml:space="preserve">, контроль пропусков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 проверки ввода и сохранение модели (раздел 2.1.4)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Planner: задача 2.4 – 2.6 и жадный алгоритм (Рисунок 2.2)</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Explainer: объяснение из величин планировщика (раздел 2.1.6)</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 ревизии плана, отмена и пауза (Рисунок 2.4)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 повторная проверка, проверка копии до CAS, сохранение состояния (Рисунок А.1)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 журнал рекомендаций, команд и миграций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 базовые политики с тем же планировщиком (раздел 2.1.2)</w:t>
            </w:r>
          </w:p>
        </w:tc>
      </w:tr>
    </w:tbl>
    <w:bookmarkEnd w:id="95"/>
    <w:p>
      <w:pPr>
        <w:pStyle w:val="a2"/>
        <w:spacing w:before="120"/>
      </w:pPr>
      <w:r>
        <w:t xml:space="preserve">Путь событий и признаков обеспечивают Gateway, Ingestor и Feature Builder, расчёт плана — Predictor, Planner и Explainer, управление и перенос — Admin API, Migration Executor и Metadata. Выполнение требований предстоит подтвердить реализацией и испытаниями.</w:t>
      </w:r>
    </w:p>
    <w:bookmarkEnd w:id="96"/>
    <w:bookmarkEnd w:id="97"/>
    <w:bookmarkStart w:id="98" w:name="обоснование-инструментов-реализации"/>
    <w:p>
      <w:pPr>
        <w:pStyle w:val="21"/>
      </w:pPr>
      <w:bookmarkStart w:id="210" w:name="GOSTHeading210"/>
      <w:r>
        <w:t xml:space="preserve">2.4 Обоснование инструментов реализации</w:t>
      </w:r>
      <w:bookmarkEnd w:id="210"/>
    </w:p>
    <w:p>
      <w:pPr>
        <w:pStyle w:val="FirstParagraph"/>
      </w:pPr>
      <w:r>
        <w:t xml:space="preserve">Инструменты выбраны под модель, архитектуру и совместимость с OpenS3, сервисы которого написаны на Go и общаются по gRPC [7], поэтому сервис СППР и исполнитель разрабатываются на Go с общими клиентами gRPC. Модель обучается на процессоре на Python с библиотекой LightGBM, которая поддерживает логистическую и пуассоновскую функции потерь [32] и строит деревья по гистограммам, что уменьшает время и память обучения [45], а применяется в сервисе СППР через библиотеку leaves, читающую модели LightGBM на Go [46]. Для данных СППР и потока событий используются уже развёрнутые в OpenS3 PostgreSQL, транзакции которого защищают команды и миграции [47], и Kafka, отделяющая публикацию событий от обработки [35]. Применение модели на Go выбрано вместо отдельного сервиса на Python, который добавил бы сетевой вызов, и формата обмена моделями (англ. Open Neural Network Exchange, далее ONNX), требующего нативной библиотеки ONNX Runtime [48].</w:t>
      </w:r>
    </w:p>
    <w:bookmarkEnd w:id="98"/>
    <w:bookmarkStart w:id="99" w:name="выводы-по-аналитическому-разделу"/>
    <w:p>
      <w:pPr>
        <w:pStyle w:val="21"/>
      </w:pPr>
      <w:bookmarkStart w:id="211" w:name="GOSTHeading211"/>
      <w:r>
        <w:t xml:space="preserve">2.5 Выводы по аналитическому разделу</w:t>
      </w:r>
      <w:bookmarkEnd w:id="211"/>
    </w:p>
    <w:p>
      <w:pPr>
        <w:pStyle w:val="FirstParagraph"/>
      </w:pPr>
      <w:r>
        <w:t xml:space="preserve">Задача размещения сведена к варианту задачи о ранце: прогноз двухэтапной модели преобразуется в ожидаемое уменьшение задержки, а план учитывает ёмкость классов, бюджет копирования, закрепления и зависимости действий.</w:t>
      </w:r>
    </w:p>
    <w:p>
      <w:pPr>
        <w:pStyle w:val="a2"/>
      </w:pPr>
      <w:r>
        <w:t xml:space="preserve">Спроектированы сервис СППР рядом с OpenS3 и отдельный исполнитель переносов. Администратор как ЛПР решает, применять ли план, расчёт отделён от клиентского чтения очередью событий, а расположение меняется в Metadata через CAS только после проверки версии и целевой копии.</w:t>
      </w:r>
    </w:p>
    <w:p>
      <w:pPr>
        <w:pStyle w:val="a2"/>
      </w:pPr>
      <w:r>
        <w:t xml:space="preserve">Проверку определяют ограничения проекта: единственный экземпляр сервиса СППР и исполнителя, отсутствие общей транзакции двух баз, ограниченная бюджетом скорость применения плана, чтение новых версий из COLD до ближайшего плана, непредсказуемость всплесков без предвестников и грубая оценка новых объектов, линейная модель времени чтения без очередей, эвристический характер алгоритма для объектов разного размера и приостановка прогнозных действий при пропусках событий. 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99"/>
    <w:bookmarkEnd w:id="100"/>
    <w:bookmarkStart w:id="154" w:name="список-использованных-источников"/>
    <w:p>
      <w:pPr>
        <w:pStyle w:val="GOSTStructuralHeading"/>
      </w:pPr>
      <w:bookmarkStart w:id="212" w:name="GOSTHeading212"/>
      <w:r>
        <w:t xml:space="preserve">СПИСОК ИСПОЛЬЗОВАННЫХ ИСТОЧНИКОВ</w:t>
      </w:r>
      <w:bookmarkEnd w:id="212"/>
    </w:p>
    <w:p>
      <w:pPr>
        <w:pStyle w:val="Compact"/>
        <w:numPr>
          <w:ilvl w:val="0"/>
          <w:numId w:val="1004"/>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01">
        <w:r>
          <w:rPr>
            <w:rStyle w:val="af4"/>
          </w:rPr>
          <w:t xml:space="preserve">10.1145/3803857</w:t>
        </w:r>
      </w:hyperlink>
      <w:r>
        <w:t xml:space="preserve">.</w:t>
      </w:r>
    </w:p>
    <w:p>
      <w:pPr>
        <w:pStyle w:val="Compact"/>
        <w:numPr>
          <w:ilvl w:val="0"/>
          <w:numId w:val="1004"/>
        </w:numPr>
        <w:spacing w:before="0" w:after="0" w:line="360" w:lineRule="auto"/>
        <w:ind w:left="0" w:firstLine="709"/>
      </w:pPr>
      <w:r>
        <w:t xml:space="preserve">Amazon Web Services. Amazon S3 User Guide [Электронный ресурс]. URL:</w:t>
      </w:r>
      <w:r>
        <w:t xml:space="preserve"> </w:t>
      </w:r>
      <w:hyperlink r:id="rId10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0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0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4"/>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05">
        <w:r>
          <w:rPr>
            <w:rStyle w:val="af4"/>
          </w:rPr>
          <w:t xml:space="preserve">10.1016/j.comcom.2026.108437</w:t>
        </w:r>
      </w:hyperlink>
      <w:r>
        <w:t xml:space="preserve">.</w:t>
      </w:r>
    </w:p>
    <w:p>
      <w:pPr>
        <w:pStyle w:val="Compact"/>
        <w:numPr>
          <w:ilvl w:val="0"/>
          <w:numId w:val="1004"/>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06">
        <w:r>
          <w:rPr>
            <w:rStyle w:val="af4"/>
          </w:rPr>
          <w:t xml:space="preserve">10.​17586/​2226-​1494-​2023-​23-​6-​1171-​1177</w:t>
        </w:r>
      </w:hyperlink>
      <w:r>
        <w:t xml:space="preserve">.</w:t>
      </w:r>
    </w:p>
    <w:p>
      <w:pPr>
        <w:pStyle w:val="Compact"/>
        <w:numPr>
          <w:ilvl w:val="0"/>
          <w:numId w:val="1004"/>
        </w:numPr>
        <w:spacing w:before="0" w:after="0" w:line="360" w:lineRule="auto"/>
        <w:ind w:left="0" w:firstLine="709"/>
      </w:pPr>
      <w:r>
        <w:t xml:space="preserve">Amazon Web Services. Naming Amazon S3 objects [Электронный ресурс]. URL:</w:t>
      </w:r>
      <w:r>
        <w:t xml:space="preserve"> </w:t>
      </w:r>
      <w:hyperlink r:id="rId10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0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0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Transitioning objects using Amazon S3 Lifecycle [Электронный ресурс]. URL:</w:t>
      </w:r>
      <w:r>
        <w:t xml:space="preserve"> </w:t>
      </w:r>
      <w:hyperlink r:id="rId11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11">
        <w:r>
          <w:rPr>
            <w:rStyle w:val="af4"/>
          </w:rPr>
          <w:t xml:space="preserve">https://​docs.​ceph.​com/​en/​squid/​radosgw/​placement/​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12">
        <w:r>
          <w:rPr>
            <w:rStyle w:val="af4"/>
          </w:rPr>
          <w:t xml:space="preserve">https://​docs.​ceph.​com/​en/​squid/​rados/​operations/​crush-​map-​edits/​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Lifecycle Management. AIStor Documentation [Электронный ресурс]. URL:</w:t>
      </w:r>
      <w:r>
        <w:t xml:space="preserve"> </w:t>
      </w:r>
      <w:hyperlink r:id="rId11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Tiering. AIStor Documentation [Электронный ресурс]. URL:</w:t>
      </w:r>
      <w:r>
        <w:t xml:space="preserve"> </w:t>
      </w:r>
      <w:hyperlink r:id="rId11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GetObject. Amazon S3 API Reference [Электронный ресурс]. URL:</w:t>
      </w:r>
      <w:r>
        <w:t xml:space="preserve"> </w:t>
      </w:r>
      <w:hyperlink r:id="rId115">
        <w:r>
          <w:rPr>
            <w:rStyle w:val="af4"/>
          </w:rPr>
          <w:t xml:space="preserve">https://​docs.​aws.​amazon.​com/​AmazonS3/​latest/​API/​API_​GetObject.​html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server access log format [Электронный ресурс]. URL:</w:t>
      </w:r>
      <w:r>
        <w:t xml:space="preserve"> </w:t>
      </w:r>
      <w:hyperlink r:id="rId11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17">
        <w:r>
          <w:rPr>
            <w:rStyle w:val="af4"/>
          </w:rPr>
          <w:t xml:space="preserve">https://​arxiv.​org/​abs/​2305.​14818</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18">
        <w:r>
          <w:rPr>
            <w:rStyle w:val="af4"/>
          </w:rPr>
          <w:t xml:space="preserve">https://​www.​usenix.​org/​conference/​fast24/​presentation/​wong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pricing [Электронный ресурс]. URL:</w:t>
      </w:r>
      <w:r>
        <w:t xml:space="preserve"> </w:t>
      </w:r>
      <w:hyperlink r:id="rId119">
        <w:r>
          <w:rPr>
            <w:rStyle w:val="af4"/>
          </w:rPr>
          <w:t xml:space="preserve">https://​aws.​amazon.​com/​s3/​pricing/​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20">
        <w:r>
          <w:rPr>
            <w:rStyle w:val="af4"/>
          </w:rPr>
          <w:t xml:space="preserve">https://​docs.​aws.​amazon.​com/​AmazonS3/​latest/​userguide/​Welcome.​html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2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2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4"/>
        </w:numPr>
        <w:spacing w:before="0" w:after="0" w:line="360" w:lineRule="auto"/>
        <w:ind w:left="0" w:firstLine="709"/>
      </w:pPr>
      <w:r>
        <w:t xml:space="preserve">CacheMon. Open-source Cache Dataset. Раздел Meta CDN request traces [Электронный ресурс]. URL:</w:t>
      </w:r>
      <w:r>
        <w:t xml:space="preserve"> </w:t>
      </w:r>
      <w:hyperlink r:id="rId12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2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4"/>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2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2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4"/>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27">
        <w:r>
          <w:rPr>
            <w:rStyle w:val="af4"/>
          </w:rPr>
          <w:t xml:space="preserve">https://​www.​usenix.​org/​conference/​fast18/​presentation/​anwar</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28">
        <w:r>
          <w:rPr>
            <w:rStyle w:val="af4"/>
          </w:rPr>
          <w:t xml:space="preserve">https://​github.​com/​ds2-​lab/​IBM-​docker-​registry-​traces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29">
        <w:r>
          <w:rPr>
            <w:rStyle w:val="af4"/>
          </w:rPr>
          <w:t xml:space="preserve">https://www.pdl.cmu.edu/CILES/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30">
        <w:r>
          <w:rPr>
            <w:rStyle w:val="af4"/>
          </w:rPr>
          <w:t xml:space="preserve">10.14778/3357377.3357381</w:t>
        </w:r>
      </w:hyperlink>
      <w:r>
        <w:t xml:space="preserve">. URL:</w:t>
      </w:r>
      <w:r>
        <w:t xml:space="preserve"> </w:t>
      </w:r>
      <w:hyperlink r:id="rId131">
        <w:r>
          <w:rPr>
            <w:rStyle w:val="af4"/>
          </w:rPr>
          <w:t xml:space="preserve">https://​www.​vldb.​org/​pvldb/​vol13/​p43-​herodotou.​pdf</w:t>
        </w:r>
      </w:hyperlink>
      <w:r>
        <w:t xml:space="preserve"> </w:t>
      </w:r>
      <w:r>
        <w:t xml:space="preserve">(дата обращения: 04.10.2026).</w:t>
      </w:r>
    </w:p>
    <w:p>
      <w:pPr>
        <w:pStyle w:val="Compact"/>
        <w:numPr>
          <w:ilvl w:val="0"/>
          <w:numId w:val="1004"/>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32">
        <w:r>
          <w:rPr>
            <w:rStyle w:val="af4"/>
          </w:rPr>
          <w:t xml:space="preserve">10.​1109/​FiCloud66139.​2025.​00024</w:t>
        </w:r>
      </w:hyperlink>
      <w:r>
        <w:t xml:space="preserve">.</w:t>
      </w:r>
    </w:p>
    <w:p>
      <w:pPr>
        <w:pStyle w:val="Compact"/>
        <w:numPr>
          <w:ilvl w:val="0"/>
          <w:numId w:val="1004"/>
        </w:numPr>
        <w:spacing w:before="0" w:after="0" w:line="360" w:lineRule="auto"/>
        <w:ind w:left="0" w:firstLine="709"/>
      </w:pPr>
      <w:r>
        <w:t xml:space="preserve">Ceph. Rados Gateway Data Layout. Документация версии Squid [Электронный ресурс]. URL:</w:t>
      </w:r>
      <w:r>
        <w:t xml:space="preserve"> </w:t>
      </w:r>
      <w:hyperlink r:id="rId133">
        <w:r>
          <w:rPr>
            <w:rStyle w:val="af4"/>
          </w:rPr>
          <w:t xml:space="preserve">https://​docs.​ceph.​com/​en/​squid/​radosgw/​layout/​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Logging requests with server access logging [Электронный ресурс]. URL:</w:t>
      </w:r>
      <w:r>
        <w:t xml:space="preserve"> </w:t>
      </w:r>
      <w:hyperlink r:id="rId13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Kellerer H., Pferschy U., Pisinger D. Knapsack Problems. Berlin; Heidelberg: Springer, 2004. 546 p. DOI:</w:t>
      </w:r>
      <w:r>
        <w:t xml:space="preserve"> </w:t>
      </w:r>
      <w:hyperlink r:id="rId135">
        <w:r>
          <w:rPr>
            <w:rStyle w:val="af4"/>
          </w:rPr>
          <w:t xml:space="preserve">10.1007/978-3-540-24777-7</w:t>
        </w:r>
      </w:hyperlink>
      <w:r>
        <w:t xml:space="preserve">.</w:t>
      </w:r>
    </w:p>
    <w:p>
      <w:pPr>
        <w:pStyle w:val="Compact"/>
        <w:numPr>
          <w:ilvl w:val="0"/>
          <w:numId w:val="1004"/>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36">
        <w:r>
          <w:rPr>
            <w:rStyle w:val="af4"/>
          </w:rPr>
          <w:t xml:space="preserve">10.1016/0304-4076(86)90002-3</w:t>
        </w:r>
      </w:hyperlink>
      <w:r>
        <w:t xml:space="preserve">.</w:t>
      </w:r>
    </w:p>
    <w:p>
      <w:pPr>
        <w:pStyle w:val="Compact"/>
        <w:numPr>
          <w:ilvl w:val="0"/>
          <w:numId w:val="1004"/>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37">
        <w:r>
          <w:rPr>
            <w:rStyle w:val="af4"/>
          </w:rPr>
          <w:t xml:space="preserve">10.1214/aos/1013203451</w:t>
        </w:r>
      </w:hyperlink>
      <w:r>
        <w:t xml:space="preserve">.</w:t>
      </w:r>
    </w:p>
    <w:p>
      <w:pPr>
        <w:pStyle w:val="Compact"/>
        <w:numPr>
          <w:ilvl w:val="0"/>
          <w:numId w:val="1004"/>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38">
        <w:r>
          <w:rPr>
            <w:rStyle w:val="af4"/>
          </w:rPr>
          <w:t xml:space="preserve">https://​lightgbm.​readthedocs.​io/​en/​latest/​Parameters.​html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39">
        <w:r>
          <w:rPr>
            <w:rStyle w:val="af4"/>
          </w:rPr>
          <w:t xml:space="preserve">10.2307/2344614</w:t>
        </w:r>
      </w:hyperlink>
      <w:r>
        <w:t xml:space="preserve">.</w:t>
      </w:r>
    </w:p>
    <w:p>
      <w:pPr>
        <w:pStyle w:val="Compact"/>
        <w:numPr>
          <w:ilvl w:val="0"/>
          <w:numId w:val="1004"/>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40">
        <w:r>
          <w:rPr>
            <w:rStyle w:val="af4"/>
          </w:rPr>
          <w:t xml:space="preserve">https://​arxiv.​org/​abs/​2207.​08815</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41">
        <w:r>
          <w:rPr>
            <w:rStyle w:val="af4"/>
          </w:rPr>
          <w:t xml:space="preserve">https://​kafka.​apache.​org/​documentation/#​semantics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42">
        <w:r>
          <w:rPr>
            <w:rStyle w:val="af4"/>
          </w:rPr>
          <w:t xml:space="preserve">https://​scikit-​learn.​org/​stable/​common_​pitfalls.​html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Scikit-learn developers. TimeSeriesSplit [Электронный ресурс]. URL:</w:t>
      </w:r>
      <w:r>
        <w:t xml:space="preserve"> </w:t>
      </w:r>
      <w:hyperlink r:id="rId143">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44">
        <w:r>
          <w:rPr>
            <w:rStyle w:val="af4"/>
          </w:rPr>
          <w:t xml:space="preserve">10.1145/1143844.1143874</w:t>
        </w:r>
      </w:hyperlink>
      <w:r>
        <w:t xml:space="preserve">.</w:t>
      </w:r>
    </w:p>
    <w:p>
      <w:pPr>
        <w:pStyle w:val="Compact"/>
        <w:numPr>
          <w:ilvl w:val="0"/>
          <w:numId w:val="1004"/>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45">
        <w:r>
          <w:rPr>
            <w:rStyle w:val="af4"/>
          </w:rPr>
          <w:t xml:space="preserve">10.​1175/​1520-​0493(1950)078&lt;0001:VOFEIT&gt;2.​0.​CO;2</w:t>
        </w:r>
      </w:hyperlink>
      <w:r>
        <w:t xml:space="preserve">.</w:t>
      </w:r>
    </w:p>
    <w:p>
      <w:pPr>
        <w:pStyle w:val="Compact"/>
        <w:numPr>
          <w:ilvl w:val="0"/>
          <w:numId w:val="1004"/>
        </w:numPr>
        <w:spacing w:before="0" w:after="0" w:line="360" w:lineRule="auto"/>
        <w:ind w:left="0" w:firstLine="709"/>
      </w:pPr>
      <w:r>
        <w:t xml:space="preserve">Dantzig G. B. Discrete-Variable Extremum Problems // Operations Research. 1957. Vol. 5, no. 2. P. 266–288. DOI:</w:t>
      </w:r>
      <w:r>
        <w:t xml:space="preserve"> </w:t>
      </w:r>
      <w:hyperlink r:id="rId146">
        <w:r>
          <w:rPr>
            <w:rStyle w:val="af4"/>
          </w:rPr>
          <w:t xml:space="preserve">10.1287/opre.5.2.266</w:t>
        </w:r>
      </w:hyperlink>
      <w:r>
        <w:t xml:space="preserve">.</w:t>
      </w:r>
    </w:p>
    <w:p>
      <w:pPr>
        <w:pStyle w:val="Compact"/>
        <w:numPr>
          <w:ilvl w:val="0"/>
          <w:numId w:val="1004"/>
        </w:numPr>
        <w:spacing w:before="0" w:after="0" w:line="360" w:lineRule="auto"/>
        <w:ind w:left="0" w:firstLine="709"/>
      </w:pPr>
      <w:r>
        <w:t xml:space="preserve">Kleppmann M. Designing Data-Intensive Applications. Sebastopol: O’Reilly Media, 2017. 616 p.</w:t>
      </w:r>
    </w:p>
    <w:p>
      <w:pPr>
        <w:pStyle w:val="Compact"/>
        <w:numPr>
          <w:ilvl w:val="0"/>
          <w:numId w:val="1004"/>
        </w:numPr>
        <w:spacing w:before="0" w:after="0" w:line="360" w:lineRule="auto"/>
        <w:ind w:left="0" w:firstLine="709"/>
      </w:pPr>
      <w:r>
        <w:t xml:space="preserve">Amazon Web Services. Checking object integrity for data uploads in Amazon S3 [Электронный ресурс]. URL:</w:t>
      </w:r>
      <w:r>
        <w:t xml:space="preserve"> </w:t>
      </w:r>
      <w:hyperlink r:id="rId147">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48">
        <w:r>
          <w:rPr>
            <w:rStyle w:val="af4"/>
          </w:rPr>
          <w:t xml:space="preserve">https://​www.​omg.​org/​spec/​UML/​2.​5.​1/​</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49">
        <w:r>
          <w:rPr>
            <w:rStyle w:val="af4"/>
          </w:rPr>
          <w:t xml:space="preserve">https://​www.​omg.​org/​spec/​BPMN/​2.​0.​2/​</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50">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51">
        <w:r>
          <w:rPr>
            <w:rStyle w:val="af4"/>
          </w:rPr>
          <w:t xml:space="preserve">https://​github.​com/​dmitryikh/​leaves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52">
        <w:r>
          <w:rPr>
            <w:rStyle w:val="af4"/>
          </w:rPr>
          <w:t xml:space="preserve">https://​www.​postgresql.​org/​docs/​16/​mvcc.​html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53">
        <w:r>
          <w:rPr>
            <w:rStyle w:val="af4"/>
          </w:rPr>
          <w:t xml:space="preserve">https://​github.​com/​yalue/​onnxruntime_​go</w:t>
        </w:r>
      </w:hyperlink>
      <w:r>
        <w:t xml:space="preserve"> </w:t>
      </w:r>
      <w:r>
        <w:t xml:space="preserve">(дата обращения: 20.10.2026).</w:t>
      </w:r>
    </w:p>
    <w:bookmarkEnd w:id="154"/>
    <w:bookmarkStart w:id="155" w:name="приложения"/>
    <w:p>
      <w:pPr>
        <w:pStyle w:val="GOSTStructuralHeading"/>
      </w:pPr>
      <w:bookmarkStart w:id="213" w:name="GOSTHeading213"/>
      <w:r>
        <w:t xml:space="preserve">ПРИЛОЖЕНИЯ</w:t>
      </w:r>
      <w:bookmarkEnd w:id="213"/>
    </w:p>
    <w:p>
      <w:pPr>
        <w:pStyle w:val="FirstParagraph"/>
      </w:pPr>
      <w:r>
        <w:t xml:space="preserve">Приложение А — Диаграмма состояний миграции версии</w:t>
      </w:r>
    </w:p>
    <w:p>
      <w:pPr>
        <w:pStyle w:val="a2"/>
      </w:pPr>
      <w:r>
        <w:t xml:space="preserve">Приложение Б — Модель данных Metadata и СПП�</w:t>
      </w:r>
    </w:p>
    <w:bookmarkEnd w:id="155"/>
    <w:bookmarkStart w:id="160" w:name="X58d6892eb4b28b97009897612fe5c22da3991b8"/>
    <w:p>
      <w:pPr>
        <w:pStyle w:val="GOSTAppendixHeading"/>
      </w:pPr>
      <w:bookmarkStart w:id="214" w:name="GOSTHeading214"/>
      <w:r>
        <w:t xml:space="preserve">Приложение А</w:t>
      </w:r>
      <w:bookmarkEnd w:id="214"/>
    </w:p>
    <w:p>
      <w:pPr>
        <w:pStyle w:val="GOSTAppendixTitle"/>
      </w:pPr>
      <w:r>
        <w:t xml:space="preserve">Диаграмма состояний миграции версии</w:t>
      </w:r>
    </w:p>
    <w:p>
      <w:pPr>
        <w:pStyle w:val="a2"/>
        <w:keepNext w:val="1"/>
      </w:pPr>
      <w:r>
        <w:t xml:space="preserve">Приложение относится к разделу 2.1.7 пояснительной записки и показывает в нотации диаграммы состояний UML состояния миграции версии и переходы между ними (Рисунок А.1).</w:t>
      </w:r>
    </w:p>
    <w:bookmarkStart w:id="159" w:name="gost-fig:migration_states"/>
    <w:p>
      <w:pPr>
        <w:pStyle w:val="CaptionedFigure"/>
        <w:keepNext w:val="1"/>
      </w:pPr>
      <w:r>
        <w:drawing>
          <wp:inline>
            <wp:extent cx="5016675" cy="6840000"/>
            <wp:effectExtent b="0" l="0" r="0" t="0"/>
            <wp:docPr descr="Диаграмма состояний миграции версии" title="" id="157" name="Picture"/>
            <a:graphic>
              <a:graphicData uri="http://schemas.openxmlformats.org/drawingml/2006/picture">
                <pic:pic>
                  <pic:nvPicPr>
                    <pic:cNvPr descr="images/migration_states.png" id="158" name="Picture"/>
                    <pic:cNvPicPr>
                      <a:picLocks noChangeArrowheads="1" noChangeAspect="1"/>
                    </pic:cNvPicPr>
                  </pic:nvPicPr>
                  <pic:blipFill>
                    <a:blip r:embed="rId156"/>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А.1 — Диаграмма состояний миграции версии</w:t>
      </w:r>
    </w:p>
    <w:bookmarkEnd w:id="159"/>
    <w:bookmarkEnd w:id="160"/>
    <w:bookmarkStart w:id="165" w:name="Xe9b041aaa13bc2d85aa0272880cededbe3cd285"/>
    <w:p>
      <w:pPr>
        <w:pStyle w:val="GOSTAppendixHeading"/>
      </w:pPr>
      <w:bookmarkStart w:id="215" w:name="GOSTHeading215"/>
      <w:r>
        <w:t xml:space="preserve">Приложение Б</w:t>
      </w:r>
      <w:bookmarkEnd w:id="215"/>
    </w:p>
    <w:p>
      <w:pPr>
        <w:pStyle w:val="GOSTAppendixTitle"/>
      </w:pPr>
      <w:r>
        <w:t xml:space="preserve">Модель данных Metadata и СПП�</w:t>
      </w:r>
    </w:p>
    <w:p>
      <w:pPr>
        <w:pStyle w:val="a2"/>
        <w:keepNext w:val="1"/>
      </w:pPr>
      <w:r>
        <w:t xml:space="preserve">Приложение относится к разделу 2.3.3 пояснительной записки и показывает таблицы, добавляемые в Metadata, таблицы базы СППР и связи между ними (Рисунок Б.1).</w:t>
      </w:r>
    </w:p>
    <w:bookmarkStart w:id="164" w:name="gost-fig:er"/>
    <w:p>
      <w:pPr>
        <w:pStyle w:val="CaptionedFigure"/>
        <w:keepNext w:val="1"/>
      </w:pPr>
      <w:r>
        <w:drawing>
          <wp:inline>
            <wp:extent cx="4732739" cy="6840000"/>
            <wp:effectExtent b="0" l="0" r="0" t="0"/>
            <wp:docPr descr="Модель данных Metadata и СППР" title="" id="162" name="Picture"/>
            <a:graphic>
              <a:graphicData uri="http://schemas.openxmlformats.org/drawingml/2006/picture">
                <pic:pic>
                  <pic:nvPicPr>
                    <pic:cNvPr descr="images/er.png" id="163" name="Picture"/>
                    <pic:cNvPicPr>
                      <a:picLocks noChangeArrowheads="1" noChangeAspect="1"/>
                    </pic:cNvPicPr>
                  </pic:nvPicPr>
                  <pic:blipFill>
                    <a:blip r:embed="rId161"/>
                    <a:stretch>
                      <a:fillRect/>
                    </a:stretch>
                  </pic:blipFill>
                  <pic:spPr bwMode="auto">
                    <a:xfrm>
                      <a:off x="0" y="0"/>
                      <a:ext cx="4732739" cy="6840000"/>
                    </a:xfrm>
                    <a:prstGeom prst="rect">
                      <a:avLst/>
                    </a:prstGeom>
                    <a:noFill/>
                    <a:ln w="9525">
                      <a:noFill/>
                      <a:headEnd/>
                      <a:tailEnd/>
                    </a:ln>
                  </pic:spPr>
                </pic:pic>
              </a:graphicData>
            </a:graphic>
          </wp:inline>
        </w:drawing>
      </w:r>
    </w:p>
    <w:p>
      <w:pPr>
        <w:pStyle w:val="ImageCaption"/>
      </w:pPr>
      <w:r>
        <w:t xml:space="preserve">Рисунок Б.1 — Модель данных Metadata и СППР</w:t>
      </w:r>
    </w:p>
    <w:bookmarkEnd w:id="164"/>
    <w:bookmarkEnd w:id="165"/>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61" Target="media/rId161.png" /><Relationship Type="http://schemas.openxmlformats.org/officeDocument/2006/relationships/image" Id="rId57" Target="media/rId57.png" /><Relationship Type="http://schemas.openxmlformats.org/officeDocument/2006/relationships/image" Id="rId156" Target="media/rId156.png" /><Relationship Type="http://schemas.openxmlformats.org/officeDocument/2006/relationships/image" Id="rId65" Target="media/rId65.png" /><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7"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4"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5"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6"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1"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41"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50"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2" Target="https://scikit-learn.org/stable/common_pitfalls.html" TargetMode="External" /><Relationship Type="http://schemas.openxmlformats.org/officeDocument/2006/relationships/hyperlink" Id="rId143" Target="https://scikit-learn.org/stable/modules/generated/sklearn.model_selection.TimeSeriesSplit.html" TargetMode="External" /><Relationship Type="http://schemas.openxmlformats.org/officeDocument/2006/relationships/hyperlink" Id="rId149" Target="https://www.omg.org/spec/BPMN/2.0.2/" TargetMode="External" /><Relationship Type="http://schemas.openxmlformats.org/officeDocument/2006/relationships/hyperlink" Id="rId148"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2"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7"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4"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5"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6"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1"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41"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50"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2" Target="https://scikit-learn.org/stable/common_pitfalls.html" TargetMode="External" /><Relationship Type="http://schemas.openxmlformats.org/officeDocument/2006/relationships/hyperlink" Id="rId143" Target="https://scikit-learn.org/stable/modules/generated/sklearn.model_selection.TimeSeriesSplit.html" TargetMode="External" /><Relationship Type="http://schemas.openxmlformats.org/officeDocument/2006/relationships/hyperlink" Id="rId149" Target="https://www.omg.org/spec/BPMN/2.0.2/" TargetMode="External" /><Relationship Type="http://schemas.openxmlformats.org/officeDocument/2006/relationships/hyperlink" Id="rId148"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2"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2026-10-25T14:17:07Z</dcterms:created>
  <dcterms:modified xsi:type="dcterms:W3CDTF">2026-10-25T14:17:07Z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