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3.png" ContentType="image/png"/>
  <Override PartName="/word/media/rId78.png" ContentType="image/png"/>
  <Override PartName="/word/media/rId87.png" ContentType="image/png"/>
  <Override PartName="/word/media/rId161.png" ContentType="image/png"/>
  <Override PartName="/word/media/rId57.png" ContentType="image/png"/>
  <Override PartName="/word/media/rId156.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6">
            <w:r>
              <w:t>ВВЕДЕНИЕ</w:t>
            </w:r>
          </w:hyperlink>
          <w:r>
            <w:tab/>
          </w:r>
          <w:fldSimple w:instr="PAGEREF &quot;GOSTHeading166&quot; \h" w:dirty="true">
            <w:r>
              <w:t>—</w:t>
            </w:r>
          </w:fldSimple>
        </w:p>
        <w:p>
          <w:pPr>
            <w:pStyle w:val="10"/>
          </w:pPr>
          <w:hyperlink w:anchor="GOSTHeading167">
            <w:r>
              <w:t>ЛИТЕРАТУРНЫЙ ОБЗОР</w:t>
            </w:r>
          </w:hyperlink>
          <w:r>
            <w:tab/>
          </w:r>
          <w:fldSimple w:instr="PAGEREF &quot;GOSTHeading167&quot; \h" w:dirty="true">
            <w:r>
              <w:t>—</w:t>
            </w:r>
          </w:fldSimple>
        </w:p>
        <w:p>
          <w:pPr>
            <w:pStyle w:val="10"/>
          </w:pPr>
          <w:hyperlink w:anchor="GOSTHeading168">
            <w:r>
              <w:t>1 ИССЛЕДОВАТЕЛЬСКИЙ РАЗДЕЛ</w:t>
            </w:r>
          </w:hyperlink>
          <w:r>
            <w:tab/>
          </w:r>
          <w:fldSimple w:instr="PAGEREF &quot;GOSTHeading168&quot; \h" w:dirty="true">
            <w:r>
              <w:t>—</w:t>
            </w:r>
          </w:fldSimple>
        </w:p>
        <w:p>
          <w:pPr>
            <w:pStyle w:val="22"/>
          </w:pPr>
          <w:hyperlink w:anchor="GOSTHeading169">
            <w:r>
              <w:t>1.1 Анализ предметной области</w:t>
            </w:r>
          </w:hyperlink>
          <w:r>
            <w:tab/>
          </w:r>
          <w:fldSimple w:instr="PAGEREF &quot;GOSTHeading169&quot; \h" w:dirty="true">
            <w:r>
              <w:t>—</w:t>
            </w:r>
          </w:fldSimple>
        </w:p>
        <w:p>
          <w:pPr>
            <w:pStyle w:val="31"/>
          </w:pPr>
          <w:hyperlink w:anchor="GOSTHeading170">
            <w:r>
              <w:t>1.1.1 Предметная область и участники процесса</w:t>
            </w:r>
          </w:hyperlink>
          <w:r>
            <w:tab/>
          </w:r>
          <w:fldSimple w:instr="PAGEREF &quot;GOSTHeading170&quot; \h" w:dirty="true">
            <w:r>
              <w:t>—</w:t>
            </w:r>
          </w:fldSimple>
        </w:p>
        <w:p>
          <w:pPr>
            <w:pStyle w:val="31"/>
          </w:pPr>
          <w:hyperlink w:anchor="GOSTHeading171">
            <w:r>
              <w:t>1.1.2 Объектная модель и единица размещения</w:t>
            </w:r>
          </w:hyperlink>
          <w:r>
            <w:tab/>
          </w:r>
          <w:fldSimple w:instr="PAGEREF &quot;GOSTHeading171&quot; \h" w:dirty="true">
            <w:r>
              <w:t>—</w:t>
            </w:r>
          </w:fldSimple>
        </w:p>
        <w:p>
          <w:pPr>
            <w:pStyle w:val="31"/>
          </w:pPr>
          <w:hyperlink w:anchor="GOSTHeading172">
            <w:r>
              <w:t>1.1.3 Классы хранения и характеристики ресурсов</w:t>
            </w:r>
          </w:hyperlink>
          <w:r>
            <w:tab/>
          </w:r>
          <w:fldSimple w:instr="PAGEREF &quot;GOSTHeading172&quot; \h" w:dirty="true">
            <w:r>
              <w:t>—</w:t>
            </w:r>
          </w:fldSimple>
        </w:p>
        <w:p>
          <w:pPr>
            <w:pStyle w:val="31"/>
          </w:pPr>
          <w:hyperlink w:anchor="GOSTHeading173">
            <w:r>
              <w:t>1.1.4 Востребованность и история обращений</w:t>
            </w:r>
          </w:hyperlink>
          <w:r>
            <w:tab/>
          </w:r>
          <w:fldSimple w:instr="PAGEREF &quot;GOSTHeading173&quot; \h" w:dirty="true">
            <w:r>
              <w:t>—</w:t>
            </w:r>
          </w:fldSimple>
        </w:p>
        <w:p>
          <w:pPr>
            <w:pStyle w:val="31"/>
          </w:pPr>
          <w:hyperlink w:anchor="GOSTHeading174">
            <w:r>
              <w:t>1.1.5 Способы управления размещением</w:t>
            </w:r>
          </w:hyperlink>
          <w:r>
            <w:tab/>
          </w:r>
          <w:fldSimple w:instr="PAGEREF &quot;GOSTHeading174&quot; \h" w:dirty="true">
            <w:r>
              <w:t>—</w:t>
            </w:r>
          </w:fldSimple>
        </w:p>
        <w:p>
          <w:pPr>
            <w:pStyle w:val="31"/>
          </w:pPr>
          <w:hyperlink w:anchor="GOSTHeading175">
            <w:r>
              <w:t>1.1.6 Ресурсные ограничения и затраты</w:t>
            </w:r>
          </w:hyperlink>
          <w:r>
            <w:tab/>
          </w:r>
          <w:fldSimple w:instr="PAGEREF &quot;GOSTHeading175&quot; \h" w:dirty="true">
            <w:r>
              <w:t>—</w:t>
            </w:r>
          </w:fldSimple>
        </w:p>
        <w:p>
          <w:pPr>
            <w:pStyle w:val="31"/>
          </w:pPr>
          <w:hyperlink w:anchor="GOSTHeading176">
            <w:r>
              <w:t>1.1.7 Согласованность и безопасное перемещение</w:t>
            </w:r>
          </w:hyperlink>
          <w:r>
            <w:tab/>
          </w:r>
          <w:fldSimple w:instr="PAGEREF &quot;GOSTHeading176&quot; \h" w:dirty="true">
            <w:r>
              <w:t>—</w:t>
            </w:r>
          </w:fldSimple>
        </w:p>
        <w:p>
          <w:pPr>
            <w:pStyle w:val="31"/>
          </w:pPr>
          <w:hyperlink w:anchor="GOSTHeading177">
            <w:r>
              <w:t>1.1.8 Источники данных и условия исследования</w:t>
            </w:r>
          </w:hyperlink>
          <w:r>
            <w:tab/>
          </w:r>
          <w:fldSimple w:instr="PAGEREF &quot;GOSTHeading177&quot; \h" w:dirty="true">
            <w:r>
              <w:t>—</w:t>
            </w:r>
          </w:fldSimple>
        </w:p>
        <w:p>
          <w:pPr>
            <w:pStyle w:val="22"/>
          </w:pPr>
          <w:hyperlink w:anchor="GOSTHeading178">
            <w:r>
              <w:t>1.2 Анализ существующих решений</w:t>
            </w:r>
          </w:hyperlink>
          <w:r>
            <w:tab/>
          </w:r>
          <w:fldSimple w:instr="PAGEREF &quot;GOSTHeading178&quot; \h" w:dirty="true">
            <w:r>
              <w:t>—</w:t>
            </w:r>
          </w:fldSimple>
        </w:p>
        <w:p>
          <w:pPr>
            <w:pStyle w:val="31"/>
          </w:pPr>
          <w:hyperlink w:anchor="GOSTHeading179">
            <w:r>
              <w:t>1.2.1 Анализ критериев</w:t>
            </w:r>
          </w:hyperlink>
          <w:r>
            <w:tab/>
          </w:r>
          <w:fldSimple w:instr="PAGEREF &quot;GOSTHeading179&quot; \h" w:dirty="true">
            <w:r>
              <w:t>—</w:t>
            </w:r>
          </w:fldSimple>
        </w:p>
        <w:p>
          <w:pPr>
            <w:pStyle w:val="31"/>
          </w:pPr>
          <w:hyperlink w:anchor="GOSTHeading180">
            <w:r>
              <w:t>1.2.2 Обзор аналогов</w:t>
            </w:r>
          </w:hyperlink>
          <w:r>
            <w:tab/>
          </w:r>
          <w:fldSimple w:instr="PAGEREF &quot;GOSTHeading180&quot; \h" w:dirty="true">
            <w:r>
              <w:t>—</w:t>
            </w:r>
          </w:fldSimple>
        </w:p>
        <w:p>
          <w:pPr>
            <w:pStyle w:val="31"/>
          </w:pPr>
          <w:hyperlink w:anchor="GOSTHeading181">
            <w:r>
              <w:t>1.2.3 Сопоставление аналогов</w:t>
            </w:r>
          </w:hyperlink>
          <w:r>
            <w:tab/>
          </w:r>
          <w:fldSimple w:instr="PAGEREF &quot;GOSTHeading181&quot; \h" w:dirty="true">
            <w:r>
              <w:t>—</w:t>
            </w:r>
          </w:fldSimple>
        </w:p>
        <w:p>
          <w:pPr>
            <w:pStyle w:val="22"/>
          </w:pPr>
          <w:hyperlink w:anchor="GOSTHeading182">
            <w:r>
              <w:t>1.3 Требования к разрабатываемой системе</w:t>
            </w:r>
          </w:hyperlink>
          <w:r>
            <w:tab/>
          </w:r>
          <w:fldSimple w:instr="PAGEREF &quot;GOSTHeading182&quot; \h" w:dirty="true">
            <w:r>
              <w:t>—</w:t>
            </w:r>
          </w:fldSimple>
        </w:p>
        <w:p>
          <w:pPr>
            <w:pStyle w:val="31"/>
          </w:pPr>
          <w:hyperlink w:anchor="GOSTHeading183">
            <w:r>
              <w:t>1.3.1 Назначение и границы разрабатываемого расширения</w:t>
            </w:r>
          </w:hyperlink>
          <w:r>
            <w:tab/>
          </w:r>
          <w:fldSimple w:instr="PAGEREF &quot;GOSTHeading183&quot; \h" w:dirty="true">
            <w:r>
              <w:t>—</w:t>
            </w:r>
          </w:fldSimple>
        </w:p>
        <w:p>
          <w:pPr>
            <w:pStyle w:val="31"/>
          </w:pPr>
          <w:hyperlink w:anchor="GOSTHeading184">
            <w:r>
              <w:t>1.3.2 Требования к выполняемым функциям</w:t>
            </w:r>
          </w:hyperlink>
          <w:r>
            <w:tab/>
          </w:r>
          <w:fldSimple w:instr="PAGEREF &quot;GOSTHeading184&quot; \h" w:dirty="true">
            <w:r>
              <w:t>—</w:t>
            </w:r>
          </w:fldSimple>
        </w:p>
        <w:p>
          <w:pPr>
            <w:pStyle w:val="31"/>
          </w:pPr>
          <w:hyperlink w:anchor="GOSTHeading185">
            <w:r>
              <w:t>1.3.3 Требования к надёжности и сохранности данных</w:t>
            </w:r>
          </w:hyperlink>
          <w:r>
            <w:tab/>
          </w:r>
          <w:fldSimple w:instr="PAGEREF &quot;GOSTHeading185&quot; \h" w:dirty="true">
            <w:r>
              <w:t>—</w:t>
            </w:r>
          </w:fldSimple>
        </w:p>
        <w:p>
          <w:pPr>
            <w:pStyle w:val="31"/>
          </w:pPr>
          <w:hyperlink w:anchor="GOSTHeading186">
            <w:r>
              <w:t>1.3.4 Требования к доступу и интерфейсу администратора</w:t>
            </w:r>
          </w:hyperlink>
          <w:r>
            <w:tab/>
          </w:r>
          <w:fldSimple w:instr="PAGEREF &quot;GOSTHeading186&quot; \h" w:dirty="true">
            <w:r>
              <w:t>—</w:t>
            </w:r>
          </w:fldSimple>
        </w:p>
        <w:p>
          <w:pPr>
            <w:pStyle w:val="31"/>
          </w:pPr>
          <w:hyperlink w:anchor="GOSTHeading187">
            <w:r>
              <w:t>1.3.5 Требования к ресурсам, совместимости и контролю выполнения</w:t>
            </w:r>
          </w:hyperlink>
          <w:r>
            <w:tab/>
          </w:r>
          <w:fldSimple w:instr="PAGEREF &quot;GOSTHeading187&quot; \h" w:dirty="true">
            <w:r>
              <w:t>—</w:t>
            </w:r>
          </w:fldSimple>
        </w:p>
        <w:p>
          <w:pPr>
            <w:pStyle w:val="31"/>
          </w:pPr>
          <w:hyperlink w:anchor="GOSTHeading188">
            <w:r>
              <w:t>1.3.6 Требования к жизненному циклу модели</w:t>
            </w:r>
          </w:hyperlink>
          <w:r>
            <w:tab/>
          </w:r>
          <w:fldSimple w:instr="PAGEREF &quot;GOSTHeading188&quot; \h" w:dirty="true">
            <w:r>
              <w:t>—</w:t>
            </w:r>
          </w:fldSimple>
        </w:p>
        <w:p>
          <w:pPr>
            <w:pStyle w:val="31"/>
          </w:pPr>
          <w:hyperlink w:anchor="GOSTHeading189">
            <w:r>
              <w:t>1.3.7 Требования к проверке эффективности и минимальному результату</w:t>
            </w:r>
          </w:hyperlink>
          <w:r>
            <w:tab/>
          </w:r>
          <w:fldSimple w:instr="PAGEREF &quot;GOSTHeading189&quot; \h" w:dirty="true">
            <w:r>
              <w:t>—</w:t>
            </w:r>
          </w:fldSimple>
        </w:p>
        <w:p>
          <w:pPr>
            <w:pStyle w:val="22"/>
          </w:pPr>
          <w:hyperlink w:anchor="GOSTHeading190">
            <w:r>
              <w:t>1.4 Выводы по исследовательскому разделу</w:t>
            </w:r>
          </w:hyperlink>
          <w:r>
            <w:tab/>
          </w:r>
          <w:fldSimple w:instr="PAGEREF &quot;GOSTHeading190&quot; \h" w:dirty="true">
            <w:r>
              <w:t>—</w:t>
            </w:r>
          </w:fldSimple>
        </w:p>
        <w:p>
          <w:pPr>
            <w:pStyle w:val="10"/>
          </w:pPr>
          <w:hyperlink w:anchor="GOSTHeading191">
            <w:r>
              <w:t>2 АНАЛИТИЧЕСКИЙ РАЗДЕЛ</w:t>
            </w:r>
          </w:hyperlink>
          <w:r>
            <w:tab/>
          </w:r>
          <w:fldSimple w:instr="PAGEREF &quot;GOSTHeading191&quot; \h" w:dirty="true">
            <w:r>
              <w:t>—</w:t>
            </w:r>
          </w:fldSimple>
        </w:p>
        <w:p>
          <w:pPr>
            <w:pStyle w:val="22"/>
          </w:pPr>
          <w:hyperlink w:anchor="GOSTHeading192">
            <w:r>
              <w:t>2.1 Математическое и алгоритмическое обеспечение</w:t>
            </w:r>
          </w:hyperlink>
          <w:r>
            <w:tab/>
          </w:r>
          <w:fldSimple w:instr="PAGEREF &quot;GOSTHeading192&quot; \h" w:dirty="true">
            <w:r>
              <w:t>—</w:t>
            </w:r>
          </w:fldSimple>
        </w:p>
        <w:p>
          <w:pPr>
            <w:pStyle w:val="31"/>
          </w:pPr>
          <w:hyperlink w:anchor="GOSTHeading193">
            <w:r>
              <w:t>2.1.1 Постановка задачи размещения</w:t>
            </w:r>
          </w:hyperlink>
          <w:r>
            <w:tab/>
          </w:r>
          <w:fldSimple w:instr="PAGEREF &quot;GOSTHeading193&quot; \h" w:dirty="true">
            <w:r>
              <w:t>—</w:t>
            </w:r>
          </w:fldSimple>
        </w:p>
        <w:p>
          <w:pPr>
            <w:pStyle w:val="31"/>
          </w:pPr>
          <w:hyperlink w:anchor="GOSTHeading194">
            <w:r>
              <w:t>2.1.2 Модель прогнозирования востребованности</w:t>
            </w:r>
          </w:hyperlink>
          <w:r>
            <w:tab/>
          </w:r>
          <w:fldSimple w:instr="PAGEREF &quot;GOSTHeading194&quot; \h" w:dirty="true">
            <w:r>
              <w:t>—</w:t>
            </w:r>
          </w:fldSimple>
        </w:p>
        <w:p>
          <w:pPr>
            <w:pStyle w:val="31"/>
          </w:pPr>
          <w:hyperlink w:anchor="GOSTHeading195">
            <w:r>
              <w:t>2.1.3 Обработка данных и формирование обучающих примеров</w:t>
            </w:r>
          </w:hyperlink>
          <w:r>
            <w:tab/>
          </w:r>
          <w:fldSimple w:instr="PAGEREF &quot;GOSTHeading195&quot; \h" w:dirty="true">
            <w:r>
              <w:t>—</w:t>
            </w:r>
          </w:fldSimple>
        </w:p>
        <w:p>
          <w:pPr>
            <w:pStyle w:val="31"/>
          </w:pPr>
          <w:hyperlink w:anchor="GOSTHeading196">
            <w:r>
              <w:t>2.1.4 Обучение, проверка и ввод модели в работу</w:t>
            </w:r>
          </w:hyperlink>
          <w:r>
            <w:tab/>
          </w:r>
          <w:fldSimple w:instr="PAGEREF &quot;GOSTHeading196&quot; \h" w:dirty="true">
            <w:r>
              <w:t>—</w:t>
            </w:r>
          </w:fldSimple>
        </w:p>
        <w:p>
          <w:pPr>
            <w:pStyle w:val="31"/>
          </w:pPr>
          <w:hyperlink w:anchor="GOSTHeading197">
            <w:r>
              <w:t>2.1.5 Алгоритм формирования плана размещения</w:t>
            </w:r>
          </w:hyperlink>
          <w:r>
            <w:tab/>
          </w:r>
          <w:fldSimple w:instr="PAGEREF &quot;GOSTHeading197&quot; \h" w:dirty="true">
            <w:r>
              <w:t>—</w:t>
            </w:r>
          </w:fldSimple>
        </w:p>
        <w:p>
          <w:pPr>
            <w:pStyle w:val="31"/>
          </w:pPr>
          <w:hyperlink w:anchor="GOSTHeading198">
            <w:r>
              <w:t>2.1.6 Объяснение рекомендаций</w:t>
            </w:r>
          </w:hyperlink>
          <w:r>
            <w:tab/>
          </w:r>
          <w:fldSimple w:instr="PAGEREF &quot;GOSTHeading198&quot; \h" w:dirty="true">
            <w:r>
              <w:t>—</w:t>
            </w:r>
          </w:fldSimple>
        </w:p>
        <w:p>
          <w:pPr>
            <w:pStyle w:val="31"/>
          </w:pPr>
          <w:hyperlink w:anchor="GOSTHeading199">
            <w:r>
              <w:t>2.1.7 Протокол безопасного переноса</w:t>
            </w:r>
          </w:hyperlink>
          <w:r>
            <w:tab/>
          </w:r>
          <w:fldSimple w:instr="PAGEREF &quot;GOSTHeading199&quot; \h" w:dirty="true">
            <w:r>
              <w:t>—</w:t>
            </w:r>
          </w:fldSimple>
        </w:p>
        <w:p>
          <w:pPr>
            <w:pStyle w:val="22"/>
          </w:pPr>
          <w:hyperlink w:anchor="GOSTHeading200">
            <w:r>
              <w:t>2.2 Модели процессов</w:t>
            </w:r>
          </w:hyperlink>
          <w:r>
            <w:tab/>
          </w:r>
          <w:fldSimple w:instr="PAGEREF &quot;GOSTHeading200&quot; \h" w:dirty="true">
            <w:r>
              <w:t>—</w:t>
            </w:r>
          </w:fldSimple>
        </w:p>
        <w:p>
          <w:pPr>
            <w:pStyle w:val="31"/>
          </w:pPr>
          <w:hyperlink w:anchor="GOSTHeading201">
            <w:r>
              <w:t>2.2.1 Исходный процесс управления размещением</w:t>
            </w:r>
          </w:hyperlink>
          <w:r>
            <w:tab/>
          </w:r>
          <w:fldSimple w:instr="PAGEREF &quot;GOSTHeading201&quot; \h" w:dirty="true">
            <w:r>
              <w:t>—</w:t>
            </w:r>
          </w:fldSimple>
        </w:p>
        <w:p>
          <w:pPr>
            <w:pStyle w:val="31"/>
          </w:pPr>
          <w:hyperlink w:anchor="GOSTHeading202">
            <w:r>
              <w:t>2.2.2 Проектируемый процесс</w:t>
            </w:r>
          </w:hyperlink>
          <w:r>
            <w:tab/>
          </w:r>
          <w:fldSimple w:instr="PAGEREF &quot;GOSTHeading202&quot; \h" w:dirty="true">
            <w:r>
              <w:t>—</w:t>
            </w:r>
          </w:fldSimple>
        </w:p>
        <w:p>
          <w:pPr>
            <w:pStyle w:val="31"/>
          </w:pPr>
          <w:hyperlink w:anchor="GOSTHeading203">
            <w:r>
              <w:t>2.2.3 Сравнение процессов</w:t>
            </w:r>
          </w:hyperlink>
          <w:r>
            <w:tab/>
          </w:r>
          <w:fldSimple w:instr="PAGEREF &quot;GOSTHeading203&quot; \h" w:dirty="true">
            <w:r>
              <w:t>—</w:t>
            </w:r>
          </w:fldSimple>
        </w:p>
        <w:p>
          <w:pPr>
            <w:pStyle w:val="22"/>
          </w:pPr>
          <w:hyperlink w:anchor="GOSTHeading204">
            <w:r>
              <w:t>2.3 Архитектура системы</w:t>
            </w:r>
          </w:hyperlink>
          <w:r>
            <w:tab/>
          </w:r>
          <w:fldSimple w:instr="PAGEREF &quot;GOSTHeading204&quot; \h" w:dirty="true">
            <w:r>
              <w:t>—</w:t>
            </w:r>
          </w:fldSimple>
        </w:p>
        <w:p>
          <w:pPr>
            <w:pStyle w:val="31"/>
          </w:pPr>
          <w:hyperlink w:anchor="GOSTHeading205">
            <w:r>
              <w:t>2.3.1 Изменения компонентов OpenS3</w:t>
            </w:r>
          </w:hyperlink>
          <w:r>
            <w:tab/>
          </w:r>
          <w:fldSimple w:instr="PAGEREF &quot;GOSTHeading205&quot; \h" w:dirty="true">
            <w:r>
              <w:t>—</w:t>
            </w:r>
          </w:fldSimple>
        </w:p>
        <w:p>
          <w:pPr>
            <w:pStyle w:val="31"/>
          </w:pPr>
          <w:hyperlink w:anchor="GOSTHeading206">
            <w:r>
              <w:t>2.3.2 Компонентная модель</w:t>
            </w:r>
          </w:hyperlink>
          <w:r>
            <w:tab/>
          </w:r>
          <w:fldSimple w:instr="PAGEREF &quot;GOSTHeading206&quot; \h" w:dirty="true">
            <w:r>
              <w:t>—</w:t>
            </w:r>
          </w:fldSimple>
        </w:p>
        <w:p>
          <w:pPr>
            <w:pStyle w:val="31"/>
          </w:pPr>
          <w:hyperlink w:anchor="GOSTHeading207">
            <w:r>
              <w:t>2.3.3 Модель данных</w:t>
            </w:r>
          </w:hyperlink>
          <w:r>
            <w:tab/>
          </w:r>
          <w:fldSimple w:instr="PAGEREF &quot;GOSTHeading207&quot; \h" w:dirty="true">
            <w:r>
              <w:t>—</w:t>
            </w:r>
          </w:fldSimple>
        </w:p>
        <w:p>
          <w:pPr>
            <w:pStyle w:val="31"/>
          </w:pPr>
          <w:hyperlink w:anchor="GOSTHeading208">
            <w:r>
              <w:t>2.3.4 Анализ архитектуры</w:t>
            </w:r>
          </w:hyperlink>
          <w:r>
            <w:tab/>
          </w:r>
          <w:fldSimple w:instr="PAGEREF &quot;GOSTHeading208&quot; \h" w:dirty="true">
            <w:r>
              <w:t>—</w:t>
            </w:r>
          </w:fldSimple>
        </w:p>
        <w:p>
          <w:pPr>
            <w:pStyle w:val="31"/>
          </w:pPr>
          <w:hyperlink w:anchor="GOSTHeading209">
            <w:r>
              <w:t>2.3.5 Соответствие требованиям</w:t>
            </w:r>
          </w:hyperlink>
          <w:r>
            <w:tab/>
          </w:r>
          <w:fldSimple w:instr="PAGEREF &quot;GOSTHeading209&quot; \h" w:dirty="true">
            <w:r>
              <w:t>—</w:t>
            </w:r>
          </w:fldSimple>
        </w:p>
        <w:p>
          <w:pPr>
            <w:pStyle w:val="22"/>
          </w:pPr>
          <w:hyperlink w:anchor="GOSTHeading210">
            <w:r>
              <w:t>2.4 Обоснование инструментов реализации</w:t>
            </w:r>
          </w:hyperlink>
          <w:r>
            <w:tab/>
          </w:r>
          <w:fldSimple w:instr="PAGEREF &quot;GOSTHeading210&quot; \h" w:dirty="true">
            <w:r>
              <w:t>—</w:t>
            </w:r>
          </w:fldSimple>
        </w:p>
        <w:p>
          <w:pPr>
            <w:pStyle w:val="22"/>
          </w:pPr>
          <w:hyperlink w:anchor="GOSTHeading211">
            <w:r>
              <w:t>2.5 Выводы по аналитическому разделу</w:t>
            </w:r>
          </w:hyperlink>
          <w:r>
            <w:tab/>
          </w:r>
          <w:fldSimple w:instr="PAGEREF &quot;GOSTHeading211&quot; \h" w:dirty="true">
            <w:r>
              <w:t>—</w:t>
            </w:r>
          </w:fldSimple>
        </w:p>
        <w:p>
          <w:pPr>
            <w:pStyle w:val="10"/>
          </w:pPr>
          <w:hyperlink w:anchor="GOSTHeading212">
            <w:r>
              <w:t>СПИСОК ИСПОЛЬЗОВАННЫХ ИСТОЧНИКОВ</w:t>
            </w:r>
          </w:hyperlink>
          <w:r>
            <w:tab/>
          </w:r>
          <w:fldSimple w:instr="PAGEREF &quot;GOSTHeading212&quot; \h" w:dirty="true">
            <w:r>
              <w:t>—</w:t>
            </w:r>
          </w:fldSimple>
        </w:p>
        <w:p>
          <w:pPr>
            <w:pStyle w:val="10"/>
          </w:pPr>
          <w:hyperlink w:anchor="GOSTHeading213">
            <w:r>
              <w:t>ПРИЛОЖЕНИЯ</w:t>
            </w:r>
          </w:hyperlink>
          <w:r>
            <w:tab/>
          </w:r>
          <w:fldSimple w:instr="PAGEREF &quot;GOSTHeading213&quot; \h" w:dirty="true">
            <w:r>
              <w:t>—</w:t>
            </w:r>
          </w:fldSimple>
        </w:p>
        <w:p>
          <w:pPr>
            <w:pStyle w:val="10"/>
          </w:pPr>
          <w:hyperlink w:anchor="GOSTHeading214">
            <w:r>
              <w:t>Приложение А</w:t>
            </w:r>
          </w:hyperlink>
          <w:r>
            <w:tab/>
          </w:r>
          <w:fldSimple w:instr="PAGEREF &quot;GOSTHeading214&quot; \h" w:dirty="true">
            <w:r>
              <w:t>—</w:t>
            </w:r>
          </w:fldSimple>
        </w:p>
        <w:p>
          <w:pPr>
            <w:pStyle w:val="10"/>
          </w:pPr>
          <w:hyperlink w:anchor="GOSTHeading215">
            <w:r>
              <w:t>Приложение Б</w:t>
            </w:r>
          </w:hyperlink>
          <w:r>
            <w:tab/>
          </w:r>
          <w:fldSimple w:instr="PAGEREF &quot;GOSTHeading215&quot; \h" w:dirty="true">
            <w:r>
              <w:t>—</w:t>
            </w:r>
          </w:fldSimple>
        </w:p>
        <w:p>
          <w:pPr>
            <w:spacing w:before="0" w:after="0" w:line="1" w:lineRule="exact"/>
          </w:pPr>
          <w:r>
            <w:fldChar w:fldCharType="end"/>
          </w:r>
        </w:p>
      </w:sdtContent>
    </w:sdt>
    <w:bookmarkStart w:id="25" w:name="введение"/>
    <w:p>
      <w:pPr>
        <w:pStyle w:val="GOSTStructuralHeading"/>
      </w:pPr>
      <w:bookmarkStart w:id="166" w:name="GOSTHeading166"/>
      <w:r>
        <w:t xml:space="preserve">ВВЕДЕНИЕ</w:t>
      </w:r>
      <w:bookmarkEnd w:id="166"/>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tabs>
          <w:tab w:val="num" w:pos="1276"/>
        </w:tabs>
        <w:spacing w:before="0" w:after="0" w:line="360" w:lineRule="auto"/>
        <w:ind w:left="1276" w:hanging="567"/>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tabs>
          <w:tab w:val="num" w:pos="1276"/>
        </w:tabs>
        <w:spacing w:before="0" w:after="0" w:line="360" w:lineRule="auto"/>
        <w:ind w:left="1276" w:hanging="567"/>
      </w:pPr>
      <w:r>
        <w:t xml:space="preserve">Спроектировать СППР и её взаимодействие с компонентами OpenS3.</w:t>
      </w:r>
    </w:p>
    <w:p>
      <w:pPr>
        <w:pStyle w:val="Compact"/>
        <w:numPr>
          <w:ilvl w:val="0"/>
          <w:numId w:val="1001"/>
        </w:numPr>
        <w:tabs>
          <w:tab w:val="num" w:pos="1276"/>
        </w:tabs>
        <w:spacing w:before="0" w:after="0" w:line="360" w:lineRule="auto"/>
        <w:ind w:left="1276" w:hanging="567"/>
      </w:pPr>
      <w:r>
        <w:t xml:space="preserve">Разработать сбор истории и метаданных, подготовку признаков и обучающих примеров.</w:t>
      </w:r>
    </w:p>
    <w:p>
      <w:pPr>
        <w:pStyle w:val="Compact"/>
        <w:numPr>
          <w:ilvl w:val="0"/>
          <w:numId w:val="1001"/>
        </w:numPr>
        <w:tabs>
          <w:tab w:val="num" w:pos="1276"/>
        </w:tabs>
        <w:spacing w:before="0" w:after="0" w:line="360" w:lineRule="auto"/>
        <w:ind w:left="1276" w:hanging="567"/>
      </w:pPr>
      <w:r>
        <w:t xml:space="preserve">Обучить и сравнить модели востребованности, определить порядок их обновления.</w:t>
      </w:r>
    </w:p>
    <w:p>
      <w:pPr>
        <w:pStyle w:val="Compact"/>
        <w:numPr>
          <w:ilvl w:val="0"/>
          <w:numId w:val="1001"/>
        </w:numPr>
        <w:tabs>
          <w:tab w:val="num" w:pos="1276"/>
        </w:tabs>
        <w:spacing w:before="0" w:after="0" w:line="360" w:lineRule="auto"/>
        <w:ind w:left="1276" w:hanging="567"/>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tabs>
          <w:tab w:val="num" w:pos="1276"/>
        </w:tabs>
        <w:spacing w:before="0" w:after="0" w:line="360" w:lineRule="auto"/>
        <w:ind w:left="1276" w:hanging="567"/>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tabs>
          <w:tab w:val="num" w:pos="1276"/>
        </w:tabs>
        <w:spacing w:before="0" w:after="0" w:line="360" w:lineRule="auto"/>
        <w:ind w:left="1276" w:hanging="567"/>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7" w:name="GOSTHeading167"/>
      <w:r>
        <w:t xml:space="preserve">ЛИТЕРАТУРНЫЙ ОБЗОР</w:t>
      </w:r>
      <w:bookmarkEnd w:id="167"/>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8" w:name="GOSTHeading168"/>
      <w:r>
        <w:t xml:space="preserve">1 ИССЛЕДОВАТЕЛЬСКИЙ РАЗДЕЛ</w:t>
      </w:r>
      <w:bookmarkEnd w:id="168"/>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9" w:name="GOSTHeading169"/>
      <w:r>
        <w:t xml:space="preserve">1.1 Анализ предметной области</w:t>
      </w:r>
      <w:bookmarkEnd w:id="169"/>
    </w:p>
    <w:p>
      <w:pPr>
        <w:pStyle w:val="FirstParagraph"/>
      </w:pPr>
      <w:r>
        <w:t xml:space="preserve">Анализ предметной области определяет понятия, ресурсы и условия, от которых зависит выбор размещения версий объектов в OpenS3. Далее рассматриваются участники процесса, объектная модель и классы хранения, признаки востребованности, способы управления размещением, ресурсные ограничения, условия безопасного перемещения и источники данных для исследования.</w:t>
      </w:r>
    </w:p>
    <w:bookmarkStart w:id="27" w:name="предметная-область-и-участники-процесса"/>
    <w:p>
      <w:pPr>
        <w:pStyle w:val="30"/>
      </w:pPr>
      <w:bookmarkStart w:id="170" w:name="GOSTHeading170"/>
      <w:r>
        <w:t xml:space="preserve">1.1.1 Предметная область и участники процесса</w:t>
      </w:r>
      <w:bookmarkEnd w:id="170"/>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1" w:name="GOSTHeading171"/>
      <w:r>
        <w:t xml:space="preserve">1.1.2 Объектная модель и единица размещения</w:t>
      </w:r>
      <w:bookmarkEnd w:id="171"/>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2" w:name="GOSTHeading172"/>
      <w:r>
        <w:t xml:space="preserve">1.1.3 Классы хранения и характеристики ресурсов</w:t>
      </w:r>
      <w:bookmarkEnd w:id="172"/>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55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777"/>
        <w:gridCol w:w="3669"/>
        <w:gridCol w:w="3112"/>
      </w:tblGrid>
      <w:tr>
        <w:trPr>
          <w:tblHeader w:val="on"/>
          <w:cantSplit/>
        </w:trPr>
        <w:tc>
          <w:tcPr>
            <w:tcW w:w="2777" w:type="dxa"/>
          </w:tcPr>
          <w:p>
            <w:pPr>
              <w:pStyle w:val="Compact"/>
              <w:keepNext w:val="0"/>
              <w:pageBreakBefore w:val="0"/>
              <w:suppressAutoHyphens w:val="1"/>
              <w:spacing w:before="0" w:after="0" w:line="240" w:lineRule="auto"/>
              <w:ind w:firstLine="0" w:left="0" w:right="0"/>
              <w:jc w:val="center"/>
            </w:pPr>
            <w:r>
              <w:rPr>
                <w:b w:val="1"/>
                <w:sz w:val="24"/>
                <w:szCs w:val="24"/>
              </w:rPr>
              <w:t xml:space="preserve">Характеристика</w:t>
            </w:r>
          </w:p>
        </w:tc>
        <w:tc>
          <w:tcPr>
            <w:tcW w:w="3669" w:type="dxa"/>
          </w:tcPr>
          <w:p>
            <w:pPr>
              <w:pStyle w:val="Compact"/>
              <w:keepNext w:val="0"/>
              <w:pageBreakBefore w:val="0"/>
              <w:suppressAutoHyphens w:val="1"/>
              <w:spacing w:before="0" w:after="0" w:line="240" w:lineRule="auto"/>
              <w:ind w:firstLine="0" w:left="0" w:right="0"/>
              <w:jc w:val="center"/>
            </w:pPr>
            <w:r>
              <w:rPr>
                <w:b w:val="1"/>
                <w:sz w:val="24"/>
                <w:szCs w:val="24"/>
              </w:rPr>
              <w:t xml:space="preserve">HOT</w:t>
            </w:r>
          </w:p>
        </w:tc>
        <w:tc>
          <w:tcPr>
            <w:tcW w:w="3112" w:type="dxa"/>
          </w:tcPr>
          <w:p>
            <w:pPr>
              <w:pStyle w:val="Compact"/>
              <w:keepNext w:val="0"/>
              <w:pageBreakBefore w:val="0"/>
              <w:suppressAutoHyphens w:val="1"/>
              <w:spacing w:before="0" w:after="0" w:line="240" w:lineRule="auto"/>
              <w:ind w:firstLine="0" w:left="0" w:right="0"/>
              <w:jc w:val="center"/>
            </w:pPr>
            <w:r>
              <w:rPr>
                <w:b w:val="1"/>
                <w:sz w:val="24"/>
                <w:szCs w:val="24"/>
              </w:rPr>
              <w:t xml:space="preserve">COLD</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Ёмкость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Ограниченный быстрый ресурс</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ёмкий ресурс</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Производительность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Более быстрое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медленное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Получение данных</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Затраты</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Перемещение</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Из COLD и обратно</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3" w:name="GOSTHeading173"/>
      <w:r>
        <w:t xml:space="preserve">1.1.4 Востребованность и история обращений</w:t>
      </w:r>
      <w:bookmarkEnd w:id="173"/>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4" w:name="GOSTHeading174"/>
      <w:r>
        <w:t xml:space="preserve">1.1.5 Способы управления размещением</w:t>
      </w:r>
      <w:bookmarkEnd w:id="174"/>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5" w:name="GOSTHeading175"/>
      <w:r>
        <w:t xml:space="preserve">1.1.6 Ресурсные ограничения и затраты</w:t>
      </w:r>
      <w:bookmarkEnd w:id="175"/>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6" w:name="GOSTHeading176"/>
      <w:r>
        <w:t xml:space="preserve">1.1.7 Согласованность и безопасное перемещение</w:t>
      </w:r>
      <w:bookmarkEnd w:id="176"/>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7" w:name="GOSTHeading177"/>
      <w:r>
        <w:t xml:space="preserve">1.1.8 Источники данных и условия исследования</w:t>
      </w:r>
      <w:bookmarkEnd w:id="177"/>
    </w:p>
    <w:p>
      <w:pPr>
        <w:pStyle w:val="FirstParagraph"/>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cantSplit/>
        </w:trPr>
        <w:tc>
          <w:tcPr>
            <w:tcW w:w="2610" w:type="dxa"/>
          </w:tcPr>
          <w:p>
            <w:pPr>
              <w:pStyle w:val="Compact"/>
              <w:keepNext w:val="0"/>
              <w:pageBreakBefore w:val="0"/>
              <w:suppressAutoHyphens w:val="1"/>
              <w:spacing w:before="0" w:after="0" w:line="240" w:lineRule="auto"/>
              <w:ind w:firstLine="0" w:left="0" w:right="0"/>
              <w:jc w:val="center"/>
            </w:pPr>
            <w:r>
              <w:rPr>
                <w:b w:val="1"/>
                <w:sz w:val="24"/>
                <w:szCs w:val="24"/>
              </w:rPr>
              <w:t xml:space="preserve">Источник</w:t>
            </w:r>
          </w:p>
        </w:tc>
        <w:tc>
          <w:tcPr>
            <w:tcW w:w="3077"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Применение</w:t>
            </w:r>
          </w:p>
        </w:tc>
        <w:tc>
          <w:tcPr>
            <w:tcW w:w="395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Ограничение</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Синтетическая нагрузка</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и безопасные переносы</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Выводы относятся к заданным сценариям</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Meta CDN / CacheLib [19], [20]</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Прогнозирование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Выборочные наблюдения без S3-версий и результатов запросов</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Cloud Object Storage [21]</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объектных операций</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Один бакет, одна неделя</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Docker Registry [22], [23]</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изменения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Обращения к реестру отличаются от S3</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CILES / Baleen [16], [24]</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Методическая база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8" w:name="GOSTHeading178"/>
      <w:r>
        <w:t xml:space="preserve">1.2 Анализ существующих решений</w:t>
      </w:r>
      <w:bookmarkEnd w:id="178"/>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9" w:name="GOSTHeading179"/>
      <w:r>
        <w:t xml:space="preserve">1.2.1 Анализ критериев</w:t>
      </w:r>
      <w:bookmarkEnd w:id="179"/>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80" w:name="GOSTHeading180"/>
      <w:r>
        <w:t xml:space="preserve">1.2.2 Обзор аналогов</w:t>
      </w:r>
      <w:bookmarkEnd w:id="180"/>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1" w:name="GOSTHeading181"/>
      <w:r>
        <w:t xml:space="preserve">1.2.3 Сопоставление аналогов</w:t>
      </w:r>
      <w:bookmarkEnd w:id="181"/>
    </w:p>
    <w:p>
      <w:pPr>
        <w:pStyle w:val="FirstParagraph"/>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669"/>
        <w:gridCol w:w="1669"/>
        <w:gridCol w:w="1418"/>
        <w:gridCol w:w="1675"/>
        <w:gridCol w:w="1605"/>
        <w:gridCol w:w="1602"/>
      </w:tblGrid>
      <w:tr>
        <w:trPr>
          <w:tblHeader w:val="on"/>
          <w:cantSplit/>
        </w:trPr>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Критерий</w:t>
            </w:r>
          </w:p>
        </w:tc>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Octopus++ [25]</w:t>
            </w:r>
          </w:p>
        </w:tc>
        <w:tc>
          <w:tcPr>
            <w:tcW w:w="1418" w:type="dxa"/>
          </w:tcPr>
          <w:p>
            <w:pPr>
              <w:pStyle w:val="Compact"/>
              <w:keepNext w:val="0"/>
              <w:pageBreakBefore w:val="0"/>
              <w:suppressAutoHyphens w:val="1"/>
              <w:spacing w:before="0" w:after="0" w:line="240" w:lineRule="auto"/>
              <w:ind w:firstLine="0" w:left="0" w:right="0"/>
              <w:jc w:val="center"/>
            </w:pPr>
            <w:r>
              <w:rPr>
                <w:b w:val="1"/>
                <w:sz w:val="24"/>
                <w:szCs w:val="24"/>
              </w:rPr>
              <w:t xml:space="preserve">Motta [3], [26]</w:t>
            </w:r>
          </w:p>
        </w:tc>
        <w:tc>
          <w:tcPr>
            <w:tcW w:w="1675" w:type="dxa"/>
          </w:tcPr>
          <w:p>
            <w:pPr>
              <w:pStyle w:val="Compact"/>
              <w:keepNext w:val="0"/>
              <w:pageBreakBefore w:val="0"/>
              <w:suppressAutoHyphens w:val="1"/>
              <w:spacing w:before="0" w:after="0" w:line="240" w:lineRule="auto"/>
              <w:ind w:firstLine="0" w:left="0" w:right="0"/>
              <w:jc w:val="center"/>
            </w:pPr>
            <w:r>
              <w:rPr>
                <w:b w:val="1"/>
                <w:sz w:val="24"/>
                <w:szCs w:val="24"/>
              </w:rPr>
              <w:t xml:space="preserve">SCOPe [15]</w:t>
            </w:r>
          </w:p>
        </w:tc>
        <w:tc>
          <w:tcPr>
            <w:tcW w:w="1605" w:type="dxa"/>
          </w:tcPr>
          <w:p>
            <w:pPr>
              <w:pStyle w:val="Compact"/>
              <w:keepNext w:val="0"/>
              <w:pageBreakBefore w:val="0"/>
              <w:suppressAutoHyphens w:val="1"/>
              <w:spacing w:before="0" w:after="0" w:line="240" w:lineRule="auto"/>
              <w:ind w:firstLine="0" w:left="0" w:right="0"/>
              <w:jc w:val="center"/>
            </w:pPr>
            <w:r>
              <w:rPr>
                <w:b w:val="1"/>
                <w:sz w:val="24"/>
                <w:szCs w:val="24"/>
              </w:rPr>
              <w:t xml:space="preserve">Amazon S3 [2], [8]</w:t>
            </w:r>
          </w:p>
        </w:tc>
        <w:tc>
          <w:tcPr>
            <w:tcW w:w="1602" w:type="dxa"/>
          </w:tcPr>
          <w:p>
            <w:pPr>
              <w:pStyle w:val="Compact"/>
              <w:keepNext w:val="0"/>
              <w:pageBreakBefore w:val="0"/>
              <w:suppressAutoHyphens w:val="1"/>
              <w:spacing w:before="0" w:after="0" w:line="240" w:lineRule="auto"/>
              <w:ind w:firstLine="0" w:left="0" w:right="0"/>
              <w:jc w:val="center"/>
            </w:pPr>
            <w:r>
              <w:rPr>
                <w:b w:val="1"/>
                <w:sz w:val="24"/>
                <w:szCs w:val="24"/>
              </w:rPr>
              <w:t xml:space="preserve">Ceph RGW [9], [27]</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Решение и прогноз</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повторного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обращений</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Входной прогноз доступа</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Lifecycle или давность доступа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Настройки классов и Lifecycle</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Критерии выбора</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и баланс</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размещение и сжатие</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Условия перехода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Выбор ресурсов [10]</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Ёмкость классов в плане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и пороги</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Физическая ёмкость не задаётся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Общий прогнозный план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Общий бюджет переносов</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Лимит только входа в быстрый уровень</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Перенос в обе стороны</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Перенос файловых копий</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Протокол 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Объектный протокол 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Возврат в Intelligent-Tiering</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Полный цикл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Версия при исполнении</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Контроль S3-версии Н/У</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Управление разделом данных</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План для S3-версии 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Версия плана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Обоснование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Вероятность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Результат оптимизации</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Условие политики</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Правила размещения</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Ручное решение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2" w:name="GOSTHeading182"/>
      <w:r>
        <w:t xml:space="preserve">1.3 Требования к разрабатываемой системе</w:t>
      </w:r>
      <w:bookmarkEnd w:id="182"/>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3" w:name="GOSTHeading183"/>
      <w:r>
        <w:t xml:space="preserve">1.3.1 Назначение и границы разрабатываемого расширения</w:t>
      </w:r>
      <w:bookmarkEnd w:id="183"/>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4" w:name="GOSTHeading184"/>
      <w:r>
        <w:t xml:space="preserve">1.3.2 Требования к выполняемым функциям</w:t>
      </w:r>
      <w:bookmarkEnd w:id="184"/>
    </w:p>
    <w:p>
      <w:pPr>
        <w:pStyle w:val="FirstParagraph"/>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11"/>
        <w:gridCol w:w="8927"/>
      </w:tblGrid>
      <w:tr>
        <w:trPr>
          <w:tblHeader w:val="on"/>
          <w:cantSplit/>
        </w:trPr>
        <w:tc>
          <w:tcPr>
            <w:tcW w:w="711"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Код</w:t>
            </w:r>
          </w:p>
        </w:tc>
        <w:tc>
          <w:tcPr>
            <w:tcW w:w="8927"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Получать каталог, размеры и размещение объектов, состояние классов</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Готовить признаки из прошлой истории с обработкой новых объектов и неполных данных</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Обучать, обновлять и вводить в работу модель, а при ошибке обновления сохранять пригодную модель</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Ранжировать рекомендации с учётом ёмкости, размеров, доступа, запретов и бюджета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Объяснять прогноз спроса, ожидаемый эффект и ограничения рекомендации</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F-08</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Перед копированием проверять версию, расположение, запреты и доступные ресурсы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F-09</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Переносить версии в обоих направлениях с проверкой копии до изменения расположения</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F-10</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Сохранять состояние миграции и безопасно продолжать её после ошибки или перезапуска</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Хранить историю рекомендаций, действий администратора, переносов и ошибок</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5" w:name="GOSTHeading185"/>
      <w:r>
        <w:t xml:space="preserve">1.3.3 Требования к надёжности и сохранности данных</w:t>
      </w:r>
      <w:bookmarkEnd w:id="185"/>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6" w:name="GOSTHeading186"/>
      <w:r>
        <w:t xml:space="preserve">1.3.4 Требования к доступу и интерфейсу администратора</w:t>
      </w:r>
      <w:bookmarkEnd w:id="186"/>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7" w:name="GOSTHeading187"/>
      <w:r>
        <w:t xml:space="preserve">1.3.5 Требования к ресурсам, совместимости и контролю выполнения</w:t>
      </w:r>
      <w:bookmarkEnd w:id="187"/>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cantSplit/>
        </w:trPr>
        <w:tc>
          <w:tcPr>
            <w:tcW w:w="2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Параметр</w:t>
            </w:r>
          </w:p>
        </w:tc>
        <w:tc>
          <w:tcPr>
            <w:tcW w:w="6969"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 и условия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Масштаб проверки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из 10 000 текущих завершённых объектов по 1 МиБ</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Клиентская нагрузка</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Время планирования</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Вычислительные ресурсы</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Подготовка модели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Влияние на чтение</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Ответ административного API</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8" w:name="GOSTHeading188"/>
      <w:r>
        <w:t xml:space="preserve">1.3.6 Требования к жизненному циклу модели</w:t>
      </w:r>
      <w:bookmarkEnd w:id="188"/>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9" w:name="GOSTHeading189"/>
      <w:r>
        <w:t xml:space="preserve">1.3.7 Требования к проверке эффективности и минимальному результату</w:t>
      </w:r>
      <w:bookmarkEnd w:id="189"/>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90" w:name="GOSTHeading190"/>
      <w:r>
        <w:t xml:space="preserve">1.4 Выводы по исследовательскому разделу</w:t>
      </w:r>
      <w:bookmarkEnd w:id="190"/>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00" w:name="аналитический-раздел"/>
    <w:p>
      <w:pPr>
        <w:pStyle w:val="1"/>
      </w:pPr>
      <w:bookmarkStart w:id="191" w:name="GOSTHeading191"/>
      <w:r>
        <w:t xml:space="preserve">2 АНАЛИТИЧЕСКИЙ РАЗДЕЛ</w:t>
      </w:r>
      <w:bookmarkEnd w:id="191"/>
    </w:p>
    <w:p>
      <w:pPr>
        <w:pStyle w:val="FirstParagraph"/>
      </w:pPr>
      <w:r>
        <w:t xml:space="preserve">В аналитическом разделе требования из исследовательского раздела преобразуются в проект СППР: описываются математическое и алгоритмическое обеспечение, модели процессов управления размещением и архитектура системы, обосновывается выбор инструментов реализации. Проектируемая СППР связывает прогноз клиентского спроса с планом размещения, а применение плана требует решения администратора и безопасного изменения расположения версий.</w:t>
      </w:r>
    </w:p>
    <w:bookmarkStart w:id="72" w:name="X84bd9294f1307ff8601e5cfa6da9c74af29fe47"/>
    <w:p>
      <w:pPr>
        <w:pStyle w:val="21"/>
      </w:pPr>
      <w:bookmarkStart w:id="192" w:name="GOSTHeading192"/>
      <w:r>
        <w:t xml:space="preserve">2.1 Математическое и алгоритмическое обеспечение</w:t>
      </w:r>
      <w:bookmarkEnd w:id="192"/>
    </w:p>
    <w:p>
      <w:pPr>
        <w:pStyle w:val="FirstParagraph"/>
      </w:pPr>
      <w:r>
        <w:t xml:space="preserve">Математическая модель определяет ожидаемый эффект размещения и ограничения, а алгоритмы преобразуют оценки спроса в план переносов и безопасно применяют его.</w:t>
      </w:r>
    </w:p>
    <w:bookmarkStart w:id="56" w:name="постановка-задачи-размещения"/>
    <w:p>
      <w:pPr>
        <w:pStyle w:val="30"/>
      </w:pPr>
      <w:bookmarkStart w:id="193" w:name="GOSTHeading193"/>
      <w:r>
        <w:t xml:space="preserve">2.1.1 Постановка задачи размещения</w:t>
      </w:r>
      <w:bookmarkEnd w:id="193"/>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На входе задачи прогноз спроса и метаданные хранилища о версиях объектов, их размерах, размещении и занятости классов, на выходе план переносов. Выбор ограничен ёмкостью классов, бюджетом копирования и закреплёнными объектами: объекты с запретом переноса, участвующие в выполняемом переносе или перенесённые раньше минимального интервала, сохраняют текущее размещение. Предыдущие версии в задачу не входят, но их объём учитывается в ограничениях ёмкости. Задача реализует функциональное требование F-05 с учётом ограничений ресурсов и периода цикла планирования из раздела 1.3.5 пояснительной записки. Обозначения модели размещения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841"/>
        <w:gridCol w:w="7797"/>
      </w:tblGrid>
      <w:tr>
        <w:trPr>
          <w:tblHeader w:val="on"/>
          <w:cantSplit/>
        </w:trPr>
        <w:tc>
          <w:tcPr>
            <w:tcW w:w="184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Обозначение</w:t>
            </w:r>
          </w:p>
        </w:tc>
        <w:tc>
          <w:tcPr>
            <w:tcW w:w="7797" w:type="dxa"/>
          </w:tcPr>
          <w:p>
            <w:pPr>
              <w:pStyle w:val="Compact"/>
              <w:keepNext w:val="0"/>
              <w:pageBreakBefore w:val="0"/>
              <w:suppressAutoHyphens w:val="1"/>
              <w:spacing w:before="0" w:after="0" w:line="240" w:lineRule="auto"/>
              <w:ind w:firstLine="0" w:left="0" w:right="0"/>
              <w:jc w:val="center"/>
            </w:pPr>
            <w:r>
              <w:rPr>
                <w:b w:val="1"/>
                <w:sz w:val="24"/>
                <w:szCs w:val="24"/>
              </w:rPr>
              <w:t xml:space="preserve">Смысл</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T</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Момент начала цикла планирования</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I</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Множество объектов, текущие версии которых зарегистрированы в хранилище в момент</w:t>
            </w:r>
            <w:r>
              <w:rPr>
                <w:sz w:val="24"/>
                <w:szCs w:val="24"/>
              </w:rPr>
              <w:t xml:space="preserve"> </w:t>
            </w:r>
            <m:oMath>
              <m:r>
                <m:t>T</m:t>
              </m:r>
            </m:oMath>
            <w:r>
              <w:rPr>
                <w:sz w:val="24"/>
                <w:szCs w:val="24"/>
              </w:rPr>
              <w:t xml:space="preserve">;</w:t>
            </w:r>
            <w:r>
              <w:rPr>
                <w:sz w:val="24"/>
                <w:szCs w:val="24"/>
              </w:rPr>
              <w:t xml:space="preserve"> </w:t>
            </w:r>
            <m:oMath>
              <m:r>
                <m:t>i</m:t>
              </m:r>
            </m:oMath>
            <w:r>
              <w:rPr>
                <w:sz w:val="24"/>
                <w:szCs w:val="24"/>
              </w:rPr>
              <w:t xml:space="preserve"> </w:t>
            </w:r>
            <w:r>
              <w:rPr>
                <w:sz w:val="24"/>
                <w:szCs w:val="24"/>
              </w:rPr>
              <w:t xml:space="preserve">— номер объекта в</w:t>
            </w:r>
            <w:r>
              <w:rPr>
                <w:sz w:val="24"/>
                <w:szCs w:val="24"/>
              </w:rPr>
              <w:t xml:space="preserve"> </w:t>
            </w:r>
            <m:oMath>
              <m:r>
                <m:t>I</m:t>
              </m:r>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j</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Класс хранения, HOT или COLD</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s</m:t>
                  </m:r>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Размер текущей версии объекта</w:t>
            </w:r>
            <w:r>
              <w:rPr>
                <w:sz w:val="24"/>
                <w:szCs w:val="24"/>
              </w:rPr>
              <w:t xml:space="preserve"> </w:t>
            </w:r>
            <m:oMath>
              <m:r>
                <m:t>i</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h</m:t>
                  </m:r>
                </m:e>
                <m:sub>
                  <m:r>
                    <m:t>i</m:t>
                  </m:r>
                </m:sub>
                <m:sup>
                  <m:r>
                    <m:rPr>
                      <m:sty m:val="p"/>
                    </m:rPr>
                    <m:t>т</m:t>
                  </m:r>
                  <m:r>
                    <m:rPr>
                      <m:sty m:val="p"/>
                    </m:rPr>
                    <m:t>е</m:t>
                  </m:r>
                  <m:r>
                    <m:rPr>
                      <m:sty m:val="p"/>
                    </m:rPr>
                    <m:t>к</m:t>
                  </m:r>
                </m:sup>
              </m:sSubSup>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h</m:t>
                  </m:r>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H</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Горизонт прогноза</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N</m:t>
                  </m:r>
                </m:e>
                <m:sub>
                  <m:r>
                    <m:t>i</m:t>
                  </m:r>
                </m:sub>
              </m:sSub>
              <m:r>
                <m:rPr>
                  <m:sty m:val="p"/>
                </m:rPr>
                <m:t>(</m:t>
              </m:r>
              <m:r>
                <m:t>T</m:t>
              </m:r>
              <m:r>
                <m:rPr>
                  <m:sty m:val="p"/>
                </m:rPr>
                <m:t>)</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w:t>
            </w:r>
            <w:r>
              <w:rPr>
                <w:sz w:val="24"/>
                <w:szCs w:val="24"/>
              </w:rPr>
              <w:t xml:space="preserve">по формуле (2.14), далее</w:t>
            </w:r>
            <w:r>
              <w:rPr>
                <w:sz w:val="24"/>
                <w:szCs w:val="24"/>
              </w:rPr>
              <w:t xml:space="preserve"> </w:t>
            </w:r>
            <m:oMath>
              <m:sSub>
                <m:e>
                  <m:r>
                    <m:t>N</m:t>
                  </m:r>
                </m:e>
                <m:sub>
                  <m:r>
                    <m:t>i</m:t>
                  </m:r>
                </m:sub>
              </m:sSub>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N</m:t>
                      </m:r>
                    </m:e>
                  </m:acc>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w:t>
            </w:r>
            <w:r>
              <w:rPr>
                <w:sz w:val="24"/>
                <w:szCs w:val="24"/>
              </w:rPr>
              <w:t xml:space="preserve">по формуле (2.10)</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r</m:t>
                  </m:r>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по истории обращений; 1 при полном чтении</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acc>
                    <m:accPr>
                      <m:chr m:val="̂"/>
                    </m:accPr>
                    <m:e>
                      <m:r>
                        <m:t>D</m:t>
                      </m:r>
                    </m:e>
                  </m:acc>
                </m:e>
                <m:sub>
                  <m:r>
                    <m:t>i</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 равный</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Постоянная часть времени чтения в классе</w:t>
            </w:r>
            <w:r>
              <w:rPr>
                <w:sz w:val="24"/>
                <w:szCs w:val="24"/>
              </w:rPr>
              <w:t xml:space="preserve"> </w:t>
            </w:r>
            <m:oMath>
              <m:r>
                <m:t>j</m:t>
              </m:r>
            </m:oMath>
            <w:r>
              <w:rPr>
                <w:sz w:val="24"/>
                <w:szCs w:val="24"/>
              </w:rPr>
              <w:t xml:space="preserve">, мс</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v</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передачи данных в классе</w:t>
            </w:r>
            <w:r>
              <w:rPr>
                <w:sz w:val="24"/>
                <w:szCs w:val="24"/>
              </w:rPr>
              <w:t xml:space="preserve"> </w:t>
            </w:r>
            <m:oMath>
              <m:r>
                <m:t>j</m:t>
              </m:r>
            </m:oMath>
            <w:r>
              <w:rPr>
                <w:sz w:val="24"/>
                <w:szCs w:val="24"/>
              </w:rPr>
              <w:t xml:space="preserve">, МиБ/мс</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C</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класса</w:t>
            </w:r>
            <w:r>
              <w:rPr>
                <w:sz w:val="24"/>
                <w:szCs w:val="24"/>
              </w:rPr>
              <w:t xml:space="preserve"> </w:t>
            </w:r>
            <m:oMath>
              <m:r>
                <m:t>j</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t>u</m:t>
                  </m:r>
                </m:e>
                <m:sub>
                  <m:r>
                    <m:t>j</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Допустимая доля занятости класса</w:t>
            </w:r>
            <w:r>
              <w:rPr>
                <w:sz w:val="24"/>
                <w:szCs w:val="24"/>
              </w:rPr>
              <w:t xml:space="preserve"> </w:t>
            </w:r>
            <m:oMath>
              <m:r>
                <m:t>j</m:t>
              </m:r>
            </m:oMath>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t</m:t>
                  </m:r>
                  <m:r>
                    <m:rPr>
                      <m:sty m:val="p"/>
                    </m:rPr>
                    <m:t>m</m:t>
                  </m:r>
                  <m:r>
                    <m:rPr>
                      <m:sty m:val="p"/>
                    </m:rPr>
                    <m:t>p</m:t>
                  </m:r>
                </m:sup>
              </m:sSubSup>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Объём временных копий в классе</w:t>
            </w:r>
            <w:r>
              <w:rPr>
                <w:sz w:val="24"/>
                <w:szCs w:val="24"/>
              </w:rPr>
              <w:t xml:space="preserve"> </w:t>
            </w:r>
            <m:oMath>
              <m:r>
                <m:t>j</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Sup>
                <m:e>
                  <m:r>
                    <m:t>S</m:t>
                  </m:r>
                </m:e>
                <m:sub>
                  <m:r>
                    <m:t>j</m:t>
                  </m:r>
                </m:sub>
                <m:sup>
                  <m:r>
                    <m:rPr>
                      <m:sty m:val="p"/>
                    </m:rPr>
                    <m:t>o</m:t>
                  </m:r>
                  <m:r>
                    <m:rPr>
                      <m:sty m:val="p"/>
                    </m:rPr>
                    <m:t>l</m:t>
                  </m:r>
                  <m:r>
                    <m:rPr>
                      <m:sty m:val="p"/>
                    </m:rPr>
                    <m:t>d</m:t>
                  </m:r>
                </m:sup>
              </m:sSubSup>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Объём предыдущих версий в классе</w:t>
            </w:r>
            <w:r>
              <w:rPr>
                <w:sz w:val="24"/>
                <w:szCs w:val="24"/>
              </w:rPr>
              <w:t xml:space="preserve"> </w:t>
            </w:r>
            <m:oMath>
              <m:r>
                <m:t>j</m:t>
              </m:r>
            </m:oMath>
            <w:r>
              <w:rPr>
                <w:sz w:val="24"/>
                <w:szCs w:val="24"/>
              </w:rPr>
              <w:t xml:space="preserve">,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B</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Остаток бюджета копирования на цикл за вычетом выполняемых переносов и неуспешных попыток, 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r>
                <m:t>P</m:t>
              </m:r>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Штраф за перенос 1 МиБ, мс/МиБ</w:t>
            </w:r>
          </w:p>
        </w:tc>
      </w:tr>
      <w:tr>
        <w:trPr>
          <w:cantSplit/>
        </w:trPr>
        <w:tc>
          <w:tcPr>
            <w:tcW w:w="1841" w:type="dxa"/>
          </w:tcPr>
          <w:p>
            <w:pPr>
              <w:pStyle w:val="Compact"/>
              <w:keepNext w:val="0"/>
              <w:pageBreakBefore w:val="0"/>
              <w:suppressAutoHyphens w:val="1"/>
              <w:spacing w:before="0" w:after="0" w:line="240" w:lineRule="auto"/>
              <w:ind w:firstLine="0" w:left="0" w:right="0"/>
              <w:jc w:val="left"/>
            </w:pPr>
            <m:oMath>
              <m:sSub>
                <m:e>
                  <m:r>
                    <m:rPr>
                      <m:sty m:val="p"/>
                    </m:rPr>
                    <m:t>Δ</m:t>
                  </m:r>
                </m:e>
                <m:sub>
                  <m:r>
                    <m:rPr>
                      <m:sty m:val="p"/>
                    </m:rPr>
                    <m:t>min</m:t>
                  </m:r>
                </m:sub>
              </m:sSub>
            </m:oMath>
          </w:p>
        </w:tc>
        <w:tc>
          <w:tcPr>
            <w:tcW w:w="7797" w:type="dxa"/>
          </w:tcPr>
          <w:p>
            <w:pPr>
              <w:pStyle w:val="Compact"/>
              <w:keepNext w:val="0"/>
              <w:pageBreakBefore w:val="0"/>
              <w:suppressAutoHyphens w:val="1"/>
              <w:spacing w:before="0" w:after="0" w:line="240" w:lineRule="auto"/>
              <w:ind w:firstLine="0" w:left="0" w:right="0"/>
              <w:jc w:val="both"/>
            </w:pPr>
            <w:r>
              <w:rPr>
                <w:sz w:val="24"/>
                <w:szCs w:val="24"/>
              </w:rPr>
              <w:t xml:space="preserve">Минимальный выигрыш набора переносов, мс</w:t>
            </w:r>
          </w:p>
        </w:tc>
      </w:tr>
    </w:tbl>
    <w:bookmarkEnd w:id="55"/>
    <w:p>
      <w:pPr>
        <w:pStyle w:val="a2"/>
        <w:spacing w:before="120"/>
      </w:pPr>
      <w:r>
        <w:t xml:space="preserve">Параметры</w:t>
      </w:r>
      <w:r>
        <w:t xml:space="preserve"> </w:t>
      </w:r>
      <m:oMath>
        <m:sSub>
          <m:e>
            <m:r>
              <m:t>c</m:t>
            </m:r>
          </m:e>
          <m:sub>
            <m:r>
              <m:t>j</m:t>
            </m:r>
          </m:sub>
        </m:sSub>
      </m:oMath>
      <w:r>
        <w:t xml:space="preserve"> </w:t>
      </w:r>
      <w:r>
        <w:t xml:space="preserve">и</w:t>
      </w:r>
      <w:r>
        <w:t xml:space="preserve"> </w:t>
      </w:r>
      <m:oMath>
        <m:sSub>
          <m:e>
            <m:r>
              <m:t>v</m:t>
            </m:r>
          </m:e>
          <m:sub>
            <m:r>
              <m:t>j</m:t>
            </m:r>
          </m:sub>
        </m:sSub>
      </m:oMath>
      <w:r>
        <w:t xml:space="preserve"> </w:t>
      </w:r>
      <w:r>
        <w:t xml:space="preserve">измеряются на стенде, долю</w:t>
      </w:r>
      <w:r>
        <w:t xml:space="preserve"> </w:t>
      </w:r>
      <m:oMath>
        <m:sSub>
          <m:e>
            <m:r>
              <m:t>u</m:t>
            </m:r>
          </m:e>
          <m:sub>
            <m:r>
              <m:t>j</m:t>
            </m:r>
          </m:sub>
        </m:sSub>
      </m:oMath>
      <w:r>
        <w:t xml:space="preserve"> </w:t>
      </w:r>
      <w:r>
        <w:t xml:space="preserve">и бюджет копирования задаёт администратор, а</w:t>
      </w:r>
      <w:r>
        <w:t xml:space="preserve"> </w:t>
      </w:r>
      <m:oMath>
        <m:r>
          <m:t>H</m:t>
        </m:r>
      </m:oMath>
      <w:r>
        <w:t xml:space="preserve">,</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подбираются на данных настройки. Ёмкость ограничивает размещение с учётом временных копий и предыдущих версий, а бюджет — объём переносов за цикл, поэтому при выборе плана проверяются оба ограничения.</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из класса линейно зависит от объёма и задаётся формулой (2.1).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t>j</m:t>
            </m:r>
          </m:sub>
        </m:sSub>
        <m:r>
          <m:rPr>
            <m:sty m:val="p"/>
          </m:rPr>
          <m:t>(</m:t>
        </m:r>
        <m:r>
          <m:t>d</m:t>
        </m:r>
        <m:r>
          <m:rPr>
            <m:sty m:val="p"/>
          </m:rPr>
          <m:t>)</m:t>
        </m:r>
        <m:r>
          <m:rPr>
            <m:sty m:val="p"/>
          </m:rPr>
          <m:t>=</m:t>
        </m:r>
        <m:sSub>
          <m:e>
            <m:r>
              <m:t>c</m:t>
            </m:r>
          </m:e>
          <m:sub>
            <m:r>
              <m:t>j</m:t>
            </m:r>
          </m:sub>
        </m:sSub>
        <m:r>
          <m:rPr>
            <m:sty m:val="p"/>
          </m:rPr>
          <m:t>+</m:t>
        </m:r>
        <m:f>
          <m:fPr>
            <m:type m:val="bar"/>
          </m:fPr>
          <m:num>
            <m:r>
              <m:t>d</m:t>
            </m:r>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(2.1)</w:t>
      </w:r>
    </w:p>
    <w:p>
      <w:pPr>
        <w:pStyle w:val="Where"/>
      </w:pPr>
      <w:r>
        <w:t xml:space="preserve">где</w:t>
      </w:r>
      <w:r>
        <w:tab/>
      </w:r>
      <m:oMath>
        <m:sSub>
          <m:e>
            <m:r>
              <m:t>t</m:t>
            </m:r>
          </m:e>
          <m:sub>
            <m:r>
              <m:t>j</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класса</w:t>
      </w:r>
      <w:r>
        <w:t xml:space="preserve"> </w:t>
      </w:r>
      <m:oMath>
        <m:r>
          <m:t>j</m:t>
        </m:r>
      </m:oMath>
      <w:r>
        <w:t xml:space="preserve">, мс;</w:t>
      </w:r>
    </w:p>
    <w:p>
      <w:pPr>
        <w:pStyle w:val="Where"/>
      </w:pPr>
      <w:r>
        <w:tab/>
      </w:r>
      <m:oMath>
        <m:r>
          <m:t>j</m:t>
        </m:r>
      </m:oMath>
      <w:r>
        <w:t xml:space="preserve"> </w:t>
      </w:r>
      <w:r>
        <w:t xml:space="preserve">— класс хранения, HOT или COLD;</w:t>
      </w:r>
    </w:p>
    <w:p>
      <w:pPr>
        <w:pStyle w:val="Where"/>
      </w:pPr>
      <w:r>
        <w:tab/>
      </w:r>
      <m:oMath>
        <m:r>
          <m:t>d</m:t>
        </m:r>
      </m:oMath>
      <w:r>
        <w:t xml:space="preserve"> </w:t>
      </w:r>
      <w:r>
        <w:t xml:space="preserve">— объём одного чтения, МиБ;</w:t>
      </w:r>
    </w:p>
    <w:p>
      <w:pPr>
        <w:pStyle w:val="Where"/>
      </w:pPr>
      <w:r>
        <w:tab/>
      </w:r>
      <m:oMath>
        <m:sSub>
          <m:e>
            <m:r>
              <m:t>c</m:t>
            </m:r>
          </m:e>
          <m:sub>
            <m:r>
              <m:t>j</m:t>
            </m:r>
          </m:sub>
        </m:sSub>
      </m:oMath>
      <w:r>
        <w:t xml:space="preserve"> </w:t>
      </w:r>
      <w:r>
        <w:t xml:space="preserve">— постоянная часть времени чтения в классе</w:t>
      </w:r>
      <w:r>
        <w:t xml:space="preserve"> </w:t>
      </w:r>
      <m:oMath>
        <m:r>
          <m:t>j</m:t>
        </m:r>
      </m:oMath>
      <w:r>
        <w:t xml:space="preserve">, мс;</w:t>
      </w:r>
    </w:p>
    <w:p>
      <w:pPr>
        <w:pStyle w:val="Where"/>
      </w:pPr>
      <w:r>
        <w:tab/>
      </w:r>
      <m:oMath>
        <m:sSub>
          <m:e>
            <m:r>
              <m:t>v</m:t>
            </m:r>
          </m:e>
          <m:sub>
            <m:r>
              <m:t>j</m:t>
            </m:r>
          </m:sub>
        </m:sSub>
      </m:oMath>
      <w:r>
        <w:t xml:space="preserve"> </w:t>
      </w:r>
      <w:r>
        <w:t xml:space="preserve">— скорость передачи данных в классе</w:t>
      </w:r>
      <w:r>
        <w:t xml:space="preserve"> </w:t>
      </w:r>
      <m:oMath>
        <m:r>
          <m:t>j</m:t>
        </m:r>
      </m:oMath>
      <w:r>
        <w:t xml:space="preserve">,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классе по формуле (2.2).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t>j</m:t>
            </m:r>
          </m:sup>
        </m:sSubSup>
        <m:r>
          <m:rPr>
            <m:sty m:val="p"/>
          </m:rPr>
          <m:t>=</m:t>
        </m:r>
        <m:sSub>
          <m:e>
            <m:acc>
              <m:accPr>
                <m:chr m:val="̂"/>
              </m:accPr>
              <m:e>
                <m:r>
                  <m:t>N</m:t>
                </m:r>
              </m:e>
            </m:acc>
          </m:e>
          <m:sub>
            <m:r>
              <m:t>i</m:t>
            </m:r>
          </m:sub>
        </m:sSub>
        <m:r>
          <m:t> </m:t>
        </m:r>
        <m:sSub>
          <m:e>
            <m:r>
              <m:t>c</m:t>
            </m:r>
          </m:e>
          <m:sub>
            <m:r>
              <m:t>j</m:t>
            </m:r>
          </m:sub>
        </m:sSub>
        <m:r>
          <m:rPr>
            <m:sty m:val="p"/>
          </m:rPr>
          <m:t>+</m:t>
        </m:r>
        <m:f>
          <m:fPr>
            <m:type m:val="bar"/>
          </m:fPr>
          <m:num>
            <m:sSub>
              <m:e>
                <m:acc>
                  <m:accPr>
                    <m:chr m:val="̂"/>
                  </m:accPr>
                  <m:e>
                    <m:r>
                      <m:t>D</m:t>
                    </m:r>
                  </m:e>
                </m:acc>
              </m:e>
              <m:sub>
                <m:r>
                  <m:t>i</m:t>
                </m:r>
              </m:sub>
            </m:sSub>
          </m:num>
          <m:den>
            <m:sSub>
              <m:e>
                <m:r>
                  <m:t>v</m:t>
                </m:r>
              </m:e>
              <m:sub>
                <m:r>
                  <m:t>j</m:t>
                </m:r>
              </m:sub>
            </m:sSub>
          </m:den>
        </m:f>
        <m:r>
          <m:rPr>
            <m:sty m:val="p"/>
          </m:rPr>
          <m:t>,</m:t>
        </m:r>
      </m:oMath>
      <w:r>
        <w:tab/>
      </w:r>
      <w:r>
        <w:rPr>
          <w:rFonts w:ascii="Times New Roman" w:hAnsi="Times New Roman" w:cs="Times New Roman" w:eastAsia="Times New Roman"/>
          <w:b w:val="0"/>
          <w:bCs w:val="0"/>
          <w:i w:val="0"/>
          <w:iCs w:val="0"/>
          <w:color w:val="000000"/>
          <w:sz w:val="28"/>
          <w:szCs w:val="28"/>
        </w:rPr>
        <w:t>(2.2)</w:t>
      </w:r>
    </w:p>
    <w:p>
      <w:pPr>
        <w:pStyle w:val="Where"/>
      </w:pPr>
      <w:r>
        <w:t xml:space="preserve">где</w:t>
      </w:r>
      <w:r>
        <w:tab/>
      </w:r>
      <m:oMath>
        <m:sSubSup>
          <m:e>
            <m:r>
              <m:t>L</m:t>
            </m:r>
          </m:e>
          <m:sub>
            <m:r>
              <m:t>i</m:t>
            </m:r>
          </m:sub>
          <m:sup>
            <m:r>
              <m:t>j</m:t>
            </m:r>
          </m:sup>
        </m:sSubSup>
      </m:oMath>
      <w:r>
        <w:t xml:space="preserve"> </w:t>
      </w:r>
      <w:r>
        <w:t xml:space="preserve">— ожидаемая суммарная задержка чтений объекта</w:t>
      </w:r>
      <w:r>
        <w:t xml:space="preserve"> </w:t>
      </w:r>
      <m:oMath>
        <m:r>
          <m:t>i</m:t>
        </m:r>
      </m:oMath>
      <w:r>
        <w:t xml:space="preserve"> </w:t>
      </w:r>
      <w:r>
        <w:t xml:space="preserve">в классе</w:t>
      </w:r>
      <w:r>
        <w:t xml:space="preserve"> </w:t>
      </w:r>
      <m:oMath>
        <m:r>
          <m:t>j</m:t>
        </m:r>
      </m:oMath>
      <w:r>
        <w:t xml:space="preserve"> </w:t>
      </w:r>
      <w:r>
        <w:t xml:space="preserve">за горизонт, мс;</w:t>
      </w:r>
    </w:p>
    <w:p>
      <w:pPr>
        <w:pStyle w:val="Where"/>
      </w:pP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Where"/>
      </w:pPr>
      <w:r>
        <w:tab/>
      </w:r>
      <m:oMath>
        <m:sSub>
          <m:e>
            <m:acc>
              <m:accPr>
                <m:chr m:val="̂"/>
              </m:accPr>
              <m:e>
                <m:r>
                  <m:t>D</m:t>
                </m:r>
              </m:e>
            </m:acc>
          </m:e>
          <m:sub>
            <m:r>
              <m:t>i</m:t>
            </m:r>
          </m:sub>
        </m:sSub>
      </m:oMath>
      <w:r>
        <w:t xml:space="preserve"> </w:t>
      </w:r>
      <w:r>
        <w:t xml:space="preserve">— прогноз прочитанного объёма объекта</w:t>
      </w:r>
      <w:r>
        <w:t xml:space="preserve"> </w:t>
      </w:r>
      <m:oMath>
        <m:r>
          <m:t>i</m:t>
        </m:r>
      </m:oMath>
      <w:r>
        <w:t xml:space="preserve"> </w:t>
      </w:r>
      <w:r>
        <w:t xml:space="preserve">за горизонт, МиБ.</w:t>
      </w:r>
    </w:p>
    <w:p>
      <w:pPr>
        <w:pStyle w:val="a2"/>
      </w:pPr>
      <w:r>
        <w:t xml:space="preserve">Выигрыш от размещения объекта в HOT равен разности его задержек в COLD и HOT по формуле (2.2) и вычисляется по формуле (2.3).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r>
          <m:rPr>
            <m:sty m:val="p"/>
          </m:rPr>
          <m:t>,</m:t>
        </m:r>
      </m:oMath>
      <w:r>
        <w:tab/>
      </w:r>
      <w:r>
        <w:rPr>
          <w:rFonts w:ascii="Times New Roman" w:hAnsi="Times New Roman" w:cs="Times New Roman" w:eastAsia="Times New Roman"/>
          <w:b w:val="0"/>
          <w:bCs w:val="0"/>
          <w:i w:val="0"/>
          <w:iCs w:val="0"/>
          <w:color w:val="000000"/>
          <w:sz w:val="28"/>
          <w:szCs w:val="28"/>
        </w:rPr>
        <w:t>(2.3)</w:t>
      </w:r>
    </w:p>
    <w:p>
      <w:pPr>
        <w:pStyle w:val="Where"/>
      </w:pPr>
      <w:r>
        <w:t xml:space="preserve">где</w:t>
      </w:r>
      <w:r>
        <w:tab/>
      </w:r>
      <m:oMath>
        <m:sSub>
          <m:e>
            <m:r>
              <m:rPr>
                <m:sty m:val="p"/>
              </m:rPr>
              <m:t>Δ</m:t>
            </m:r>
          </m:e>
          <m:sub>
            <m:r>
              <m:t>i</m:t>
            </m:r>
          </m:sub>
        </m:sSub>
      </m:oMath>
      <w:r>
        <w:t xml:space="preserve"> </w:t>
      </w:r>
      <w:r>
        <w:t xml:space="preserve">— уменьшение суммарной задержки чтений объекта</w:t>
      </w:r>
      <w:r>
        <w:t xml:space="preserve"> </w:t>
      </w:r>
      <m:oMath>
        <m:r>
          <m:t>i</m:t>
        </m:r>
      </m:oMath>
      <w:r>
        <w:t xml:space="preserve"> </w:t>
      </w:r>
      <w:r>
        <w:t xml:space="preserve">за горизонт при размещении в HOT,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oMath>
      <w:r>
        <w:tab/>
      </w:r>
      <w:r>
        <w:rPr>
          <w:rFonts w:ascii="Times New Roman" w:hAnsi="Times New Roman" w:cs="Times New Roman" w:eastAsia="Times New Roman"/>
          <w:b w:val="0"/>
          <w:bCs w:val="0"/>
          <w:i w:val="0"/>
          <w:iCs w:val="0"/>
          <w:color w:val="000000"/>
          <w:sz w:val="28"/>
          <w:szCs w:val="28"/>
        </w:rPr>
        <w:t>(2.4)</w:t>
      </w:r>
    </w:p>
    <w:p>
      <w:pPr>
        <w:pStyle w:val="Where"/>
      </w:pPr>
      <w:r>
        <w:t xml:space="preserve">где</w:t>
      </w:r>
      <w:r>
        <w:tab/>
      </w:r>
      <m:oMath>
        <m:r>
          <m:t>G</m:t>
        </m:r>
        <m:r>
          <m:rPr>
            <m:sty m:val="p"/>
          </m:rPr>
          <m:t>(</m:t>
        </m:r>
        <m:r>
          <m:t>h</m:t>
        </m:r>
        <m:r>
          <m:rPr>
            <m:sty m:val="p"/>
          </m:rPr>
          <m:t>)</m:t>
        </m:r>
      </m:oMath>
      <w:r>
        <w:t xml:space="preserve"> </w:t>
      </w:r>
      <w:r>
        <w:t xml:space="preserve">— чистый выигрыш плана за горизонт, мс;</w:t>
      </w:r>
    </w:p>
    <w:p>
      <w:pPr>
        <w:pStyle w:val="Where"/>
      </w:pPr>
      <w:r>
        <w:tab/>
      </w:r>
      <m:oMath>
        <m:r>
          <m:t>h</m:t>
        </m:r>
      </m:oMath>
      <w:r>
        <w:t xml:space="preserve"> </w:t>
      </w:r>
      <w:r>
        <w:t xml:space="preserve">— план, то есть размещения</w:t>
      </w:r>
      <w:r>
        <w:t xml:space="preserve"> </w:t>
      </w:r>
      <m:oMath>
        <m:sSub>
          <m:e>
            <m:r>
              <m:t>h</m:t>
            </m:r>
          </m:e>
          <m:sub>
            <m:r>
              <m:t>i</m:t>
            </m:r>
          </m:sub>
        </m:sSub>
      </m:oMath>
      <w:r>
        <w:t xml:space="preserve"> </w:t>
      </w:r>
      <w:r>
        <w:t xml:space="preserve">всех объектов из</w:t>
      </w:r>
      <w:r>
        <w:t xml:space="preserve"> </w:t>
      </w:r>
      <m:oMath>
        <m:r>
          <m:t>I</m:t>
        </m:r>
      </m:oMath>
      <w:r>
        <w:t xml:space="preserve">;</w:t>
      </w:r>
    </w:p>
    <w:p>
      <w:pPr>
        <w:pStyle w:val="Where"/>
      </w:pPr>
      <w:r>
        <w:tab/>
      </w: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w:r>
        <w:tab/>
      </w:r>
      <m:oMath>
        <m:r>
          <m:t>P</m:t>
        </m:r>
      </m:oMath>
      <w:r>
        <w:t xml:space="preserve"> </w:t>
      </w:r>
      <w:r>
        <w:t xml:space="preserve">— штраф за перенос 1 МиБ, мс/МиБ;</w:t>
      </w:r>
    </w:p>
    <w:p>
      <w:pPr>
        <w:pStyle w:val="Where"/>
      </w:pPr>
      <w:r>
        <w:tab/>
      </w:r>
      <m:oMath>
        <m:sSub>
          <m:e>
            <m:r>
              <m:t>I</m:t>
            </m:r>
          </m:e>
          <m:sub>
            <m:r>
              <m:rPr>
                <m:sty m:val="p"/>
              </m:rPr>
              <m:t>п</m:t>
            </m:r>
            <m:r>
              <m:rPr>
                <m:sty m:val="p"/>
              </m:rPr>
              <m:t>е</m:t>
            </m:r>
            <m:r>
              <m:rPr>
                <m:sty m:val="p"/>
              </m:rPr>
              <m:t>р</m:t>
            </m:r>
          </m:sub>
        </m:sSub>
      </m:oMath>
      <w:r>
        <w:t xml:space="preserve"> </w:t>
      </w:r>
      <w:r>
        <w:t xml:space="preserve">— множество переносимых объектов, у которых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w:t>
      </w:r>
    </w:p>
    <w:p>
      <w:pPr>
        <w:pStyle w:val="a2"/>
      </w:pPr>
      <w:r>
        <w:t xml:space="preserve">Вводимый в работе штраф</w:t>
      </w:r>
      <w:r>
        <w:t xml:space="preserve"> </w:t>
      </w:r>
      <m:oMath>
        <m:r>
          <m:t>P</m:t>
        </m:r>
      </m:oMath>
      <w:r>
        <w:t xml:space="preserve"> </w:t>
      </w:r>
      <w:r>
        <w:t xml:space="preserve">переводит объём копирования в миллисекунды задержки из-за конкуренции копирования с чтениями. Ёмкость каждого класса с учётом временных копий и предыдущих версий ограничена условием (2.5).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t>j</m:t>
                </m:r>
              </m:sub>
            </m:sSub>
          </m:sub>
          <m:sup>
            <m:r>
              <m:t>​</m:t>
            </m:r>
          </m:sup>
          <m:e>
            <m:sSub>
              <m:e>
                <m:r>
                  <m:t>s</m:t>
                </m:r>
              </m:e>
              <m:sub>
                <m:r>
                  <m:t>i</m:t>
                </m:r>
              </m:sub>
            </m:sSub>
          </m:e>
        </m:nary>
        <m:r>
          <m:rPr>
            <m:sty m:val="p"/>
          </m:rPr>
          <m:t>+</m:t>
        </m:r>
        <m:sSubSup>
          <m:e>
            <m:r>
              <m:t>S</m:t>
            </m:r>
          </m:e>
          <m:sub>
            <m:r>
              <m:t>j</m:t>
            </m:r>
          </m:sub>
          <m:sup>
            <m:r>
              <m:rPr>
                <m:sty m:val="p"/>
              </m:rPr>
              <m:t>t</m:t>
            </m:r>
            <m:r>
              <m:rPr>
                <m:sty m:val="p"/>
              </m:rPr>
              <m:t>m</m:t>
            </m:r>
            <m:r>
              <m:rPr>
                <m:sty m:val="p"/>
              </m:rPr>
              <m:t>p</m:t>
            </m:r>
          </m:sup>
        </m:sSubSup>
        <m:r>
          <m:rPr>
            <m:sty m:val="p"/>
          </m:rPr>
          <m:t>+</m:t>
        </m:r>
        <m:sSubSup>
          <m:e>
            <m:r>
              <m:t>S</m:t>
            </m:r>
          </m:e>
          <m:sub>
            <m:r>
              <m:t>j</m:t>
            </m:r>
          </m:sub>
          <m:sup>
            <m:r>
              <m:rPr>
                <m:sty m:val="p"/>
              </m:rPr>
              <m:t>o</m:t>
            </m:r>
            <m:r>
              <m:rPr>
                <m:sty m:val="p"/>
              </m:rPr>
              <m:t>l</m:t>
            </m:r>
            <m:r>
              <m:rPr>
                <m:sty m:val="p"/>
              </m:rPr>
              <m:t>d</m:t>
            </m:r>
          </m:sup>
        </m:sSubSup>
        <m:r>
          <m:rPr>
            <m:sty m:val="p"/>
          </m:rPr>
          <m:t>≤</m:t>
        </m:r>
        <m:sSub>
          <m:e>
            <m:r>
              <m:t>u</m:t>
            </m:r>
          </m:e>
          <m:sub>
            <m:r>
              <m:t>j</m:t>
            </m:r>
          </m:sub>
        </m:sSub>
        <m:sSub>
          <m:e>
            <m:r>
              <m:t>C</m:t>
            </m:r>
          </m:e>
          <m:sub>
            <m:r>
              <m:t>j</m:t>
            </m:r>
          </m:sub>
        </m:sSub>
        <m:r>
          <m:rPr>
            <m:sty m:val="p"/>
          </m:rPr>
          <m:t>,</m:t>
        </m:r>
      </m:oMath>
      <w:r>
        <w:tab/>
      </w:r>
      <w:r>
        <w:rPr>
          <w:rFonts w:ascii="Times New Roman" w:hAnsi="Times New Roman" w:cs="Times New Roman" w:eastAsia="Times New Roman"/>
          <w:b w:val="0"/>
          <w:bCs w:val="0"/>
          <w:i w:val="0"/>
          <w:iCs w:val="0"/>
          <w:color w:val="000000"/>
          <w:sz w:val="28"/>
          <w:szCs w:val="28"/>
        </w:rPr>
        <w:t>(2.5)</w:t>
      </w:r>
    </w:p>
    <w:p>
      <w:pPr>
        <w:pStyle w:val="Where"/>
      </w:pPr>
      <w:r>
        <w:t xml:space="preserve">где</w:t>
      </w:r>
      <w:r>
        <w:tab/>
      </w:r>
      <m:oMath>
        <m:sSub>
          <m:e>
            <m:r>
              <m:t>I</m:t>
            </m:r>
          </m:e>
          <m:sub>
            <m:r>
              <m:t>j</m:t>
            </m:r>
          </m:sub>
        </m:sSub>
      </m:oMath>
      <w:r>
        <w:t xml:space="preserve"> </w:t>
      </w:r>
      <w:r>
        <w:t xml:space="preserve">— множество объектов, размещённых по плану в классе</w:t>
      </w:r>
      <w:r>
        <w:t xml:space="preserve"> </w:t>
      </w:r>
      <m:oMath>
        <m:r>
          <m:t>j</m:t>
        </m:r>
      </m:oMath>
      <w:r>
        <w:t xml:space="preserve">;</w:t>
      </w:r>
    </w:p>
    <w:p>
      <w:pPr>
        <w:pStyle w:val="Where"/>
      </w:pPr>
      <w:r>
        <w:tab/>
      </w:r>
      <m:oMath>
        <m:sSubSup>
          <m:e>
            <m:r>
              <m:t>S</m:t>
            </m:r>
          </m:e>
          <m:sub>
            <m:r>
              <m:t>j</m:t>
            </m:r>
          </m:sub>
          <m:sup>
            <m:r>
              <m:rPr>
                <m:sty m:val="p"/>
              </m:rPr>
              <m:t>t</m:t>
            </m:r>
            <m:r>
              <m:rPr>
                <m:sty m:val="p"/>
              </m:rPr>
              <m:t>m</m:t>
            </m:r>
            <m:r>
              <m:rPr>
                <m:sty m:val="p"/>
              </m:rPr>
              <m:t>p</m:t>
            </m:r>
          </m:sup>
        </m:sSubSup>
      </m:oMath>
      <w:r>
        <w:t xml:space="preserve"> </w:t>
      </w:r>
      <w:r>
        <w:t xml:space="preserve">— объём временных копий в классе</w:t>
      </w:r>
      <w:r>
        <w:t xml:space="preserve"> </w:t>
      </w:r>
      <m:oMath>
        <m:r>
          <m:t>j</m:t>
        </m:r>
      </m:oMath>
      <w:r>
        <w:t xml:space="preserve">: целевых копий выполняемых переносов, источников до удаления и неудалённых копий, МиБ;</w:t>
      </w:r>
    </w:p>
    <w:p>
      <w:pPr>
        <w:pStyle w:val="Where"/>
      </w:pPr>
      <w:r>
        <w:tab/>
      </w:r>
      <m:oMath>
        <m:sSubSup>
          <m:e>
            <m:r>
              <m:t>S</m:t>
            </m:r>
          </m:e>
          <m:sub>
            <m:r>
              <m:t>j</m:t>
            </m:r>
          </m:sub>
          <m:sup>
            <m:r>
              <m:rPr>
                <m:sty m:val="p"/>
              </m:rPr>
              <m:t>o</m:t>
            </m:r>
            <m:r>
              <m:rPr>
                <m:sty m:val="p"/>
              </m:rPr>
              <m:t>l</m:t>
            </m:r>
            <m:r>
              <m:rPr>
                <m:sty m:val="p"/>
              </m:rPr>
              <m:t>d</m:t>
            </m:r>
          </m:sup>
        </m:sSubSup>
      </m:oMath>
      <w:r>
        <w:t xml:space="preserve"> </w:t>
      </w:r>
      <w:r>
        <w:t xml:space="preserve">— объём предыдущих версий в классе</w:t>
      </w:r>
      <w:r>
        <w:t xml:space="preserve"> </w:t>
      </w:r>
      <m:oMath>
        <m:r>
          <m:t>j</m:t>
        </m:r>
      </m:oMath>
      <w:r>
        <w:t xml:space="preserve">, МиБ;</w:t>
      </w:r>
    </w:p>
    <w:p>
      <w:pPr>
        <w:pStyle w:val="Where"/>
      </w:pPr>
      <w:r>
        <w:tab/>
      </w:r>
      <m:oMath>
        <m:sSub>
          <m:e>
            <m:r>
              <m:t>u</m:t>
            </m:r>
          </m:e>
          <m:sub>
            <m:r>
              <m:t>j</m:t>
            </m:r>
          </m:sub>
        </m:sSub>
      </m:oMath>
      <w:r>
        <w:t xml:space="preserve"> </w:t>
      </w:r>
      <w:r>
        <w:t xml:space="preserve">— допустимая доля занятости класса</w:t>
      </w:r>
      <w:r>
        <w:t xml:space="preserve"> </w:t>
      </w:r>
      <m:oMath>
        <m:r>
          <m:t>j</m:t>
        </m:r>
      </m:oMath>
      <w:r>
        <w:t xml:space="preserve">;</w:t>
      </w:r>
    </w:p>
    <w:p>
      <w:pPr>
        <w:pStyle w:val="Where"/>
      </w:pPr>
      <w:r>
        <w:tab/>
      </w:r>
      <m:oMath>
        <m:sSub>
          <m:e>
            <m:r>
              <m:t>C</m:t>
            </m:r>
          </m:e>
          <m:sub>
            <m:r>
              <m:t>j</m:t>
            </m:r>
          </m:sub>
        </m:sSub>
      </m:oMath>
      <w:r>
        <w:t xml:space="preserve"> </w:t>
      </w:r>
      <w:r>
        <w:t xml:space="preserve">— ёмкость класса</w:t>
      </w:r>
      <w:r>
        <w:t xml:space="preserve"> </w:t>
      </w:r>
      <m:oMath>
        <m:r>
          <m:t>j</m:t>
        </m:r>
      </m:oMath>
      <w:r>
        <w:t xml:space="preserve">, МиБ.</w:t>
      </w:r>
    </w:p>
    <w:p>
      <w:pPr>
        <w:pStyle w:val="a2"/>
      </w:pPr>
      <w:r>
        <w:t xml:space="preserve">Объём копирования за цикл ограничен бюджетом из раздела 1.3.5 пояснительной записки по условию (2.6).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r>
          <m:rPr>
            <m:sty m:val="p"/>
          </m:rPr>
          <m:t>,</m:t>
        </m:r>
      </m:oMath>
      <w:r>
        <w:tab/>
      </w:r>
      <w:r>
        <w:rPr>
          <w:rFonts w:ascii="Times New Roman" w:hAnsi="Times New Roman" w:cs="Times New Roman" w:eastAsia="Times New Roman"/>
          <w:b w:val="0"/>
          <w:bCs w:val="0"/>
          <w:i w:val="0"/>
          <w:iCs w:val="0"/>
          <w:color w:val="000000"/>
          <w:sz w:val="28"/>
          <w:szCs w:val="28"/>
        </w:rPr>
        <w:t>(2.6)</w:t>
      </w:r>
    </w:p>
    <w:p>
      <w:pPr>
        <w:pStyle w:val="Where"/>
      </w:pPr>
      <w:r>
        <w:t xml:space="preserve">где</w:t>
      </w:r>
      <w:r>
        <w:tab/>
      </w:r>
      <m:oMath>
        <m:r>
          <m:t>B</m:t>
        </m:r>
      </m:oMath>
      <w:r>
        <w:t xml:space="preserve"> </w:t>
      </w:r>
      <w:r>
        <w:t xml:space="preserve">— остаток бюджета копирования на цикл, МиБ.</w:t>
      </w:r>
    </w:p>
    <w:p>
      <w:pPr>
        <w:pStyle w:val="a2"/>
      </w:pPr>
      <w:r>
        <w:t xml:space="preserve">Вводимый в работе порог</w:t>
      </w:r>
      <w:r>
        <w:t xml:space="preserve"> </w:t>
      </w:r>
      <m:oMath>
        <m:sSub>
          <m:e>
            <m:r>
              <m:rPr>
                <m:sty m:val="p"/>
              </m:rPr>
              <m:t>Δ</m:t>
            </m:r>
          </m:e>
          <m:sub>
            <m:r>
              <m:rPr>
                <m:sty m:val="p"/>
              </m:rPr>
              <m:t>min</m:t>
            </m:r>
          </m:sub>
        </m:sSub>
      </m:oMath>
      <w:r>
        <w:t xml:space="preserve"> </w:t>
      </w:r>
      <w:r>
        <w:t xml:space="preserve">в целевую функцию не входит: набор переносов принимается, только если его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 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служит только для его проверки на малых задачах.</w:t>
      </w:r>
    </w:p>
    <w:bookmarkEnd w:id="56"/>
    <w:bookmarkStart w:id="61" w:name="модель-прогнозирования-востребованности"/>
    <w:p>
      <w:pPr>
        <w:pStyle w:val="30"/>
      </w:pPr>
      <w:bookmarkStart w:id="194" w:name="GOSTHeading194"/>
      <w:r>
        <w:t xml:space="preserve">2.1.2 Модель прогнозирования востребованности</w:t>
      </w:r>
      <w:bookmarkEnd w:id="194"/>
    </w:p>
    <w:p>
      <w:pPr>
        <w:pStyle w:val="FirstParagraph"/>
        <w:keepNext w:val="1"/>
      </w:pPr>
      <w:r>
        <w:t xml:space="preserve">Выигрыш (2.3) пропорционален числу чтений, а на коротком горизонте у большинства объектов чтений нет. Поэтому используется двухэтапная модель с барьером (англ. Hurdle Model) [30], показанная на Рисунке 2.1: 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Пунктиром на схеме показаны базовые оценки, которые выдают прогноз через тот же интерфейс, что и модель, и приводятся к числу чтений за</w:t>
      </w:r>
      <w:r>
        <w:t xml:space="preserve"> </w:t>
      </w:r>
      <m:oMath>
        <m:r>
          <m:t>H</m:t>
        </m:r>
      </m:oMath>
      <w:r>
        <w:t xml:space="preserve">: EWMA и частота пересчётом, время с последнего чтения и возраст — монотонной функцией, подобранной на данных настройки. EWMA служит также базовой политикой из функционального требования F-12. Модель и базовые оценки передают прогноз одному и тому же планировщику, поэтому при сравнении политик различается только оценка спроса, а разница в задержке чтения показывает вклад прогноза, а не алгоритма планирования.</w:t>
      </w:r>
    </w:p>
    <w:p>
      <w:pPr>
        <w:pStyle w:val="a2"/>
      </w:pPr>
      <w:r>
        <w:t xml:space="preserve">Обе части модели строятся градиентным бустингом деревьев решений (англ. Gradient Boosting Decision Tree, далее GBDT) [31], в котором модель представляется суммой деревьев по формуле (2.7).</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(2.7)</w:t>
      </w:r>
    </w:p>
    <w:p>
      <w:pPr>
        <w:pStyle w:val="Where"/>
      </w:pPr>
      <w:r>
        <w:t xml:space="preserve">где</w:t>
      </w:r>
      <w:r>
        <w:tab/>
      </w:r>
      <m:oMath>
        <m:r>
          <m:t>F</m:t>
        </m:r>
        <m:r>
          <m:rPr>
            <m:sty m:val="p"/>
          </m:rPr>
          <m:t>(</m:t>
        </m:r>
        <m:r>
          <m:t>x</m:t>
        </m:r>
        <m:r>
          <m:rPr>
            <m:sty m:val="p"/>
          </m:rPr>
          <m:t>)</m:t>
        </m:r>
      </m:oMath>
      <w:r>
        <w:t xml:space="preserve"> </w:t>
      </w:r>
      <w:r>
        <w:t xml:space="preserve">— выход модели до преобразования в прогноз;</w:t>
      </w:r>
    </w:p>
    <w:p>
      <w:pPr>
        <w:pStyle w:val="Where"/>
      </w:pPr>
      <w:r>
        <w:tab/>
      </w:r>
      <m:oMath>
        <m:r>
          <m:t>x</m:t>
        </m:r>
      </m:oMath>
      <w:r>
        <w:t xml:space="preserve"> </w:t>
      </w:r>
      <w:r>
        <w:t xml:space="preserve">— вектор признаков объекта, состав которого приведён в разделе 2.1.3 пояснительной записки;</w:t>
      </w:r>
    </w:p>
    <w:p>
      <w:pPr>
        <w:pStyle w:val="Where"/>
      </w:pPr>
      <w:r>
        <w:tab/>
      </w:r>
      <m:oMath>
        <m:sSub>
          <m:e>
            <m:r>
              <m:t>F</m:t>
            </m:r>
          </m:e>
          <m:sub>
            <m:r>
              <m:t>0</m:t>
            </m:r>
          </m:sub>
        </m:sSub>
      </m:oMath>
      <w:r>
        <w:t xml:space="preserve"> </w:t>
      </w:r>
      <w:r>
        <w:t xml:space="preserve">— начальное приближение;</w:t>
      </w:r>
    </w:p>
    <w:p>
      <w:pPr>
        <w:pStyle w:val="Where"/>
      </w:pPr>
      <w:r>
        <w:tab/>
      </w:r>
      <m:oMath>
        <m:r>
          <m:t>η</m:t>
        </m:r>
      </m:oMath>
      <w:r>
        <w:t xml:space="preserve"> </w:t>
      </w:r>
      <w:r>
        <w:t xml:space="preserve">— коэффициент обучения;</w:t>
      </w:r>
    </w:p>
    <w:p>
      <w:pPr>
        <w:pStyle w:val="Where"/>
      </w:pPr>
      <w:r>
        <w:tab/>
      </w:r>
      <m:oMath>
        <m:r>
          <m:t>M</m:t>
        </m:r>
      </m:oMath>
      <w:r>
        <w:t xml:space="preserve"> </w:t>
      </w:r>
      <w:r>
        <w:t xml:space="preserve">— число деревьев;</w:t>
      </w:r>
    </w:p>
    <w:p>
      <w:pPr>
        <w:pStyle w:val="Where"/>
      </w:pPr>
      <w:r>
        <w:tab/>
      </w: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[32] по формуле (2.8).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r>
          <m:rPr>
            <m:sty m:val="p"/>
          </m:rPr>
          <m:t>,</m:t>
        </m:r>
      </m:oMath>
      <w:r>
        <w:tab/>
      </w:r>
      <w:r>
        <w:rPr>
          <w:rFonts w:ascii="Times New Roman" w:hAnsi="Times New Roman" w:cs="Times New Roman" w:eastAsia="Times New Roman"/>
          <w:b w:val="0"/>
          <w:bCs w:val="0"/>
          <w:i w:val="0"/>
          <w:iCs w:val="0"/>
          <w:color w:val="000000"/>
          <w:sz w:val="28"/>
          <w:szCs w:val="28"/>
        </w:rPr>
        <w:t>(2.8)</w:t>
      </w:r>
    </w:p>
    <w:p>
      <w:pPr>
        <w:pStyle w:val="Where"/>
      </w:pPr>
      <w:r>
        <w:t xml:space="preserve">где</w:t>
      </w:r>
      <w:r>
        <w:tab/>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w:r>
        <w:tab/>
      </w: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(2.7).</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(2.9).</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(2.9)</w:t>
      </w:r>
    </w:p>
    <w:p>
      <w:pPr>
        <w:pStyle w:val="Where"/>
      </w:pPr>
      <w:r>
        <w:t xml:space="preserve">где</w:t>
      </w:r>
      <w:r>
        <w:tab/>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w:r>
        <w:tab/>
      </w: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(2.7).</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[32].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(2.10).</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acc>
              <m:accPr>
                <m:chr m:val="̂"/>
              </m:accPr>
              <m:e>
                <m:r>
                  <m:t>N</m:t>
                </m:r>
              </m:e>
            </m:acc>
          </m:e>
          <m:sub>
            <m:r>
              <m:t>i</m:t>
            </m:r>
          </m:sub>
        </m:sSub>
        <m:r>
          <m:rPr>
            <m:sty m:val="p"/>
          </m:rPr>
          <m:t>=</m:t>
        </m:r>
        <m:sSub>
          <m:e>
            <m:r>
              <m:t>p</m:t>
            </m:r>
          </m:e>
          <m:sub>
            <m:r>
              <m:t>i</m:t>
            </m:r>
          </m:sub>
        </m:sSub>
        <m:sSub>
          <m:e>
            <m:r>
              <m:t>m</m:t>
            </m:r>
          </m:e>
          <m:sub>
            <m:r>
              <m:t>i</m:t>
            </m:r>
          </m:sub>
        </m:sSub>
        <m:r>
          <m:rPr>
            <m:sty m:val="p"/>
          </m:rPr>
          <m:t>,</m:t>
        </m:r>
      </m:oMath>
      <w:r>
        <w:tab/>
      </w:r>
      <w:r>
        <w:rPr>
          <w:rFonts w:ascii="Times New Roman" w:hAnsi="Times New Roman" w:cs="Times New Roman" w:eastAsia="Times New Roman"/>
          <w:b w:val="0"/>
          <w:bCs w:val="0"/>
          <w:i w:val="0"/>
          <w:iCs w:val="0"/>
          <w:color w:val="000000"/>
          <w:sz w:val="28"/>
          <w:szCs w:val="28"/>
        </w:rPr>
        <w:t>(2.10)</w:t>
      </w:r>
    </w:p>
    <w:p>
      <w:pPr>
        <w:pStyle w:val="Where"/>
      </w:pPr>
      <w:r>
        <w:t xml:space="preserve">где</w:t>
      </w:r>
      <w:r>
        <w:tab/>
      </w:r>
      <m:oMath>
        <m:sSub>
          <m:e>
            <m:acc>
              <m:accPr>
                <m:chr m:val="̂"/>
              </m:accPr>
              <m:e>
                <m:r>
                  <m:t>N</m:t>
                </m:r>
              </m:e>
            </m:acc>
          </m:e>
          <m:sub>
            <m:r>
              <m:t>i</m:t>
            </m:r>
          </m:sub>
        </m:sSub>
      </m:oMath>
      <w:r>
        <w:t xml:space="preserve"> </w:t>
      </w:r>
      <w:r>
        <w:t xml:space="preserve">— прогноз числа клиентских чтений объекта</w:t>
      </w:r>
      <w:r>
        <w:t xml:space="preserve"> </w:t>
      </w:r>
      <m:oMath>
        <m:r>
          <m:t>i</m:t>
        </m:r>
      </m:oMath>
      <w:r>
        <w:t xml:space="preserve"> </w:t>
      </w:r>
      <w:r>
        <w:t xml:space="preserve">за горизонт.</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[32]. Регрессор обучается только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с логарифмической связью, принятой для пуассоновской регрессии [32], [33], по формуле (2.11).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(2.11)</w:t>
      </w:r>
    </w:p>
    <w:p>
      <w:pPr>
        <w:pStyle w:val="Where"/>
      </w:pPr>
      <w:r>
        <w:t xml:space="preserve">где</w:t>
      </w:r>
      <w:r>
        <w:tab/>
      </w:r>
      <m:oMath>
        <m:acc>
          <m:accPr>
            <m:chr m:val="̂"/>
          </m:accPr>
          <m:e>
            <m:r>
              <m:t>y</m:t>
            </m:r>
          </m:e>
        </m:acc>
      </m:oMath>
      <w:r>
        <w:t xml:space="preserve"> </w:t>
      </w:r>
      <w:r>
        <w:t xml:space="preserve">— прогноз регрессора для величины</w:t>
      </w:r>
      <w:r>
        <w:t xml:space="preserve"> </w:t>
      </w:r>
      <m:oMath>
        <m:r>
          <m:t>y</m:t>
        </m:r>
      </m:oMath>
      <w:r>
        <w:t xml:space="preserve">, по формуле (2.9) равный</w:t>
      </w:r>
      <w:r>
        <w:t xml:space="preserve"> </w:t>
      </w:r>
      <m:oMath>
        <m:sSub>
          <m:e>
            <m:r>
              <m:t>m</m:t>
            </m:r>
          </m:e>
          <m:sub>
            <m:r>
              <m:t>i</m:t>
            </m:r>
          </m:sub>
        </m:sSub>
        <m:r>
          <m:rPr>
            <m:sty m:val="p"/>
          </m:rPr>
          <m:t>−</m:t>
        </m:r>
        <m:r>
          <m:t>1</m:t>
        </m:r>
      </m:oMath>
      <w:r>
        <w:t xml:space="preserve">.</w:t>
      </w:r>
    </w:p>
    <w:p>
      <w:pPr>
        <w:pStyle w:val="a2"/>
      </w:pPr>
      <w:r>
        <w:t xml:space="preserve">Регрессор обучается с функцией потерь Пуассона [32], [33], которая совпадает с отрицательным логарифмом правдоподобия Пуассона без постоянного слагаемого и задаётся формулой (2.12).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r>
          <m:rPr>
            <m:sty m:val="p"/>
          </m:rPr>
          <m:t>,</m:t>
        </m:r>
      </m:oMath>
      <w:r>
        <w:tab/>
      </w:r>
      <w:r>
        <w:rPr>
          <w:rFonts w:ascii="Times New Roman" w:hAnsi="Times New Roman" w:cs="Times New Roman" w:eastAsia="Times New Roman"/>
          <w:b w:val="0"/>
          <w:bCs w:val="0"/>
          <w:i w:val="0"/>
          <w:iCs w:val="0"/>
          <w:color w:val="000000"/>
          <w:sz w:val="28"/>
          <w:szCs w:val="28"/>
        </w:rPr>
        <w:t>(2.12)</w:t>
      </w:r>
    </w:p>
    <w:p>
      <w:pPr>
        <w:pStyle w:val="Where"/>
      </w:pPr>
      <w:r>
        <w:t xml:space="preserve">где</w:t>
      </w:r>
      <w:r>
        <w:tab/>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w:r>
        <w:tab/>
      </w: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a2"/>
      </w:pPr>
      <w:r>
        <w:t xml:space="preserve">GBDT выбран потому, что признаки модели образуют табличные данные, на которых ансамбли деревьев не уступают нейронным сетям по качеству при меньших затратах [34]. Кроме того, такие модели обучаются на процессоре и показывают значимость признаков.</w:t>
      </w:r>
    </w:p>
    <w:p>
      <w:pPr>
        <w:pStyle w:val="a2"/>
      </w:pPr>
      <w:r>
        <w:t xml:space="preserve">Однократный всплеск без предвестников модель не предсказывает, а новый объект оценивает грубо. На равномерной случайной нагрузке прогнозировать нечего, поэтому преимущества быть не должно: этот сценарий проверяет саму методику сравнения, и выигрыш на нём указывал бы на ошибку в эксперименте.</w:t>
      </w:r>
    </w:p>
    <w:bookmarkEnd w:id="61"/>
    <w:bookmarkStart w:id="63" w:name="X5cb85bb2864257b50580b8dfa11fbf34fed6abe"/>
    <w:p>
      <w:pPr>
        <w:pStyle w:val="30"/>
      </w:pPr>
      <w:bookmarkStart w:id="195" w:name="GOSTHeading195"/>
      <w:r>
        <w:t xml:space="preserve">2.1.3 Обработка данных и формирование обучающих примеров</w:t>
      </w:r>
      <w:bookmarkEnd w:id="195"/>
    </w:p>
    <w:p>
      <w:pPr>
        <w:pStyle w:val="FirstParagraph"/>
      </w:pPr>
      <w:r>
        <w:t xml:space="preserve">Признаки и метки строятся по истории клиентских чтений каждого объекта, подготовленной по правилам раздела 1.1.4 пояснительной записки. Текущий класс и задержка чтения в признаки не входят, так как отражают прежнее решение о размещении, а не спрос: иначе модель связала бы медленные чтения из COLD с низкой востребованностью и закрепляла бы объекты в COLD.</w:t>
      </w:r>
    </w:p>
    <w:p>
      <w:pPr>
        <w:pStyle w:val="a2"/>
      </w:pPr>
      <w:r>
        <w:t xml:space="preserve">По агрегатам событий строятся признаки с версией правил расчёта, состав которых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cantSplit/>
        </w:trPr>
        <w:tc>
          <w:tcPr>
            <w:tcW w:w="2500" w:type="dxa"/>
          </w:tcPr>
          <w:p>
            <w:pPr>
              <w:pStyle w:val="Compact"/>
              <w:keepNext w:val="0"/>
              <w:pageBreakBefore w:val="0"/>
              <w:suppressAutoHyphens w:val="1"/>
              <w:spacing w:before="0" w:after="0" w:line="240" w:lineRule="auto"/>
              <w:ind w:firstLine="0" w:left="0" w:right="0"/>
              <w:jc w:val="center"/>
            </w:pPr>
            <w:r>
              <w:rPr>
                <w:b w:val="1"/>
                <w:sz w:val="24"/>
                <w:szCs w:val="24"/>
              </w:rPr>
              <w:t xml:space="preserve">Группа</w:t>
            </w:r>
          </w:p>
        </w:tc>
        <w:tc>
          <w:tcPr>
            <w:tcW w:w="7138"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Признаки</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Объект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Логарифм размера, возраст версии, число перезаписей за окно</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Последние чтения</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Время с последнего и предпоследнего чтения</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Частота и сглаживание</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Чтения за окна длительностью от минут до суток, EWMA с несколькими периодами полураспада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Динамика и повторяемость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Объём и бакет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 за чтение, чтения бакета за окно, доля активных объектов бакета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Полнота</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[35], [36], признаки строятся только по событиям до момента</w:t>
      </w:r>
      <w:r>
        <w:t xml:space="preserve"> </w:t>
      </w:r>
      <m:oMath>
        <m:r>
          <m:t>T</m:t>
        </m:r>
      </m:oMath>
      <w:r>
        <w:t xml:space="preserve"> </w:t>
      </w:r>
      <w:r>
        <w:t xml:space="preserve">по формуле (2.13).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(2.13)</w:t>
      </w:r>
    </w:p>
    <w:p>
      <w:pPr>
        <w:pStyle w:val="Where"/>
      </w:pPr>
      <w:r>
        <w:t xml:space="preserve">где</w:t>
      </w:r>
      <w:r>
        <w:tab/>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w:r>
        <w:tab/>
      </w: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w:r>
        <w:tab/>
      </w:r>
      <m:oMath>
        <m:r>
          <m:t>e</m:t>
        </m:r>
      </m:oMath>
      <w:r>
        <w:t xml:space="preserve"> </w:t>
      </w:r>
      <w:r>
        <w:t xml:space="preserve">— событие обращения;</w:t>
      </w:r>
    </w:p>
    <w:p>
      <w:pPr>
        <w:pStyle w:val="Where"/>
      </w:pPr>
      <w:r>
        <w:tab/>
      </w: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w:r>
        <w:tab/>
      </w: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(2.14)</w:t>
      </w:r>
    </w:p>
    <w:p>
      <w:pPr>
        <w:pStyle w:val="Where"/>
      </w:pPr>
      <w:r>
        <w:t xml:space="preserve">где</w:t>
      </w:r>
      <w:r>
        <w:tab/>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w:t>
      </w:r>
    </w:p>
    <w:p>
      <w:pPr>
        <w:pStyle w:val="Where"/>
      </w:pPr>
      <w:r>
        <w:tab/>
      </w:r>
      <m:oMath>
        <m:r>
          <m:rPr>
            <m:sty m:val="p"/>
          </m:rPr>
          <m:t>|</m:t>
        </m:r>
        <m:r>
          <m:rPr>
            <m:sty m:val="p"/>
          </m:rPr>
          <m:t>⋅</m:t>
        </m:r>
        <m:r>
          <m:rPr>
            <m:sty m:val="p"/>
          </m:rPr>
          <m:t>|</m:t>
        </m:r>
      </m:oMath>
      <w:r>
        <w:t xml:space="preserve"> </w:t>
      </w:r>
      <w:r>
        <w:t xml:space="preserve">— число элементов множества;</w:t>
      </w:r>
    </w:p>
    <w:p>
      <w:pPr>
        <w:pStyle w:val="Where"/>
      </w:pPr>
      <w:r>
        <w:tab/>
      </w: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w:r>
        <w:tab/>
      </w:r>
      <m:oMath>
        <m:r>
          <m:t>H</m:t>
        </m:r>
      </m:oMath>
      <w:r>
        <w:t xml:space="preserve"> </w:t>
      </w:r>
      <w:r>
        <w:t xml:space="preserve">— горизонт прогноза.</w:t>
      </w:r>
    </w:p>
    <w:p>
      <w:pPr>
        <w:pStyle w:val="a2"/>
      </w:pPr>
      <w:r>
        <w:t xml:space="preserve">События поступают с задержкой, поэтому в момент обучения</w:t>
      </w:r>
      <w:r>
        <w:t xml:space="preserve"> </w:t>
      </w:r>
      <m:oMath>
        <m:sSup>
          <m:e>
            <m:r>
              <m:t>T</m:t>
            </m:r>
          </m:e>
          <m:sup>
            <m:r>
              <m:rPr>
                <m:sty m:val="p"/>
              </m:rPr>
              <m:t>′</m:t>
            </m:r>
          </m:sup>
        </m:sSup>
      </m:oMath>
      <w:r>
        <w:t xml:space="preserve"> </w:t>
      </w:r>
      <w:r>
        <w:t xml:space="preserve">история полна не до</w:t>
      </w:r>
      <w:r>
        <w:t xml:space="preserve"> </w:t>
      </w:r>
      <m:oMath>
        <m:sSup>
          <m:e>
            <m:r>
              <m:t>T</m:t>
            </m:r>
          </m:e>
          <m:sup>
            <m:r>
              <m:rPr>
                <m:sty m:val="p"/>
              </m:rPr>
              <m:t>′</m:t>
            </m:r>
          </m:sup>
        </m:sSup>
      </m:oMath>
      <w:r>
        <w:t xml:space="preserve">, а до более раннего момента</w:t>
      </w:r>
      <w:r>
        <w:t xml:space="preserve"> </w:t>
      </w:r>
      <m:oMath>
        <m:r>
          <m:t>W</m:t>
        </m:r>
        <m:r>
          <m:rPr>
            <m:sty m:val="p"/>
          </m:rPr>
          <m:t>(</m:t>
        </m:r>
        <m:sSup>
          <m:e>
            <m:r>
              <m:t>T</m:t>
            </m:r>
          </m:e>
          <m:sup>
            <m:r>
              <m:rPr>
                <m:sty m:val="p"/>
              </m:rPr>
              <m:t>′</m:t>
            </m:r>
          </m:sup>
        </m:sSup>
        <m:r>
          <m:rPr>
            <m:sty m:val="p"/>
          </m:rPr>
          <m:t>)</m:t>
        </m:r>
      </m:oMath>
      <w:r>
        <w:t xml:space="preserve"> </w:t>
      </w:r>
      <w:r>
        <w:t xml:space="preserve">— границы полноты истории, до которой все события уже получены, а пропуски отмечены. По тому же правилу [35], [36]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T</m:t>
        </m:r>
        <m:r>
          <m:rPr>
            <m:sty m:val="p"/>
          </m:rPr>
          <m:t>+</m:t>
        </m:r>
        <m:r>
          <m:t>H</m:t>
        </m:r>
        <m:r>
          <m:rPr>
            <m:sty m:val="p"/>
          </m:rPr>
          <m:t>≤</m:t>
        </m:r>
        <m:r>
          <m:t>W</m:t>
        </m:r>
        <m:r>
          <m:rPr>
            <m:sty m:val="p"/>
          </m:rPr>
          <m:t>(</m:t>
        </m:r>
        <m:sSup>
          <m:e>
            <m:r>
              <m:t>T</m:t>
            </m:r>
          </m:e>
          <m:sup>
            <m:r>
              <m:rPr>
                <m:sty m:val="p"/>
              </m:rPr>
              <m:t>′</m:t>
            </m:r>
          </m:sup>
        </m:sSup>
        <m:r>
          <m:rPr>
            <m:sty m:val="p"/>
          </m:rPr>
          <m:t>)</m:t>
        </m:r>
        <m:r>
          <m:rPr>
            <m:sty m:val="p"/>
          </m:rPr>
          <m:t>,</m:t>
        </m:r>
      </m:oMath>
      <w:r>
        <w:tab/>
      </w:r>
      <w:r>
        <w:rPr>
          <w:rFonts w:ascii="Times New Roman" w:hAnsi="Times New Roman" w:cs="Times New Roman" w:eastAsia="Times New Roman"/>
          <w:b w:val="0"/>
          <w:bCs w:val="0"/>
          <w:i w:val="0"/>
          <w:iCs w:val="0"/>
          <w:color w:val="000000"/>
          <w:sz w:val="28"/>
          <w:szCs w:val="28"/>
        </w:rPr>
        <w:t>(2.15)</w:t>
      </w:r>
    </w:p>
    <w:p>
      <w:pPr>
        <w:pStyle w:val="Where"/>
      </w:pPr>
      <w:r>
        <w:t xml:space="preserve">где</w:t>
      </w:r>
      <w:r>
        <w:tab/>
      </w:r>
      <m:oMath>
        <m:r>
          <m:t>W</m:t>
        </m:r>
        <m:r>
          <m:rPr>
            <m:sty m:val="p"/>
          </m:rPr>
          <m:t>(</m:t>
        </m:r>
        <m:sSup>
          <m:e>
            <m:r>
              <m:t>T</m:t>
            </m:r>
          </m:e>
          <m:sup>
            <m:r>
              <m:rPr>
                <m:sty m:val="p"/>
              </m:rPr>
              <m:t>′</m:t>
            </m:r>
          </m:sup>
        </m:sSup>
        <m:r>
          <m:rPr>
            <m:sty m:val="p"/>
          </m:rPr>
          <m:t>)</m:t>
        </m:r>
      </m:oMath>
      <w:r>
        <w:t xml:space="preserve"> </w:t>
      </w:r>
      <w:r>
        <w:t xml:space="preserve">— граница полноты истории на момент</w:t>
      </w:r>
      <w:r>
        <w:t xml:space="preserve"> </w:t>
      </w:r>
      <m:oMath>
        <m:sSup>
          <m:e>
            <m:r>
              <m:t>T</m:t>
            </m:r>
          </m:e>
          <m:sup>
            <m:r>
              <m:rPr>
                <m:sty m:val="p"/>
              </m:rPr>
              <m:t>′</m:t>
            </m:r>
          </m:sup>
        </m:sSup>
      </m:oMath>
      <w:r>
        <w:t xml:space="preserve">;</w:t>
      </w:r>
    </w:p>
    <w:p>
      <w:pPr>
        <w:pStyle w:val="Where"/>
      </w:pPr>
      <w:r>
        <w:tab/>
      </w: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и все чтения за него уже получены, иначе метка</w:t>
      </w:r>
      <w:r>
        <w:t xml:space="preserve"> </w:t>
      </w:r>
      <m:oMath>
        <m:sSub>
          <m:e>
            <m:r>
              <m:t>N</m:t>
            </m:r>
          </m:e>
          <m:sub>
            <m:r>
              <m:t>i</m:t>
            </m:r>
          </m:sub>
        </m:sSub>
      </m:oMath>
      <w:r>
        <w:t xml:space="preserve"> </w:t>
      </w:r>
      <w:r>
        <w:t xml:space="preserve">оказалась бы заниженной. Пример с незавершённым интервалом не теряется, а используется при следующем обновлении модели. Примеры с неполной историей исключаются, а если граница полноты отстаёт от текущего момента больше допустимого, прогнозные действия приостанавливаются по требованию раздела 1.3.3 пояснительной записки. Срез фиксируется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w:t>
      </w:r>
    </w:p>
    <w:bookmarkEnd w:id="63"/>
    <w:bookmarkStart w:id="64" w:name="обучение-проверка-и-ввод-модели-в-работу"/>
    <w:p>
      <w:pPr>
        <w:pStyle w:val="30"/>
      </w:pPr>
      <w:bookmarkStart w:id="196" w:name="GOSTHeading196"/>
      <w:r>
        <w:t xml:space="preserve">2.1.4 Обучение, проверка и ввод модели в работу</w:t>
      </w:r>
      <w:bookmarkEnd w:id="196"/>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которая проверяет различение читаемых объектов при преобладании нулевых меток [37], и оценкой Брайера, проверяющей калибровку [38]. Пригодность прогноза к размещению проверяет вводимая в работе доля покрытия будущих чтений по формуле (2.16).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r>
          <m:rPr>
            <m:sty m:val="p"/>
          </m:rPr>
          <m:t>,</m:t>
        </m:r>
      </m:oMath>
      <w:r>
        <w:tab/>
      </w:r>
      <w:r>
        <w:rPr>
          <w:rFonts w:ascii="Times New Roman" w:hAnsi="Times New Roman" w:cs="Times New Roman" w:eastAsia="Times New Roman"/>
          <w:b w:val="0"/>
          <w:bCs w:val="0"/>
          <w:i w:val="0"/>
          <w:iCs w:val="0"/>
          <w:color w:val="000000"/>
          <w:sz w:val="28"/>
          <w:szCs w:val="28"/>
        </w:rPr>
        <w:t>(2.16)</w:t>
      </w:r>
    </w:p>
    <w:p>
      <w:pPr>
        <w:pStyle w:val="Where"/>
      </w:pPr>
      <w:r>
        <w:t xml:space="preserve">где</w:t>
      </w:r>
      <w:r>
        <w:tab/>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w:r>
        <w:tab/>
      </w:r>
      <m:oMath>
        <m:r>
          <m:t>K</m:t>
        </m:r>
      </m:oMath>
      <w:r>
        <w:t xml:space="preserve"> </w:t>
      </w:r>
      <w:r>
        <w:t xml:space="preserve">— число отбираемых объектов, которое при одинаковом размере объектов равно вместимости HOT;</w:t>
      </w:r>
    </w:p>
    <w:p>
      <w:pPr>
        <w:pStyle w:val="Where"/>
      </w:pPr>
      <w:r>
        <w:tab/>
      </w: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по требованию к подготовке модели из раздела 1.3.5 пояснительной записки и совместимость обученной модели с моделью,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7" w:name="GOSTHeading197"/>
      <w:r>
        <w:t xml:space="preserve">2.1.5 Алгоритм формирования плана размещения</w:t>
      </w:r>
      <w:bookmarkEnd w:id="197"/>
    </w:p>
    <w:p>
      <w:pPr>
        <w:pStyle w:val="FirstParagraph"/>
      </w:pPr>
      <w:r>
        <w:t xml:space="preserve">Алгоритм решает задачу 2.4 – 2.6 жадным выбором после проверки актуальности данных и пригодности модели по правилам разделов 2.1.3 и 2.1.4 пояснительной записки. Если занятость HOT уже в начале цикла превышает допустимую по условию (2.5), сначала планируется перенос части объектов HOT в COLD. Затем незакреплённые объекты COLD рассматриваются по убыванию выигрыша на единицу размера</w:t>
      </w:r>
      <w:r>
        <w:t xml:space="preserve"> </w:t>
      </w:r>
      <m:oMath>
        <m:sSub>
          <m:e>
            <m:r>
              <m:rPr>
                <m:sty m:val="p"/>
              </m:rPr>
              <m:t>Δ</m:t>
            </m:r>
          </m:e>
          <m:sub>
            <m:r>
              <m:t>i</m:t>
            </m:r>
          </m:sub>
        </m:sSub>
        <m:r>
          <m:rPr>
            <m:sty m:val="p"/>
          </m:rPr>
          <m:t>/</m:t>
        </m:r>
        <m:sSub>
          <m:e>
            <m:r>
              <m:t>s</m:t>
            </m:r>
          </m:e>
          <m:sub>
            <m:r>
              <m:t>i</m:t>
            </m:r>
          </m:sub>
        </m:sSub>
      </m:oMath>
      <w:r>
        <w:t xml:space="preserve">. Если для очередного объекта в HOT не хватает места, для него подбираются объекты HOT с наименьшим выигрышем на единицу размера, которые придётся вытеснить в COLD. Такая замена включается в план, если выигрыш объекта превышает суммарный выигрыш вытесняемых объектов, штраф за перенос и порог</w:t>
      </w:r>
      <w:r>
        <w:t xml:space="preserve"> </w:t>
      </w:r>
      <m:oMath>
        <m:sSub>
          <m:e>
            <m:r>
              <m:rPr>
                <m:sty m:val="p"/>
              </m:rPr>
              <m:t>Δ</m:t>
            </m:r>
          </m:e>
          <m:sub>
            <m:r>
              <m:rPr>
                <m:sty m:val="p"/>
              </m:rPr>
              <m:t>min</m:t>
            </m:r>
          </m:sub>
        </m:sSub>
      </m:oMath>
      <w:r>
        <w:t xml:space="preserve">, а остатка бюджета и места в COLD достаточно. Перенос объекта в HOT начинается только после того, как вытесняемые объекты перенесены в COLD и их копии в HOT удалены, поэтому действия плана связаны зависимостями.</w:t>
      </w:r>
    </w:p>
    <w:p>
      <w:pPr>
        <w:pStyle w:val="a2"/>
      </w:pPr>
      <w:r>
        <w:t xml:space="preserve">При равных размерах объектов и</w:t>
      </w:r>
      <w:r>
        <w:t xml:space="preserve"> </w:t>
      </w:r>
      <m:oMath>
        <m:sSub>
          <m:e>
            <m:r>
              <m:rPr>
                <m:sty m:val="p"/>
              </m:rPr>
              <m:t>Δ</m:t>
            </m:r>
          </m:e>
          <m:sub>
            <m:r>
              <m:rPr>
                <m:sty m:val="p"/>
              </m:rPr>
              <m:t>min</m:t>
            </m:r>
          </m:sub>
        </m:sSub>
        <m:r>
          <m:rPr>
            <m:sty m:val="p"/>
          </m:rPr>
          <m:t>=</m:t>
        </m:r>
        <m:r>
          <m:t>0</m:t>
        </m:r>
      </m:oMath>
      <w:r>
        <w:t xml:space="preserve"> </w:t>
      </w:r>
      <w:r>
        <w:t xml:space="preserve">жадный алгоритм даёт точное решение. При заданном числе замен наибольший выигрыш получается, если перенести в HOT объекты COLD с наибольшим</w:t>
      </w:r>
      <w:r>
        <w:t xml:space="preserve"> </w:t>
      </w:r>
      <m:oMath>
        <m:sSub>
          <m:e>
            <m:r>
              <m:rPr>
                <m:sty m:val="p"/>
              </m:rPr>
              <m:t>Δ</m:t>
            </m:r>
          </m:e>
          <m:sub>
            <m:r>
              <m:t>i</m:t>
            </m:r>
          </m:sub>
        </m:sSub>
      </m:oMath>
      <w:r>
        <w:t xml:space="preserve">, а в COLD — объекты HOT с наименьшим</w:t>
      </w:r>
      <w:r>
        <w:t xml:space="preserve"> </w:t>
      </w:r>
      <m:oMath>
        <m:sSub>
          <m:e>
            <m:r>
              <m:rPr>
                <m:sty m:val="p"/>
              </m:rPr>
              <m:t>Δ</m:t>
            </m:r>
          </m:e>
          <m:sub>
            <m:r>
              <m:t>i</m:t>
            </m:r>
          </m:sub>
        </m:sSub>
      </m:oMath>
      <w:r>
        <w:t xml:space="preserve">. Каждая следующая такая замена выгодна не больше предыдущей, поэтому алгоритм останавливается на первой невыгодной замене и получает план с наибольшим чистым выигрышем (2.4). Для разных размеров он является эвристикой [29], [39]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4702342" cy="6840000"/>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702342" cy="6840000"/>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проверки выигрыша, бюджета и места в COLD: отклонённый набор в план не добавляется, и перебор продолжается, пока есть кандидаты и бюджет.</w:t>
      </w:r>
    </w:p>
    <w:bookmarkEnd w:id="69"/>
    <w:bookmarkStart w:id="70" w:name="объяснение-рекомендаций"/>
    <w:p>
      <w:pPr>
        <w:pStyle w:val="30"/>
      </w:pPr>
      <w:bookmarkStart w:id="198" w:name="GOSTHeading198"/>
      <w:r>
        <w:t xml:space="preserve">2.1.6 Объяснение рекомендаций</w:t>
      </w:r>
      <w:bookmarkEnd w:id="198"/>
    </w:p>
    <w:p>
      <w:pPr>
        <w:pStyle w:val="FirstParagraph"/>
      </w:pPr>
      <w:r>
        <w:t xml:space="preserve">Объяснение нужно администратору как лицу, принимающему решение (далее ЛПР), для решения по плану в пределах функционального требования F-07. Оно строится из величин планировщика и включает три группы сведений: действие и прогноз (объект и версия, исходный и целевой классы, время расчёта, горизонт, версия модели,</w:t>
      </w:r>
      <w:r>
        <w:t xml:space="preserve"> </w:t>
      </w:r>
      <m:oMath>
        <m:sSub>
          <m:e>
            <m:r>
              <m:t>p</m:t>
            </m:r>
          </m:e>
          <m:sub>
            <m:r>
              <m:t>i</m:t>
            </m:r>
          </m:sub>
        </m:sSub>
      </m:oMath>
      <w:r>
        <w:t xml:space="preserve">,</w:t>
      </w:r>
      <w:r>
        <w:t xml:space="preserve"> </w:t>
      </w:r>
      <m:oMath>
        <m:sSub>
          <m:e>
            <m:r>
              <m:t>m</m:t>
            </m:r>
          </m:e>
          <m:sub>
            <m:r>
              <m:t>i</m:t>
            </m:r>
          </m:sub>
        </m:sSub>
      </m:oMath>
      <w:r>
        <w:t xml:space="preserve">,</w:t>
      </w:r>
      <w:r>
        <w:t xml:space="preserve"> </w:t>
      </w:r>
      <m:oMath>
        <m:sSub>
          <m:e>
            <m:acc>
              <m:accPr>
                <m:chr m:val="̂"/>
              </m:accPr>
              <m:e>
                <m:r>
                  <m:t>N</m:t>
                </m:r>
              </m:e>
            </m:acc>
          </m:e>
          <m:sub>
            <m:r>
              <m:t>i</m:t>
            </m:r>
          </m:sub>
        </m:sSub>
      </m:oMath>
      <w:r>
        <w:t xml:space="preserve"> </w:t>
      </w:r>
      <w:r>
        <w:t xml:space="preserve">и оценка EWMA для сравнения с простой оценкой), ожидаемый эффект и основания (расчётное изменение суммарной задержки за горизонт, время с последнего чтения, частоты по окнам и динамика с процентилем в каталоге), ресурсы и зависимости (занятость класса до и после переноса, объём копирования, остаток бюджета, зависимости, запреты и минимальный интервал переноса).</w:t>
      </w:r>
    </w:p>
    <w:p>
      <w:pPr>
        <w:pStyle w:val="a2"/>
      </w:pPr>
      <w:r>
        <w:t xml:space="preserve">Если перенос объекта А в HOT требует вытеснить объект Б в COLD, подтверждение только переноса А отклоняется с указанием недостающего действия, а запрет переноса Б приводит к новой ревизии плана. Поэтому часть плана подтверждается только вместе с действиями, от которых она зависит.</w:t>
      </w:r>
    </w:p>
    <w:bookmarkEnd w:id="70"/>
    <w:bookmarkStart w:id="71" w:name="протокол-безопасного-переноса"/>
    <w:p>
      <w:pPr>
        <w:pStyle w:val="30"/>
      </w:pPr>
      <w:bookmarkStart w:id="199" w:name="GOSTHeading199"/>
      <w:r>
        <w:t xml:space="preserve">2.1.7 Протокол безопасного переноса</w:t>
      </w:r>
      <w:bookmarkEnd w:id="199"/>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2"/>
        </w:numPr>
        <w:tabs>
          <w:tab w:val="num" w:pos="1276"/>
        </w:tabs>
        <w:spacing w:before="0" w:after="0" w:line="360" w:lineRule="auto"/>
        <w:ind w:left="1276" w:hanging="567"/>
      </w:pPr>
      <w:r>
        <w:t xml:space="preserve">У версии всегда ровно одна действующая запись расположения, и чтение использует только её.</w:t>
      </w:r>
    </w:p>
    <w:p>
      <w:pPr>
        <w:pStyle w:val="Compact"/>
        <w:numPr>
          <w:ilvl w:val="0"/>
          <w:numId w:val="1002"/>
        </w:numPr>
        <w:tabs>
          <w:tab w:val="num" w:pos="1276"/>
        </w:tabs>
        <w:spacing w:before="0" w:after="0" w:line="360" w:lineRule="auto"/>
        <w:ind w:left="1276" w:hanging="567"/>
      </w:pPr>
      <w:r>
        <w:t xml:space="preserve">Расположение меняется только после проверки размера и контрольной суммы MD5 целевой копии.</w:t>
      </w:r>
    </w:p>
    <w:p>
      <w:pPr>
        <w:pStyle w:val="Compact"/>
        <w:numPr>
          <w:ilvl w:val="0"/>
          <w:numId w:val="1002"/>
        </w:numPr>
        <w:tabs>
          <w:tab w:val="num" w:pos="1276"/>
        </w:tabs>
        <w:spacing w:before="0" w:after="0" w:line="360" w:lineRule="auto"/>
        <w:ind w:left="1276" w:hanging="567"/>
      </w:pPr>
      <w:r>
        <w:t xml:space="preserve">Переключение выполняется операцией сравнения с обменом (англ. Compare-And-Swap, далее CAS) [40]: только если версия текущая, а поколение записи и исходный класс совпадают с проверенными.</w:t>
      </w:r>
    </w:p>
    <w:p>
      <w:pPr>
        <w:pStyle w:val="Compact"/>
        <w:numPr>
          <w:ilvl w:val="0"/>
          <w:numId w:val="1002"/>
        </w:numPr>
        <w:tabs>
          <w:tab w:val="num" w:pos="1276"/>
        </w:tabs>
        <w:spacing w:before="0" w:after="0" w:line="360" w:lineRule="auto"/>
        <w:ind w:left="1276" w:hanging="567"/>
      </w:pPr>
      <w:r>
        <w:t xml:space="preserve">Источник удаляется после паузы, превышающей предельное время чтения в шлюзе.</w:t>
      </w:r>
    </w:p>
    <w:p>
      <w:pPr>
        <w:pStyle w:val="FirstParagraph"/>
      </w:pPr>
      <w:r>
        <w:t xml:space="preserve">Поколение записи показывает, менялось ли расположение после проверки, а пауза позволяет завершиться чтениям, начатым по прежнему расположению. Перед действием исполнитель повторно проверяет версию, поколение, запреты, ресурсы и бюджет, резервирует место записью временной копии и сверяет размер и MD5 копии с источником, а не с ETag, который при составной загрузке не является суммой объекта [41].</w:t>
      </w:r>
    </w:p>
    <w:p>
      <w:pPr>
        <w:pStyle w:val="a2"/>
      </w:pPr>
      <w:r>
        <w:t xml:space="preserve">Состояния миграции показаны на Рисунке А.1 в Приложении А в нотации диаграммы состояний унифицированного языка моделирования (англ. Unified Modeling Language, далее UML) [42].</w:t>
      </w:r>
    </w:p>
    <w:p>
      <w:pPr>
        <w:pStyle w:val="a2"/>
      </w:pPr>
      <w:r>
        <w:t xml:space="preserve">Основной путь ведёт от состояния «Подтверждено» через «Ожидает зависимости», «Проверено», «Перенос до переключения», «Переключение расположения (CAS)» и «Ожидание очистки источника» к состоянию «Завершено». Отмена переводит действие в состояние «Отменено администратором» только до проверки исполнителем, а пауза прекращает выдачу новых действий, не прерывая начатые. Границей отказов служит успешный CAS: до него ошибка, несовпадение копии или конфликт CAS ведут в состояние «Ошибка до переключения» и далее в состояние «Не выполнено» при прежнем расположении, а после него завершается очистка источника. Повтор команды не создаёт новой миграции, а после перезапуска исполнитель по поколению записи определяет, было ли переключение, и продолжает перенос с нужного шага.</w:t>
      </w:r>
    </w:p>
    <w:bookmarkEnd w:id="71"/>
    <w:bookmarkEnd w:id="72"/>
    <w:bookmarkStart w:id="85" w:name="модели-процессов"/>
    <w:p>
      <w:pPr>
        <w:pStyle w:val="21"/>
      </w:pPr>
      <w:bookmarkStart w:id="200" w:name="GOSTHeading200"/>
      <w:r>
        <w:t xml:space="preserve">2.2 Модели процессов</w:t>
      </w:r>
      <w:bookmarkEnd w:id="200"/>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[43]. Процесс показан пулом с дорожками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77" w:name="исходный-процесс-управления-размещением"/>
    <w:p>
      <w:pPr>
        <w:pStyle w:val="30"/>
      </w:pPr>
      <w:bookmarkStart w:id="201" w:name="GOSTHeading201"/>
      <w:r>
        <w:t xml:space="preserve">2.2.1 Исходный процесс управления размещением</w:t>
      </w:r>
      <w:bookmarkEnd w:id="201"/>
    </w:p>
    <w:p>
      <w:pPr>
        <w:pStyle w:val="FirstParagraph"/>
        <w:keepNext w:val="1"/>
      </w:pPr>
      <w:r>
        <w:t xml:space="preserve">AS-IS описывает рассматриваемый в разделе 1.1.5 пояснительной записки сценарий управления размещением, а не измеренную эксплуатацию конкретной организации. Класс объекта выбирает администратор по журналам обращений, наподобие журналов серверного доступа Amazon S3 [28]: он выгружает журналы, оценивает спрос, выбирает объекты, запускает копирование и вручную проверяет результат. Независимо от него статическое правило по возрасту, аналогичное Lifecycle [8], по таймеру переводит старые объекты в COLD. Модель приведена на Рисунке 2.3.</w:t>
      </w:r>
    </w:p>
    <w:bookmarkStart w:id="76" w:name="gost-fig:bpmn_asis"/>
    <w:p>
      <w:pPr>
        <w:pStyle w:val="CaptionedFigure"/>
        <w:keepNext w:val="1"/>
      </w:pPr>
      <w:r>
        <w:drawing>
          <wp:inline>
            <wp:extent cx="5010607" cy="6300000"/>
            <wp:effectExtent b="0" l="0" r="0" t="0"/>
            <wp:docPr descr="Модель исходного процесса управления размещением AS-IS" title="" id="74" name="Picture"/>
            <a:graphic>
              <a:graphicData uri="http://schemas.openxmlformats.org/drawingml/2006/picture">
                <pic:pic>
                  <pic:nvPicPr>
                    <pic:cNvPr descr="images/bpmn_asis.png" id="75" name="Picture"/>
                    <pic:cNvPicPr>
                      <a:picLocks noChangeArrowheads="1" noChangeAspect="1"/>
                    </pic:cNvPicPr>
                  </pic:nvPicPr>
                  <pic:blipFill>
                    <a:blip r:embed="rId73"/>
                    <a:stretch>
                      <a:fillRect/>
                    </a:stretch>
                  </pic:blipFill>
                  <pic:spPr bwMode="auto">
                    <a:xfrm>
                      <a:off x="0" y="0"/>
                      <a:ext cx="5010607" cy="6300000"/>
                    </a:xfrm>
                    <a:prstGeom prst="rect">
                      <a:avLst/>
                    </a:prstGeom>
                    <a:noFill/>
                    <a:ln w="9525">
                      <a:noFill/>
                      <a:headEnd/>
                      <a:tailEnd/>
                    </a:ln>
                  </pic:spPr>
                </pic:pic>
              </a:graphicData>
            </a:graphic>
          </wp:inline>
        </w:drawing>
      </w:r>
    </w:p>
    <w:p>
      <w:pPr>
        <w:pStyle w:val="ImageCaption"/>
      </w:pPr>
      <w:r>
        <w:t xml:space="preserve">Рисунок 2.3 — Модель исходного процесса управления размещением AS-IS</w:t>
      </w:r>
    </w:p>
    <w:bookmarkEnd w:id="76"/>
    <w:p>
      <w:pPr>
        <w:pStyle w:val="a2"/>
      </w:pPr>
      <w:r>
        <w:t xml:space="preserve">Ручная работа сосредоточена на дорожке администратора: цветом выделены ожидание предупреждения, выгрузка журналов, оценка спроса, выбор объектов и проверка результата. Хранилище меняет расположение только по команде администратора, а правило по возрасту работает отдельной ветвью и спрос не учитывает. Поэтому процесс реагирует на уже возникшую проблему, не возвращает востребованные объекты и не проверяет версию и копию.</w:t>
      </w:r>
    </w:p>
    <w:bookmarkEnd w:id="77"/>
    <w:bookmarkStart w:id="82" w:name="проектируемый-процесс"/>
    <w:p>
      <w:pPr>
        <w:pStyle w:val="30"/>
      </w:pPr>
      <w:bookmarkStart w:id="202" w:name="GOSTHeading202"/>
      <w:r>
        <w:t xml:space="preserve">2.2.2 Проектируемый процесс</w:t>
      </w:r>
      <w:bookmarkEnd w:id="202"/>
    </w:p>
    <w:p>
      <w:pPr>
        <w:pStyle w:val="FirstParagraph"/>
        <w:keepNext w:val="1"/>
      </w:pPr>
      <w:r>
        <w:t xml:space="preserve">Модель TO-BE на Рисунке 2.4 показывает цикл планирования, в котором СППР готовит план, администратор принимает решение, а исполнитель применяет подтверждённые действия. Отмена, пауза и отказы выполняются по протоколу раздела 2.1.7 пояснительной записки и на рисунке не показаны.</w:t>
      </w:r>
    </w:p>
    <w:bookmarkStart w:id="81" w:name="gost-fig:bpmn_tobe"/>
    <w:p>
      <w:pPr>
        <w:pStyle w:val="CaptionedFigure"/>
        <w:keepNext w:val="1"/>
      </w:pPr>
      <w:r>
        <w:drawing>
          <wp:inline>
            <wp:extent cx="4499676" cy="6300000"/>
            <wp:effectExtent b="0" l="0" r="0" t="0"/>
            <wp:docPr descr="Модель проектируемого процесса управления размещением TO-BE" title="" id="79" name="Picture"/>
            <a:graphic>
              <a:graphicData uri="http://schemas.openxmlformats.org/drawingml/2006/picture">
                <pic:pic>
                  <pic:nvPicPr>
                    <pic:cNvPr descr="images/bpmn_tobe.png" id="80" name="Picture"/>
                    <pic:cNvPicPr>
                      <a:picLocks noChangeArrowheads="1" noChangeAspect="1"/>
                    </pic:cNvPicPr>
                  </pic:nvPicPr>
                  <pic:blipFill>
                    <a:blip r:embed="rId78"/>
                    <a:stretch>
                      <a:fillRect/>
                    </a:stretch>
                  </pic:blipFill>
                  <pic:spPr bwMode="auto">
                    <a:xfrm>
                      <a:off x="0" y="0"/>
                      <a:ext cx="4499676" cy="6300000"/>
                    </a:xfrm>
                    <a:prstGeom prst="rect">
                      <a:avLst/>
                    </a:prstGeom>
                    <a:noFill/>
                    <a:ln w="9525">
                      <a:noFill/>
                      <a:headEnd/>
                      <a:tailEnd/>
                    </a:ln>
                  </pic:spPr>
                </pic:pic>
              </a:graphicData>
            </a:graphic>
          </wp:inline>
        </w:drawing>
      </w:r>
    </w:p>
    <w:p>
      <w:pPr>
        <w:pStyle w:val="ImageCaption"/>
      </w:pPr>
      <w:r>
        <w:t xml:space="preserve">Рисунок 2.4 — Модель проектируемого процесса управления размещением TO-BE</w:t>
      </w:r>
    </w:p>
    <w:bookmarkEnd w:id="81"/>
    <w:p>
      <w:pPr>
        <w:pStyle w:val="Compact"/>
        <w:numPr>
          <w:ilvl w:val="0"/>
          <w:numId w:val="1003"/>
        </w:numPr>
        <w:tabs>
          <w:tab w:val="num" w:pos="1276"/>
        </w:tabs>
        <w:spacing w:before="0" w:after="0" w:line="360" w:lineRule="auto"/>
        <w:ind w:left="1276" w:hanging="567"/>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3"/>
        </w:numPr>
        <w:tabs>
          <w:tab w:val="num" w:pos="1276"/>
        </w:tabs>
        <w:spacing w:before="0" w:after="0" w:line="360" w:lineRule="auto"/>
        <w:ind w:left="1276" w:hanging="567"/>
      </w:pPr>
      <w:r>
        <w:t xml:space="preserve">Если данные устарели, цикл завершается без плана. Иначе СППР оценивает спрос моделью или, при её непригодности, базовой политикой EWMA и формирует план с объяснениями с учётом ограничений и запретов администратора.</w:t>
      </w:r>
    </w:p>
    <w:p>
      <w:pPr>
        <w:pStyle w:val="Compact"/>
        <w:numPr>
          <w:ilvl w:val="0"/>
          <w:numId w:val="1003"/>
        </w:numPr>
        <w:tabs>
          <w:tab w:val="num" w:pos="1276"/>
        </w:tabs>
        <w:spacing w:before="0" w:after="0" w:line="360" w:lineRule="auto"/>
        <w:ind w:left="1276" w:hanging="567"/>
      </w:pPr>
      <w:r>
        <w:t xml:space="preserve">Администратор решает, применять ли план: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3"/>
        </w:numPr>
        <w:tabs>
          <w:tab w:val="num" w:pos="1276"/>
        </w:tabs>
        <w:spacing w:before="0" w:after="0" w:line="360" w:lineRule="auto"/>
        <w:ind w:left="1276" w:hanging="567"/>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3"/>
        </w:numPr>
        <w:tabs>
          <w:tab w:val="num" w:pos="1276"/>
        </w:tabs>
        <w:spacing w:before="0" w:after="0" w:line="360" w:lineRule="auto"/>
        <w:ind w:left="1276" w:hanging="567"/>
      </w:pPr>
      <w:r>
        <w:t xml:space="preserve">Исполнитель повторно проверяет условия переноса. При нарушении перенос отклоняется без изменения данных, иначе версия переносится по протоколу раздела 2.1.7 пояснительной записки и читается из целевого класса.</w:t>
      </w:r>
    </w:p>
    <w:p>
      <w:pPr>
        <w:pStyle w:val="Compact"/>
        <w:numPr>
          <w:ilvl w:val="0"/>
          <w:numId w:val="1003"/>
        </w:numPr>
        <w:tabs>
          <w:tab w:val="num" w:pos="1276"/>
        </w:tabs>
        <w:spacing w:before="0" w:after="0" w:line="360" w:lineRule="auto"/>
        <w:ind w:left="1276" w:hanging="567"/>
      </w:pPr>
      <w:r>
        <w:t xml:space="preserve">Администратор просматривает результат.</w:t>
      </w:r>
    </w:p>
    <w:bookmarkEnd w:id="82"/>
    <w:bookmarkStart w:id="84" w:name="сравнение-процессов"/>
    <w:p>
      <w:pPr>
        <w:pStyle w:val="30"/>
      </w:pPr>
      <w:bookmarkStart w:id="203" w:name="GOSTHeading203"/>
      <w:r>
        <w:t xml:space="preserve">2.2.3 Сравнение процессов</w:t>
      </w:r>
      <w:bookmarkEnd w:id="203"/>
    </w:p>
    <w:p>
      <w:pPr>
        <w:pStyle w:val="FirstParagraph"/>
      </w:pPr>
      <w:r>
        <w:t xml:space="preserve">Изменения сведены в Таблице 2.3. Процессы не измерялись, поэтому сравнение качественное.</w:t>
      </w:r>
    </w:p>
    <w:bookmarkStart w:id="83" w:name="gost-tbl:process_compare"/>
    <w:p>
      <w:pPr>
        <w:pStyle w:val="TableCaption"/>
      </w:pPr>
      <w:r>
        <w:t xml:space="preserve">Таблица 2.3 — Сравнение исходного и проектируемого процессов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равнение исходного и проектируемого процессов"/>
      </w:tblPr>
      <w:tblGrid>
        <w:gridCol w:w="2465"/>
        <w:gridCol w:w="3447"/>
        <w:gridCol w:w="3726"/>
      </w:tblGrid>
      <w:tr>
        <w:trPr>
          <w:tblHeader w:val="on"/>
          <w:cantSplit/>
        </w:trPr>
        <w:tc>
          <w:tcPr>
            <w:tcW w:w="2465" w:type="dxa"/>
          </w:tcPr>
          <w:p>
            <w:pPr>
              <w:pStyle w:val="Compact"/>
              <w:keepNext w:val="0"/>
              <w:pageBreakBefore w:val="0"/>
              <w:suppressAutoHyphens w:val="1"/>
              <w:spacing w:before="0" w:after="0" w:line="240" w:lineRule="auto"/>
              <w:ind w:firstLine="0" w:left="0" w:right="0"/>
              <w:jc w:val="center"/>
            </w:pPr>
            <w:r>
              <w:rPr>
                <w:b w:val="1"/>
                <w:sz w:val="24"/>
                <w:szCs w:val="24"/>
              </w:rPr>
              <w:t xml:space="preserve">Аспект</w:t>
            </w:r>
          </w:p>
        </w:tc>
        <w:tc>
          <w:tcPr>
            <w:tcW w:w="3447" w:type="dxa"/>
          </w:tcPr>
          <w:p>
            <w:pPr>
              <w:pStyle w:val="Compact"/>
              <w:keepNext w:val="0"/>
              <w:pageBreakBefore w:val="0"/>
              <w:suppressAutoHyphens w:val="1"/>
              <w:spacing w:before="0" w:after="0" w:line="240" w:lineRule="auto"/>
              <w:ind w:firstLine="0" w:left="0" w:right="0"/>
              <w:jc w:val="center"/>
            </w:pPr>
            <w:r>
              <w:rPr>
                <w:b w:val="1"/>
                <w:sz w:val="24"/>
                <w:szCs w:val="24"/>
              </w:rPr>
              <w:t xml:space="preserve">AS-IS</w:t>
            </w:r>
          </w:p>
        </w:tc>
        <w:tc>
          <w:tcPr>
            <w:tcW w:w="3726" w:type="dxa"/>
          </w:tcPr>
          <w:p>
            <w:pPr>
              <w:pStyle w:val="Compact"/>
              <w:keepNext w:val="0"/>
              <w:pageBreakBefore w:val="0"/>
              <w:suppressAutoHyphens w:val="1"/>
              <w:spacing w:before="0" w:after="0" w:line="240" w:lineRule="auto"/>
              <w:ind w:firstLine="0" w:left="0" w:right="0"/>
              <w:jc w:val="center"/>
            </w:pPr>
            <w:r>
              <w:rPr>
                <w:b w:val="1"/>
                <w:sz w:val="24"/>
                <w:szCs w:val="24"/>
              </w:rPr>
              <w:t xml:space="preserve">TO-BE</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Запуск</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Предупреждение или проверка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Таймер цикла планирования</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Оценка спроса</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 давности и возрасту</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при сбое базовая политика</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Учёт ресурсов</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повтор выбора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бюджет и запреты в плане</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Роль администратора</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Анализ, выбор, запуск, проверка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Ограничения и решение по плану</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Направление</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Правило только в COLD</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Оба направления в одном плане</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Проверка данных</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после переноса</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По протоколу безопасного переноса</w:t>
            </w:r>
          </w:p>
        </w:tc>
      </w:tr>
      <w:tr>
        <w:trPr>
          <w:cantSplit/>
        </w:trPr>
        <w:tc>
          <w:tcPr>
            <w:tcW w:w="2465" w:type="dxa"/>
          </w:tcPr>
          <w:p>
            <w:pPr>
              <w:pStyle w:val="Compact"/>
              <w:keepNext w:val="0"/>
              <w:pageBreakBefore w:val="0"/>
              <w:suppressAutoHyphens w:val="1"/>
              <w:spacing w:before="0" w:after="0" w:line="240" w:lineRule="auto"/>
              <w:ind w:firstLine="0" w:left="0" w:right="0"/>
              <w:jc w:val="left"/>
            </w:pPr>
            <w:r>
              <w:rPr>
                <w:sz w:val="24"/>
                <w:szCs w:val="24"/>
              </w:rPr>
              <w:t xml:space="preserve">Журнал</w:t>
            </w:r>
          </w:p>
        </w:tc>
        <w:tc>
          <w:tcPr>
            <w:tcW w:w="3447" w:type="dxa"/>
          </w:tcPr>
          <w:p>
            <w:pPr>
              <w:pStyle w:val="Compact"/>
              <w:keepNext w:val="0"/>
              <w:pageBreakBefore w:val="0"/>
              <w:suppressAutoHyphens w:val="1"/>
              <w:spacing w:before="0" w:after="0" w:line="240" w:lineRule="auto"/>
              <w:ind w:firstLine="0" w:left="0" w:right="0"/>
              <w:jc w:val="both"/>
            </w:pPr>
            <w:r>
              <w:rPr>
                <w:sz w:val="24"/>
                <w:szCs w:val="24"/>
              </w:rPr>
              <w:t xml:space="preserve">Не предусмотрен</w:t>
            </w:r>
          </w:p>
        </w:tc>
        <w:tc>
          <w:tcPr>
            <w:tcW w:w="3726" w:type="dxa"/>
          </w:tcPr>
          <w:p>
            <w:pPr>
              <w:pStyle w:val="Compact"/>
              <w:keepNext w:val="0"/>
              <w:pageBreakBefore w:val="0"/>
              <w:suppressAutoHyphens w:val="1"/>
              <w:spacing w:before="0" w:after="0" w:line="240" w:lineRule="auto"/>
              <w:ind w:firstLine="0" w:left="0" w:right="0"/>
              <w:jc w:val="both"/>
            </w:pPr>
            <w:r>
              <w:rPr>
                <w:sz w:val="24"/>
                <w:szCs w:val="24"/>
              </w:rPr>
              <w:t xml:space="preserve">Рекомендации, решения, миграции</w:t>
            </w:r>
          </w:p>
        </w:tc>
      </w:tr>
    </w:tbl>
    <w:bookmarkEnd w:id="83"/>
    <w:p>
      <w:pPr>
        <w:pStyle w:val="a2"/>
        <w:spacing w:before="120"/>
      </w:pPr>
      <w:r>
        <w:t xml:space="preserve">Системе передаются выгрузка журналов, оценка спроса и проверка копий, а у администратора остаются ограничения, решение и контроль результата. Добавляется ожидание подтверждения, и его влияние учитывается в эксперименте.</w:t>
      </w:r>
    </w:p>
    <w:bookmarkEnd w:id="84"/>
    <w:bookmarkEnd w:id="85"/>
    <w:bookmarkStart w:id="97" w:name="архитектура-системы"/>
    <w:p>
      <w:pPr>
        <w:pStyle w:val="21"/>
      </w:pPr>
      <w:bookmarkStart w:id="204" w:name="GOSTHeading204"/>
      <w:r>
        <w:t xml:space="preserve">2.3 Архитектура системы</w:t>
      </w:r>
      <w:bookmarkEnd w:id="204"/>
    </w:p>
    <w:p>
      <w:pPr>
        <w:pStyle w:val="FirstParagraph"/>
      </w:pPr>
      <w:r>
        <w:t xml:space="preserve">Расчёт рекомендаций отделяется от клиентского чтения, а переносы выполняет отдельный процесс. Подраздел определяет ответственность компонентов OpenS3 и СППР, хранение их данных и согласование состояния с Metadata.</w:t>
      </w:r>
    </w:p>
    <w:bookmarkStart w:id="86" w:name="изменения-компонентов-opens3"/>
    <w:p>
      <w:pPr>
        <w:pStyle w:val="30"/>
      </w:pPr>
      <w:bookmarkStart w:id="205" w:name="GOSTHeading205"/>
      <w:r>
        <w:t xml:space="preserve">2.3.1 Изменения компонентов OpenS3</w:t>
      </w:r>
      <w:bookmarkEnd w:id="205"/>
    </w:p>
    <w:p>
      <w:pPr>
        <w:pStyle w:val="FirstParagraph"/>
      </w:pPr>
      <w:r>
        <w:t xml:space="preserve">Для СППР в рассмотренной версии OpenS3 [7] изменяются три компонента.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86"/>
    <w:bookmarkStart w:id="91" w:name="компонентная-модель"/>
    <w:p>
      <w:pPr>
        <w:pStyle w:val="30"/>
      </w:pPr>
      <w:bookmarkStart w:id="206" w:name="GOSTHeading206"/>
      <w:r>
        <w:t xml:space="preserve">2.3.2 Компонентная модель</w:t>
      </w:r>
      <w:bookmarkEnd w:id="206"/>
    </w:p>
    <w:p>
      <w:pPr>
        <w:pStyle w:val="FirstParagraph"/>
        <w:keepNext w:val="1"/>
      </w:pPr>
      <w:r>
        <w:t xml:space="preserve">Компоненты СППР выведены из модели TO-BE: Ingestor, Feature Builder, Predictor и Planner с Explainer рассчитывают план, Admin API с веб-интерфейсом принимает решения ЛПР, Model Manager запускает Trainer и ведёт реестр моделей, Migration Executor применяет подтверждённые действия. Компоненты показаны на Рисунке 2.5 в нотации диаграммы компонентов UML [42]: пунктирная рамка выделяет OpenS3, сплошная — СППР.</w:t>
      </w:r>
    </w:p>
    <w:bookmarkStart w:id="90" w:name="gost-fig:components"/>
    <w:p>
      <w:pPr>
        <w:pStyle w:val="CaptionedFigure"/>
        <w:keepNext w:val="1"/>
      </w:pPr>
      <w:r>
        <w:drawing>
          <wp:inline>
            <wp:extent cx="5608742" cy="6300000"/>
            <wp:effectExtent b="0" l="0" r="0" t="0"/>
            <wp:docPr descr="Диаграмма компонентов системы" title="" id="88" name="Picture"/>
            <a:graphic>
              <a:graphicData uri="http://schemas.openxmlformats.org/drawingml/2006/picture">
                <pic:pic>
                  <pic:nvPicPr>
                    <pic:cNvPr descr="images/components.png" id="89" name="Picture"/>
                    <pic:cNvPicPr>
                      <a:picLocks noChangeArrowheads="1" noChangeAspect="1"/>
                    </pic:cNvPicPr>
                  </pic:nvPicPr>
                  <pic:blipFill>
                    <a:blip r:embed="rId87"/>
                    <a:stretch>
                      <a:fillRect/>
                    </a:stretch>
                  </pic:blipFill>
                  <pic:spPr bwMode="auto">
                    <a:xfrm>
                      <a:off x="0" y="0"/>
                      <a:ext cx="5608742" cy="6300000"/>
                    </a:xfrm>
                    <a:prstGeom prst="rect">
                      <a:avLst/>
                    </a:prstGeom>
                    <a:noFill/>
                    <a:ln w="9525">
                      <a:noFill/>
                      <a:headEnd/>
                      <a:tailEnd/>
                    </a:ln>
                  </pic:spPr>
                </pic:pic>
              </a:graphicData>
            </a:graphic>
          </wp:inline>
        </w:drawing>
      </w:r>
    </w:p>
    <w:p>
      <w:pPr>
        <w:pStyle w:val="ImageCaption"/>
      </w:pPr>
      <w:r>
        <w:t xml:space="preserve">Рисунок 2.5 — Диаграмма компонентов системы</w:t>
      </w:r>
    </w:p>
    <w:bookmarkEnd w:id="90"/>
    <w:p>
      <w:pPr>
        <w:pStyle w:val="a2"/>
      </w:pPr>
      <w:r>
        <w:t xml:space="preserve">Схема отражает три решения. Во-первых, сервис СППР находится вне синхронного пути чтения: клиентское чтение проходит через Gateway, Metadata и Storage, а события попадают в Ingestor асинхронно через Kafka. Во-вторых, подтверждённые команды сохраняются до исполнения: Admin API проверяет права через Auth и AuthZ и записывает команды в базу СППР, откуда их забирает Migration Executor. В-третьих,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общей квоте вычислительных ресурсов из раздела 1.3.5 пояснительной записки, поэтому влияние обучения на чтения входит в измерения.</w:t>
      </w:r>
    </w:p>
    <w:bookmarkEnd w:id="91"/>
    <w:bookmarkStart w:id="92" w:name="модель-данных"/>
    <w:p>
      <w:pPr>
        <w:pStyle w:val="30"/>
      </w:pPr>
      <w:bookmarkStart w:id="207" w:name="GOSTHeading207"/>
      <w:r>
        <w:t xml:space="preserve">2.3.3 Модель данных</w:t>
      </w:r>
      <w:bookmarkEnd w:id="207"/>
    </w:p>
    <w:p>
      <w:pPr>
        <w:pStyle w:val="FirstParagraph"/>
      </w:pPr>
      <w:r>
        <w:t xml:space="preserve">Структура хранимых данных показана на Рисунке Б.1 в Приложении Б: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таблицы относятся к базе СППР.</w:t>
      </w:r>
    </w:p>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ссылки на версию и поколение, поэтому расхождения выявляет повторная проверка перед переносом. Таким образом, Metadata хранит то, что нужно для клиентского чтения, а база СППР — данные для расчёта и контроля рекомендаций, в которых команды и миграции образуют журнал.</w:t>
      </w:r>
    </w:p>
    <w:bookmarkEnd w:id="92"/>
    <w:bookmarkStart w:id="94" w:name="анализ-архитектуры"/>
    <w:p>
      <w:pPr>
        <w:pStyle w:val="30"/>
      </w:pPr>
      <w:bookmarkStart w:id="208" w:name="GOSTHeading208"/>
      <w:r>
        <w:t xml:space="preserve">2.3.4 Анализ архитектуры</w:t>
      </w:r>
      <w:bookmarkEnd w:id="208"/>
    </w:p>
    <w:p>
      <w:pPr>
        <w:pStyle w:val="FirstParagraph"/>
      </w:pPr>
      <w:r>
        <w:t xml:space="preserve">Узкие места, точки отказа и принятые решения сведены в Таблице 2.4.</w:t>
      </w:r>
    </w:p>
    <w:bookmarkStart w:id="93" w:name="gost-tbl:arch_analysis"/>
    <w:p>
      <w:pPr>
        <w:pStyle w:val="TableCaption"/>
      </w:pPr>
      <w:r>
        <w:t xml:space="preserve">Таблица 2.4 — Анализ архитектуры</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Анализ архитектуры"/>
      </w:tblPr>
      <w:tblGrid>
        <w:gridCol w:w="2100"/>
        <w:gridCol w:w="2792"/>
        <w:gridCol w:w="4746"/>
      </w:tblGrid>
      <w:tr>
        <w:trPr>
          <w:tblHeader w:val="on"/>
          <w:cantSplit/>
        </w:trPr>
        <w:tc>
          <w:tcPr>
            <w:tcW w:w="2100" w:type="dxa"/>
          </w:tcPr>
          <w:p>
            <w:pPr>
              <w:pStyle w:val="Compact"/>
              <w:keepNext w:val="0"/>
              <w:pageBreakBefore w:val="0"/>
              <w:suppressAutoHyphens w:val="1"/>
              <w:spacing w:before="0" w:after="0" w:line="240" w:lineRule="auto"/>
              <w:ind w:firstLine="0" w:left="0" w:right="0"/>
              <w:jc w:val="center"/>
            </w:pPr>
            <w:r>
              <w:rPr>
                <w:b w:val="1"/>
                <w:sz w:val="24"/>
                <w:szCs w:val="24"/>
              </w:rPr>
              <w:t xml:space="preserve">Место</w:t>
            </w:r>
          </w:p>
        </w:tc>
        <w:tc>
          <w:tcPr>
            <w:tcW w:w="2792" w:type="dxa"/>
          </w:tcPr>
          <w:p>
            <w:pPr>
              <w:pStyle w:val="Compact"/>
              <w:keepNext w:val="0"/>
              <w:pageBreakBefore w:val="0"/>
              <w:suppressAutoHyphens w:val="1"/>
              <w:spacing w:before="0" w:after="0" w:line="240" w:lineRule="auto"/>
              <w:ind w:firstLine="0" w:left="0" w:right="0"/>
              <w:jc w:val="center"/>
            </w:pPr>
            <w:r>
              <w:rPr>
                <w:b w:val="1"/>
                <w:sz w:val="24"/>
                <w:szCs w:val="24"/>
              </w:rPr>
              <w:t xml:space="preserve">Риск</w:t>
            </w:r>
          </w:p>
        </w:tc>
        <w:tc>
          <w:tcPr>
            <w:tcW w:w="4746" w:type="dxa"/>
          </w:tcPr>
          <w:p>
            <w:pPr>
              <w:pStyle w:val="Compact"/>
              <w:keepNext w:val="0"/>
              <w:pageBreakBefore w:val="0"/>
              <w:suppressAutoHyphens w:val="1"/>
              <w:spacing w:before="0" w:after="0" w:line="240" w:lineRule="auto"/>
              <w:ind w:firstLine="0" w:left="0" w:right="0"/>
              <w:jc w:val="center"/>
            </w:pPr>
            <w:r>
              <w:rPr>
                <w:b w:val="1"/>
                <w:sz w:val="24"/>
                <w:szCs w:val="24"/>
              </w:rPr>
              <w:t xml:space="preserve">Решение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Gateway и Metadata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Рост задержки чтения</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Асинхронная очередь событий, проверка порога 5 %</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Kafka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Потеря событий</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Пропуск виден по номерам, прогноз приостанавливается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Отказ останавливает планы и управление, но не чтение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Исполнитель</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Восстановление по сохранённому состоянию</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Команды исполнителю</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Неподтверждённое действие</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Команды пишет только Admin API, исполнитель перепроверяет условия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Storage COLD</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Копирование мешает чтению</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и штраф</w:t>
            </w:r>
            <w:r>
              <w:rPr>
                <w:sz w:val="24"/>
                <w:szCs w:val="24"/>
              </w:rPr>
              <w:t xml:space="preserve"> </w:t>
            </w:r>
            <m:oMath>
              <m:r>
                <m:t>P</m:t>
              </m:r>
            </m:oMath>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Две базы данных</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Нет общей транзакции</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Metadata — источник истины, CAS</w:t>
            </w:r>
          </w:p>
        </w:tc>
      </w:tr>
    </w:tbl>
    <w:bookmarkEnd w:id="93"/>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94"/>
    <w:bookmarkStart w:id="96" w:name="соответствие-требованиям"/>
    <w:p>
      <w:pPr>
        <w:pStyle w:val="30"/>
      </w:pPr>
      <w:bookmarkStart w:id="209" w:name="GOSTHeading209"/>
      <w:r>
        <w:t xml:space="preserve">2.3.5 Соответствие требованиям</w:t>
      </w:r>
      <w:bookmarkEnd w:id="209"/>
    </w:p>
    <w:p>
      <w:pPr>
        <w:pStyle w:val="FirstParagraph"/>
      </w:pPr>
      <w:r>
        <w:t xml:space="preserve">Связь функциональных требований раздела 1.3.2 пояснительной записки с проектом приведена в Таблице 2.5.</w:t>
      </w:r>
    </w:p>
    <w:bookmarkStart w:id="95" w:name="gost-tbl:traceability"/>
    <w:p>
      <w:pPr>
        <w:pStyle w:val="TableCaption"/>
      </w:pPr>
      <w:r>
        <w:t xml:space="preserve">Таблица 2.5 — Соответствие требований проектным решениям</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Соответствие требований проектным решениям"/>
      </w:tblPr>
      <w:tblGrid>
        <w:gridCol w:w="1698"/>
        <w:gridCol w:w="7940"/>
      </w:tblGrid>
      <w:tr>
        <w:trPr>
          <w:tblHeader w:val="on"/>
          <w:cantSplit/>
        </w:trPr>
        <w:tc>
          <w:tcPr>
            <w:tcW w:w="1698"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c>
          <w:tcPr>
            <w:tcW w:w="7940"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Компонент и проектное решение</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Gateway, Ingestor: события с номерами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Metadata: классы, расположение, занятость с копиями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Feature Builder: окна до</w:t>
            </w:r>
            <w:r>
              <w:rPr>
                <w:sz w:val="24"/>
                <w:szCs w:val="24"/>
              </w:rPr>
              <w:t xml:space="preserve"> </w:t>
            </w:r>
            <m:oMath>
              <m:r>
                <m:t>T</m:t>
              </m:r>
            </m:oMath>
            <w:r>
              <w:rPr>
                <w:sz w:val="24"/>
                <w:szCs w:val="24"/>
              </w:rPr>
              <w:t xml:space="preserve">, контроль пропусков (раздел 2.1.3)</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Model Manager, Trainer: проверки ввода и сохранение модели (раздел 2.1.4)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Planner: задача 2.4 – 2.6 и жадный алгоритм (Рисунок 2.2)</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Explainer: объяснение из величин планировщика (раздел 2.1.6)</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Admin API, Migration Executor: ревизии плана, отмена и пауза (Рисунок 2.4)</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F-08–F-10</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Migration Executor, Metadata: повторная проверка, проверка копии до CAS, сохранение состояния (Рисунок А.1)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База СППР: журнал рекомендаций, команд и миграций (Рисунок Б.1)</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7940" w:type="dxa"/>
          </w:tcPr>
          <w:p>
            <w:pPr>
              <w:pStyle w:val="Compact"/>
              <w:keepNext w:val="0"/>
              <w:pageBreakBefore w:val="0"/>
              <w:suppressAutoHyphens w:val="1"/>
              <w:spacing w:before="0" w:after="0" w:line="240" w:lineRule="auto"/>
              <w:ind w:firstLine="0" w:left="0" w:right="0"/>
              <w:jc w:val="both"/>
            </w:pPr>
            <w:r>
              <w:rPr>
                <w:sz w:val="24"/>
                <w:szCs w:val="24"/>
              </w:rPr>
              <w:t xml:space="preserve">Predictor, Planner: базовые политики с тем же планировщиком (раздел 2.1.2)</w:t>
            </w:r>
          </w:p>
        </w:tc>
      </w:tr>
    </w:tbl>
    <w:bookmarkEnd w:id="95"/>
    <w:p>
      <w:pPr>
        <w:pStyle w:val="a2"/>
        <w:spacing w:before="120"/>
      </w:pPr>
      <w:r>
        <w:t xml:space="preserve">Путь событий и признаков обеспечивают Gateway, Ingestor и Feature Builder, расчёт плана — Predictor, Planner и Explainer, управление и перенос — Admin API, Migration Executor и Metadata. Выполнение требований предстоит подтвердить реализацией и испытаниями.</w:t>
      </w:r>
    </w:p>
    <w:bookmarkEnd w:id="96"/>
    <w:bookmarkEnd w:id="97"/>
    <w:bookmarkStart w:id="98" w:name="обоснование-инструментов-реализации"/>
    <w:p>
      <w:pPr>
        <w:pStyle w:val="21"/>
      </w:pPr>
      <w:bookmarkStart w:id="210" w:name="GOSTHeading210"/>
      <w:r>
        <w:t xml:space="preserve">2.4 Обоснование инструментов реализации</w:t>
      </w:r>
      <w:bookmarkEnd w:id="210"/>
    </w:p>
    <w:p>
      <w:pPr>
        <w:pStyle w:val="FirstParagraph"/>
      </w:pPr>
      <w:r>
        <w:t xml:space="preserve">Инструменты выбраны под модель, архитектуру и совместимость с OpenS3, сервисы которого написаны на Go и общаются по gRPC [7], поэтому сервис СППР и исполнитель разрабатываются на Go с общими клиентами gRPC. Модель обучается на процессоре на Python с библиотекой LightGBM, которая поддерживает логистическую и пуассоновскую функции потерь [32] и строит деревья по гистограммам, что уменьшает время и память обучения [44], а применяется в сервисе СППР через библиотеку leaves, читающую модели LightGBM на Go [45]. Для данных СППР и потока событий используются уже развёрнутые в OpenS3 PostgreSQL, транзакции которого защищают команды и миграции [46], и Kafka, отделяющая публикацию событий от обработки [47]. Применение модели на Go выбрано вместо отдельного сервиса на Python, который добавил бы сетевой вызов, и формата обмена моделями (англ. Open Neural Network Exchange, далее ONNX), требующего нативной библиотеки ONNX Runtime [48].</w:t>
      </w:r>
    </w:p>
    <w:bookmarkEnd w:id="98"/>
    <w:bookmarkStart w:id="99" w:name="выводы-по-аналитическому-разделу"/>
    <w:p>
      <w:pPr>
        <w:pStyle w:val="21"/>
      </w:pPr>
      <w:bookmarkStart w:id="211" w:name="GOSTHeading211"/>
      <w:r>
        <w:t xml:space="preserve">2.5 Выводы по аналитическому разделу</w:t>
      </w:r>
      <w:bookmarkEnd w:id="211"/>
    </w:p>
    <w:p>
      <w:pPr>
        <w:pStyle w:val="FirstParagraph"/>
      </w:pPr>
      <w:r>
        <w:t xml:space="preserve">Задача размещения сведена к варианту задачи о ранце: прогноз двухэтапной модели преобразуется в ожидаемое уменьшение задержки, а план учитывает ёмкость классов, бюджет копирования, закрепления и зависимости действий.</w:t>
      </w:r>
    </w:p>
    <w:p>
      <w:pPr>
        <w:pStyle w:val="a2"/>
      </w:pPr>
      <w:r>
        <w:t xml:space="preserve">Спроектированы сервис СППР рядом с OpenS3 и отдельный исполнитель переносов. Администратор как ЛПР решает, применять ли план, расчёт отделён от клиентского чтения очередью событий, а расположение меняется в Metadata через CAS только после проверки версии и целевой копии.</w:t>
      </w:r>
    </w:p>
    <w:p>
      <w:pPr>
        <w:pStyle w:val="a2"/>
      </w:pPr>
      <w:r>
        <w:t xml:space="preserve">Проверку определяют ограничения проекта: единственный экземпляр сервиса СППР и исполнителя, отсутствие общей транзакции двух баз, ограниченная бюджетом скорость применения плана, чтение новых версий из COLD до ближайшего плана, непредсказуемость всплесков без предвестников и грубая оценка новых объектов, линейная модель времени чтения без очередей, эвристический характер алгоритма для объектов разного размера и приостановка прогнозных действий при пропусках событий. 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99"/>
    <w:bookmarkEnd w:id="100"/>
    <w:bookmarkStart w:id="154" w:name="список-использованных-источников"/>
    <w:p>
      <w:pPr>
        <w:pStyle w:val="GOSTStructuralHeading"/>
      </w:pPr>
      <w:bookmarkStart w:id="212" w:name="GOSTHeading212"/>
      <w:r>
        <w:t xml:space="preserve">СПИСОК ИСПОЛЬЗОВАННЫХ ИСТОЧНИКОВ</w:t>
      </w:r>
      <w:bookmarkEnd w:id="212"/>
    </w:p>
    <w:p>
      <w:pPr>
        <w:pStyle w:val="Compact"/>
        <w:numPr>
          <w:ilvl w:val="0"/>
          <w:numId w:val="1004"/>
        </w:numPr>
        <w:spacing w:before="0" w:after="0" w:line="360" w:lineRule="auto"/>
        <w:ind w:left="0" w:firstLine="709"/>
      </w:pPr>
      <w:r>
        <w:t xml:space="preserve">Savva G., Kakoulli E., Herodotou H. Machine Learning-Based Caching and Tiering in Modern Data Storage Systems: A Survey // ACM Computing Surveys. 2026. Vol. 58, no. 11, article 295. 36 p. DOI:</w:t>
      </w:r>
      <w:r>
        <w:t xml:space="preserve"> </w:t>
      </w:r>
      <w:hyperlink r:id="rId101">
        <w:r>
          <w:rPr>
            <w:rStyle w:val="af4"/>
          </w:rPr>
          <w:t xml:space="preserve">10.1145/3803857</w:t>
        </w:r>
      </w:hyperlink>
      <w:r>
        <w:t xml:space="preserve">.</w:t>
      </w:r>
    </w:p>
    <w:p>
      <w:pPr>
        <w:pStyle w:val="Compact"/>
        <w:numPr>
          <w:ilvl w:val="0"/>
          <w:numId w:val="1004"/>
        </w:numPr>
        <w:spacing w:before="0" w:after="0" w:line="360" w:lineRule="auto"/>
        <w:ind w:left="0" w:firstLine="709"/>
      </w:pPr>
      <w:r>
        <w:t xml:space="preserve">Amazon Web Services. Amazon S3 User Guide [Электронный ресурс]. URL:</w:t>
      </w:r>
      <w:r>
        <w:t xml:space="preserve"> </w:t>
      </w:r>
      <w:hyperlink r:id="rId102">
        <w:r>
          <w:rPr>
            <w:rStyle w:val="af4"/>
          </w:rPr>
          <w:t xml:space="preserve">https://​docs.​aws.​amazon.​com/​AmazonS3/​latest/​userguide/​storage-​class-​intro.​html</w:t>
        </w:r>
      </w:hyperlink>
      <w:r>
        <w:t xml:space="preserve"> </w:t>
      </w:r>
      <w:r>
        <w:t xml:space="preserve">(Understanding and managing Amazon S3 storage classes), а также</w:t>
      </w:r>
      <w:r>
        <w:t xml:space="preserve"> </w:t>
      </w:r>
      <w:hyperlink r:id="rId103">
        <w:r>
          <w:rPr>
            <w:rStyle w:val="af4"/>
          </w:rPr>
          <w:t xml:space="preserve">https://​docs.​aws.​amazon.​com/​AmazonS3/​latest/​userguide/​object-​lifecycle-​mgmt.​html</w:t>
        </w:r>
      </w:hyperlink>
      <w:r>
        <w:t xml:space="preserve"> </w:t>
      </w:r>
      <w:r>
        <w:t xml:space="preserve">(Managing the lifecycle of objects), а также</w:t>
      </w:r>
      <w:r>
        <w:t xml:space="preserve"> </w:t>
      </w:r>
      <w:hyperlink r:id="rId104">
        <w:r>
          <w:rPr>
            <w:rStyle w:val="af4"/>
          </w:rPr>
          <w:t xml:space="preserve">https://​docs.​aws.​amazon.​com/​AmazonS3/​latest/​userguide/​intelligent-​tiering-​overview.​html</w:t>
        </w:r>
      </w:hyperlink>
      <w:r>
        <w:t xml:space="preserve"> </w:t>
      </w:r>
      <w:r>
        <w:t xml:space="preserve">(How S3 Intelligent-Tiering works) (дата обращения: 09.10.2026).</w:t>
      </w:r>
    </w:p>
    <w:p>
      <w:pPr>
        <w:pStyle w:val="Compact"/>
        <w:numPr>
          <w:ilvl w:val="0"/>
          <w:numId w:val="1004"/>
        </w:numPr>
        <w:spacing w:before="0" w:after="0" w:line="360" w:lineRule="auto"/>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w:t>
      </w:r>
      <w:r>
        <w:t xml:space="preserve"> </w:t>
      </w:r>
      <w:hyperlink r:id="rId105">
        <w:r>
          <w:rPr>
            <w:rStyle w:val="af4"/>
          </w:rPr>
          <w:t xml:space="preserve">10.1016/j.comcom.2026.108437</w:t>
        </w:r>
      </w:hyperlink>
      <w:r>
        <w:t xml:space="preserve">.</w:t>
      </w:r>
    </w:p>
    <w:p>
      <w:pPr>
        <w:pStyle w:val="Compact"/>
        <w:numPr>
          <w:ilvl w:val="0"/>
          <w:numId w:val="1004"/>
        </w:numPr>
        <w:spacing w:before="0" w:after="0" w:line="360" w:lineRule="auto"/>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06">
        <w:r>
          <w:rPr>
            <w:rStyle w:val="af4"/>
          </w:rPr>
          <w:t xml:space="preserve">10.​17586/​2226-​1494-​2023-​23-​6-​1171-​1177</w:t>
        </w:r>
      </w:hyperlink>
      <w:r>
        <w:t xml:space="preserve">.</w:t>
      </w:r>
    </w:p>
    <w:p>
      <w:pPr>
        <w:pStyle w:val="Compact"/>
        <w:numPr>
          <w:ilvl w:val="0"/>
          <w:numId w:val="1004"/>
        </w:numPr>
        <w:spacing w:before="0" w:after="0" w:line="360" w:lineRule="auto"/>
        <w:ind w:left="0" w:firstLine="709"/>
      </w:pPr>
      <w:r>
        <w:t xml:space="preserve">Amazon Web Services. Naming Amazon S3 objects [Электронный ресурс]. URL:</w:t>
      </w:r>
      <w:r>
        <w:t xml:space="preserve"> </w:t>
      </w:r>
      <w:hyperlink r:id="rId107">
        <w:r>
          <w:rPr>
            <w:rStyle w:val="af4"/>
          </w:rPr>
          <w:t xml:space="preserve">https://​docs.​aws.​amazon.​com/​AmazonS3/​latest/​userguide/​object-​keys.​html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Retaining multiple versions of objects with S3 Versioning [Электронный ресурс]. URL:</w:t>
      </w:r>
      <w:r>
        <w:t xml:space="preserve"> </w:t>
      </w:r>
      <w:hyperlink r:id="rId108">
        <w:r>
          <w:rPr>
            <w:rStyle w:val="af4"/>
          </w:rPr>
          <w:t xml:space="preserve">https://​docs.​aws.​amazon.​com/​AmazonS3/​latest/​userguide/​Versioning.​html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OpenS3-ReBAC. Исходный код и документация проекта. Рассмотренная версия: ac858c748b5d3af96f0440864f4b299e7b617d76, 20.09.2026 [Электронный ресурс]. URL:</w:t>
      </w:r>
      <w:r>
        <w:t xml:space="preserve"> </w:t>
      </w:r>
      <w:hyperlink r:id="rId109">
        <w:r>
          <w:rPr>
            <w:rStyle w:val="af4"/>
          </w:rPr>
          <w:t xml:space="preserve">https://​github.​com/​alesplll/​opens3-​rebac/​tree/​ac858c748b5d3af96f0440864f4b299e7b617d76</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Transitioning objects using Amazon S3 Lifecycle [Электронный ресурс]. URL:</w:t>
      </w:r>
      <w:r>
        <w:t xml:space="preserve"> </w:t>
      </w:r>
      <w:hyperlink r:id="rId110">
        <w:r>
          <w:rPr>
            <w:rStyle w:val="af4"/>
          </w:rPr>
          <w:t xml:space="preserve">https://​docs.​aws.​amazon.​com/​AmazonS3/​latest/​userguide/​lifecycle-​transition-​general-​considerations.​html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Pool Placement and Storage Classes. Документация версии Squid [Электронный ресурс]. URL:</w:t>
      </w:r>
      <w:r>
        <w:t xml:space="preserve"> </w:t>
      </w:r>
      <w:hyperlink r:id="rId111">
        <w:r>
          <w:rPr>
            <w:rStyle w:val="af4"/>
          </w:rPr>
          <w:t xml:space="preserve">https://​docs.​ceph.​com/​en/​squid/​radosgw/​placement/​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Ceph. Manually editing the CRUSH Map. Документация версии Squid [Электронный ресурс]. URL:</w:t>
      </w:r>
      <w:r>
        <w:t xml:space="preserve"> </w:t>
      </w:r>
      <w:hyperlink r:id="rId112">
        <w:r>
          <w:rPr>
            <w:rStyle w:val="af4"/>
          </w:rPr>
          <w:t xml:space="preserve">https://​docs.​ceph.​com/​en/​squid/​rados/​operations/​crush-​map-​edits/​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Lifecycle Management. AIStor Documentation [Электронный ресурс]. URL:</w:t>
      </w:r>
      <w:r>
        <w:t xml:space="preserve"> </w:t>
      </w:r>
      <w:hyperlink r:id="rId113">
        <w:r>
          <w:rPr>
            <w:rStyle w:val="af4"/>
          </w:rPr>
          <w:t xml:space="preserve">https://​docs.​min.​io/​aistor/​administration/​object-​lifecycle-​management/​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MinIO. Object Tiering. AIStor Documentation [Электронный ресурс]. URL:</w:t>
      </w:r>
      <w:r>
        <w:t xml:space="preserve"> </w:t>
      </w:r>
      <w:hyperlink r:id="rId114">
        <w:r>
          <w:rPr>
            <w:rStyle w:val="af4"/>
          </w:rPr>
          <w:t xml:space="preserve">https://​docs.​min.​io/​aistor/​administration/​object-​lifecycle-​management/​object-​tiering/​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GetObject. Amazon S3 API Reference [Электронный ресурс]. URL:</w:t>
      </w:r>
      <w:r>
        <w:t xml:space="preserve"> </w:t>
      </w:r>
      <w:hyperlink r:id="rId115">
        <w:r>
          <w:rPr>
            <w:rStyle w:val="af4"/>
          </w:rPr>
          <w:t xml:space="preserve">https://​docs.​aws.​amazon.​com/​AmazonS3/​latest/​API/​API_​GetObject.​html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server access log format [Электронный ресурс]. URL:</w:t>
      </w:r>
      <w:r>
        <w:t xml:space="preserve"> </w:t>
      </w:r>
      <w:hyperlink r:id="rId116">
        <w:r>
          <w:rPr>
            <w:rStyle w:val="af4"/>
          </w:rPr>
          <w:t xml:space="preserve">https://​docs.​aws.​amazon.​com/​AmazonS3/​latest/​userguide/​LogFormat.​html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Mukherjee K., Shah R., Saini S. K. [et al.]. Towards Optimizing Storage Costs on the Cloud. 2023. Препринт arXiv:2305.14818 [Электронный ресурс]. URL:</w:t>
      </w:r>
      <w:r>
        <w:t xml:space="preserve"> </w:t>
      </w:r>
      <w:hyperlink r:id="rId117">
        <w:r>
          <w:rPr>
            <w:rStyle w:val="af4"/>
          </w:rPr>
          <w:t xml:space="preserve">https://​arxiv.​org/​abs/​2305.​14818</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Wong D. L.-K., Wu H., Molder C. [et al.]. Baleen: ML Admission &amp; Prefetching for Flash Caches // Proceedings of the 22nd USENIX Conference on File and Storage Technologies (FAST 24). 2024. P. 347–371 [Электронный ресурс]. URL:</w:t>
      </w:r>
      <w:r>
        <w:t xml:space="preserve"> </w:t>
      </w:r>
      <w:hyperlink r:id="rId118">
        <w:r>
          <w:rPr>
            <w:rStyle w:val="af4"/>
          </w:rPr>
          <w:t xml:space="preserve">https://​www.​usenix.​org/​conference/​fast24/​presentation/​wong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Amazon S3 pricing [Электронный ресурс]. URL:</w:t>
      </w:r>
      <w:r>
        <w:t xml:space="preserve"> </w:t>
      </w:r>
      <w:hyperlink r:id="rId119">
        <w:r>
          <w:rPr>
            <w:rStyle w:val="af4"/>
          </w:rPr>
          <w:t xml:space="preserve">https://​aws.​amazon.​com/​s3/​pricing/​</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What is Amazon S3? Разделы Strong consistency и Amazon S3 data consistency model [Электронный ресурс]. URL:</w:t>
      </w:r>
      <w:r>
        <w:t xml:space="preserve"> </w:t>
      </w:r>
      <w:hyperlink r:id="rId120">
        <w:r>
          <w:rPr>
            <w:rStyle w:val="af4"/>
          </w:rPr>
          <w:t xml:space="preserve">https://​docs.​aws.​amazon.​com/​AmazonS3/​latest/​userguide/​Welcome.​html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Meta. Evaluating SSD hardware for Facebook workloads. Раздел Running cachebench with the trace workload. CacheLib Documentation [Электронный ресурс]. URL:</w:t>
      </w:r>
      <w:r>
        <w:t xml:space="preserve"> </w:t>
      </w:r>
      <w:hyperlink r:id="rId121">
        <w:r>
          <w:rPr>
            <w:rStyle w:val="af4"/>
          </w:rPr>
          <w:t xml:space="preserve">https://​cachelib.​org/​docs/​Cache_​Library_​User_​Guides/​Cachebench_​FB_​HW_​eval/​</w:t>
        </w:r>
      </w:hyperlink>
      <w:r>
        <w:t xml:space="preserve"> </w:t>
      </w:r>
      <w:r>
        <w:t xml:space="preserve">(первичная публикация и условия использования трасс), а также</w:t>
      </w:r>
      <w:r>
        <w:t xml:space="preserve"> </w:t>
      </w:r>
      <w:hyperlink r:id="rId122">
        <w:r>
          <w:rPr>
            <w:rStyle w:val="af4"/>
          </w:rPr>
          <w:t xml:space="preserve">https://​github.​com/​facebook/​CacheLib/​blob/​0f7e808335599ca5d0e935d35aad75db8dc63f16/​cachelib/​cachebench/​util/​Request.​h</w:t>
        </w:r>
      </w:hyperlink>
      <w:r>
        <w:t xml:space="preserve"> </w:t>
      </w:r>
      <w:r>
        <w:t xml:space="preserve">(объявление типов операций, версия 0f7e808335599ca5d0e935d35aad75db8dc63f16) (дата обращения: 01.10.2026).</w:t>
      </w:r>
    </w:p>
    <w:p>
      <w:pPr>
        <w:pStyle w:val="Compact"/>
        <w:numPr>
          <w:ilvl w:val="0"/>
          <w:numId w:val="1004"/>
        </w:numPr>
        <w:spacing w:before="0" w:after="0" w:line="360" w:lineRule="auto"/>
        <w:ind w:left="0" w:firstLine="709"/>
      </w:pPr>
      <w:r>
        <w:t xml:space="preserve">CacheMon. Open-source Cache Dataset. Раздел Meta CDN request traces [Электронный ресурс]. URL:</w:t>
      </w:r>
      <w:r>
        <w:t xml:space="preserve"> </w:t>
      </w:r>
      <w:hyperlink r:id="rId123">
        <w:r>
          <w:rPr>
            <w:rStyle w:val="af4"/>
          </w:rPr>
          <w:t xml:space="preserve">https://​github.​com/​cacheMon/​cache_​dataset</w:t>
        </w:r>
      </w:hyperlink>
      <w:r>
        <w:t xml:space="preserve"> </w:t>
      </w:r>
      <w:r>
        <w:t xml:space="preserve">(описание коллекции и полей трассы), а также</w:t>
      </w:r>
      <w:r>
        <w:t xml:space="preserve"> </w:t>
      </w:r>
      <w:hyperlink r:id="rId124">
        <w:r>
          <w:rPr>
            <w:rStyle w:val="af4"/>
          </w:rPr>
          <w:t xml:space="preserve">https://​s3.​amazonaws.​com/​cache-​datasets/​index.​html</w:t>
        </w:r>
      </w:hyperlink>
      <w:r>
        <w:t xml:space="preserve"> </w:t>
      </w:r>
      <w:r>
        <w:t xml:space="preserve">(открытый архив файлов) (дата обращения: 01.10.2026).</w:t>
      </w:r>
    </w:p>
    <w:p>
      <w:pPr>
        <w:pStyle w:val="Compact"/>
        <w:numPr>
          <w:ilvl w:val="0"/>
          <w:numId w:val="1004"/>
        </w:numPr>
        <w:spacing w:before="0" w:after="0" w:line="360" w:lineRule="auto"/>
        <w:ind w:left="0" w:firstLine="709"/>
      </w:pPr>
      <w:r>
        <w:t xml:space="preserve">Ofer E. Evaluating cache performance using cloud storage traces. IBM Research, Storage Developer Conference EMEA. 2021. Презентация [Электронный ресурс]. URL:</w:t>
      </w:r>
      <w:r>
        <w:t xml:space="preserve"> </w:t>
      </w:r>
      <w:hyperlink r:id="rId125">
        <w:r>
          <w:rPr>
            <w:rStyle w:val="af4"/>
          </w:rPr>
          <w:t xml:space="preserve">https://​www.​snia.​org/​sites/​default/​files/​SDCEMEA/​2021/​snia-​evaluating-​cache-​performance-​using-​cloud-​storage-​traces.​pdf</w:t>
        </w:r>
      </w:hyperlink>
      <w:r>
        <w:t xml:space="preserve"> </w:t>
      </w:r>
      <w:r>
        <w:t xml:space="preserve">(материалы SNIA), а также</w:t>
      </w:r>
      <w:r>
        <w:t xml:space="preserve"> </w:t>
      </w:r>
      <w:hyperlink r:id="rId126">
        <w:r>
          <w:rPr>
            <w:rStyle w:val="af4"/>
          </w:rPr>
          <w:t xml:space="preserve">https://​iotta.​snia.​org/​tracetypes/​17</w:t>
        </w:r>
      </w:hyperlink>
      <w:r>
        <w:t xml:space="preserve"> </w:t>
      </w:r>
      <w:r>
        <w:t xml:space="preserve">(указанный авторами каталог объектных трасс SNIA IOTTA) (дата обращения к презентации: 01.10.2026).</w:t>
      </w:r>
    </w:p>
    <w:p>
      <w:pPr>
        <w:pStyle w:val="Compact"/>
        <w:numPr>
          <w:ilvl w:val="0"/>
          <w:numId w:val="1004"/>
        </w:numPr>
        <w:spacing w:before="0" w:after="0" w:line="360" w:lineRule="auto"/>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w:t>
      </w:r>
      <w:r>
        <w:t xml:space="preserve"> </w:t>
      </w:r>
      <w:hyperlink r:id="rId127">
        <w:r>
          <w:rPr>
            <w:rStyle w:val="af4"/>
          </w:rPr>
          <w:t xml:space="preserve">https://​www.​usenix.​org/​conference/​fast18/​presentation/​anwar</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DS2 Lab. IBM-docker-registry-traces. Авторский репозиторий с описанием доступа к данным [Электронный ресурс]. URL:</w:t>
      </w:r>
      <w:r>
        <w:t xml:space="preserve"> </w:t>
      </w:r>
      <w:hyperlink r:id="rId128">
        <w:r>
          <w:rPr>
            <w:rStyle w:val="af4"/>
          </w:rPr>
          <w:t xml:space="preserve">https://​github.​com/​ds2-​lab/​IBM-​docker-​registry-​traces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Carnegie Mellon University, Parallel Data Laboratory. Caching to Improve Latency and Efficiency at Scale (CILES) [Электронный ресурс]. URL:</w:t>
      </w:r>
      <w:r>
        <w:t xml:space="preserve"> </w:t>
      </w:r>
      <w:hyperlink r:id="rId129">
        <w:r>
          <w:rPr>
            <w:rStyle w:val="af4"/>
          </w:rPr>
          <w:t xml:space="preserve">https://www.pdl.cmu.edu/CILES/</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Herodotou H., Kakoulli E. Automating Distributed Tiered Storage Management in Cluster Computing // Proceedings of the VLDB Endowment. 2019. Vol. 13, no. 1. P. 43–56 [Электронный ресурс]. DOI:</w:t>
      </w:r>
      <w:r>
        <w:t xml:space="preserve"> </w:t>
      </w:r>
      <w:hyperlink r:id="rId130">
        <w:r>
          <w:rPr>
            <w:rStyle w:val="af4"/>
          </w:rPr>
          <w:t xml:space="preserve">10.14778/3357377.3357381</w:t>
        </w:r>
      </w:hyperlink>
      <w:r>
        <w:t xml:space="preserve">. URL:</w:t>
      </w:r>
      <w:r>
        <w:t xml:space="preserve"> </w:t>
      </w:r>
      <w:hyperlink r:id="rId131">
        <w:r>
          <w:rPr>
            <w:rStyle w:val="af4"/>
          </w:rPr>
          <w:t xml:space="preserve">https://​www.​vldb.​org/​pvldb/​vol13/​p43-​herodotou.​pdf</w:t>
        </w:r>
      </w:hyperlink>
      <w:r>
        <w:t xml:space="preserve"> </w:t>
      </w:r>
      <w:r>
        <w:t xml:space="preserve">(дата обращения: 04.10.2026).</w:t>
      </w:r>
    </w:p>
    <w:p>
      <w:pPr>
        <w:pStyle w:val="Compact"/>
        <w:numPr>
          <w:ilvl w:val="0"/>
          <w:numId w:val="1004"/>
        </w:numPr>
        <w:spacing w:before="0" w:after="0" w:line="360" w:lineRule="auto"/>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32">
        <w:r>
          <w:rPr>
            <w:rStyle w:val="af4"/>
          </w:rPr>
          <w:t xml:space="preserve">10.​1109/​FiCloud66139.​2025.​00024</w:t>
        </w:r>
      </w:hyperlink>
      <w:r>
        <w:t xml:space="preserve">.</w:t>
      </w:r>
    </w:p>
    <w:p>
      <w:pPr>
        <w:pStyle w:val="Compact"/>
        <w:numPr>
          <w:ilvl w:val="0"/>
          <w:numId w:val="1004"/>
        </w:numPr>
        <w:spacing w:before="0" w:after="0" w:line="360" w:lineRule="auto"/>
        <w:ind w:left="0" w:firstLine="709"/>
      </w:pPr>
      <w:r>
        <w:t xml:space="preserve">Ceph. Rados Gateway Data Layout. Документация версии Squid [Электронный ресурс]. URL:</w:t>
      </w:r>
      <w:r>
        <w:t xml:space="preserve"> </w:t>
      </w:r>
      <w:hyperlink r:id="rId133">
        <w:r>
          <w:rPr>
            <w:rStyle w:val="af4"/>
          </w:rPr>
          <w:t xml:space="preserve">https://​docs.​ceph.​com/​en/​squid/​radosgw/​layout/​</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Amazon Web Services. Logging requests with server access logging [Электронный ресурс]. URL:</w:t>
      </w:r>
      <w:r>
        <w:t xml:space="preserve"> </w:t>
      </w:r>
      <w:hyperlink r:id="rId134">
        <w:r>
          <w:rPr>
            <w:rStyle w:val="af4"/>
          </w:rPr>
          <w:t xml:space="preserve">https://​docs.​aws.​amazon.​com/​AmazonS3/​latest/​userguide/​ServerLogs.​html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Kellerer H., Pferschy U., Pisinger D. Knapsack Problems. Berlin; Heidelberg: Springer, 2004. 546 p. DOI:</w:t>
      </w:r>
      <w:r>
        <w:t xml:space="preserve"> </w:t>
      </w:r>
      <w:hyperlink r:id="rId135">
        <w:r>
          <w:rPr>
            <w:rStyle w:val="af4"/>
          </w:rPr>
          <w:t xml:space="preserve">10.1007/978-3-540-24777-7</w:t>
        </w:r>
      </w:hyperlink>
      <w:r>
        <w:t xml:space="preserve">.</w:t>
      </w:r>
    </w:p>
    <w:p>
      <w:pPr>
        <w:pStyle w:val="Compact"/>
        <w:numPr>
          <w:ilvl w:val="0"/>
          <w:numId w:val="1004"/>
        </w:numPr>
        <w:spacing w:before="0" w:after="0" w:line="360" w:lineRule="auto"/>
        <w:ind w:left="0" w:firstLine="709"/>
      </w:pPr>
      <w:r>
        <w:t xml:space="preserve">Mullahy J. Specification and testing of some modified count data models // Journal of Econometrics. 1986. Vol. 33, no. 3. P. 341–365. DOI:</w:t>
      </w:r>
      <w:r>
        <w:t xml:space="preserve"> </w:t>
      </w:r>
      <w:hyperlink r:id="rId136">
        <w:r>
          <w:rPr>
            <w:rStyle w:val="af4"/>
          </w:rPr>
          <w:t xml:space="preserve">10.1016/0304-4076(86)90002-3</w:t>
        </w:r>
      </w:hyperlink>
      <w:r>
        <w:t xml:space="preserve">.</w:t>
      </w:r>
    </w:p>
    <w:p>
      <w:pPr>
        <w:pStyle w:val="Compact"/>
        <w:numPr>
          <w:ilvl w:val="0"/>
          <w:numId w:val="1004"/>
        </w:numPr>
        <w:spacing w:before="0" w:after="0" w:line="360" w:lineRule="auto"/>
        <w:ind w:left="0" w:firstLine="709"/>
      </w:pPr>
      <w:r>
        <w:t xml:space="preserve">Friedman J. H. Greedy function approximation: A gradient boosting machine // The Annals of Statistics. 2001. Vol. 29, no. 5. P. 1189–1232. DOI:</w:t>
      </w:r>
      <w:r>
        <w:t xml:space="preserve"> </w:t>
      </w:r>
      <w:hyperlink r:id="rId137">
        <w:r>
          <w:rPr>
            <w:rStyle w:val="af4"/>
          </w:rPr>
          <w:t xml:space="preserve">10.1214/aos/1013203451</w:t>
        </w:r>
      </w:hyperlink>
      <w:r>
        <w:t xml:space="preserve">.</w:t>
      </w:r>
    </w:p>
    <w:p>
      <w:pPr>
        <w:pStyle w:val="Compact"/>
        <w:numPr>
          <w:ilvl w:val="0"/>
          <w:numId w:val="1004"/>
        </w:numPr>
        <w:spacing w:before="0" w:after="0" w:line="360" w:lineRule="auto"/>
        <w:ind w:left="0" w:firstLine="709"/>
      </w:pPr>
      <w:r>
        <w:t xml:space="preserve">LightGBM. Parameters. Разделы objective: binary и poisson. LightGBM Documentation [Электронный ресурс]. URL:</w:t>
      </w:r>
      <w:r>
        <w:t xml:space="preserve"> </w:t>
      </w:r>
      <w:hyperlink r:id="rId138">
        <w:r>
          <w:rPr>
            <w:rStyle w:val="af4"/>
          </w:rPr>
          <w:t xml:space="preserve">https://​lightgbm.​readthedocs.​io/​en/​latest/​Parameters.​html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Nelder J. A., Wedderburn R. W. M. Generalized Linear Models // Journal of the Royal Statistical Society. Series A (General). 1972. Vol. 135, no. 3. P. 370–384. DOI:</w:t>
      </w:r>
      <w:r>
        <w:t xml:space="preserve"> </w:t>
      </w:r>
      <w:hyperlink r:id="rId139">
        <w:r>
          <w:rPr>
            <w:rStyle w:val="af4"/>
          </w:rPr>
          <w:t xml:space="preserve">10.2307/2344614</w:t>
        </w:r>
      </w:hyperlink>
      <w:r>
        <w:t xml:space="preserve">.</w:t>
      </w:r>
    </w:p>
    <w:p>
      <w:pPr>
        <w:pStyle w:val="Compact"/>
        <w:numPr>
          <w:ilvl w:val="0"/>
          <w:numId w:val="1004"/>
        </w:numPr>
        <w:spacing w:before="0" w:after="0" w:line="360" w:lineRule="auto"/>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40">
        <w:r>
          <w:rPr>
            <w:rStyle w:val="af4"/>
          </w:rPr>
          <w:t xml:space="preserve">https://​arxiv.​org/​abs/​2207.​08815</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Scikit-learn developers. Common pitfalls and recommended practices. Раздел Data leakage [Электронный ресурс]. URL:</w:t>
      </w:r>
      <w:r>
        <w:t xml:space="preserve"> </w:t>
      </w:r>
      <w:hyperlink r:id="rId141">
        <w:r>
          <w:rPr>
            <w:rStyle w:val="af4"/>
          </w:rPr>
          <w:t xml:space="preserve">https://​scikit-​learn.​org/​stable/​common_​pitfalls.​html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Scikit-learn developers. TimeSeriesSplit [Электронный ресурс]. URL:</w:t>
      </w:r>
      <w:r>
        <w:t xml:space="preserve"> </w:t>
      </w:r>
      <w:hyperlink r:id="rId142">
        <w:r>
          <w:rPr>
            <w:rStyle w:val="af4"/>
          </w:rPr>
          <w:t xml:space="preserve">https://​scikit-​learn.​org/​stable/​modules/​generated/​sklearn.​model_​selection.​TimeSeriesSplit.​html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Davis J., Goadrich M. The Relationship Between Precision-Recall and ROC Curves // Proceedings of the 23rd International Conference on Machine Learning (ICML 2006). 2006. P. 233–240. DOI:</w:t>
      </w:r>
      <w:r>
        <w:t xml:space="preserve"> </w:t>
      </w:r>
      <w:hyperlink r:id="rId143">
        <w:r>
          <w:rPr>
            <w:rStyle w:val="af4"/>
          </w:rPr>
          <w:t xml:space="preserve">10.1145/1143844.1143874</w:t>
        </w:r>
      </w:hyperlink>
      <w:r>
        <w:t xml:space="preserve">.</w:t>
      </w:r>
    </w:p>
    <w:p>
      <w:pPr>
        <w:pStyle w:val="Compact"/>
        <w:numPr>
          <w:ilvl w:val="0"/>
          <w:numId w:val="1004"/>
        </w:numPr>
        <w:spacing w:before="0" w:after="0" w:line="360" w:lineRule="auto"/>
        <w:ind w:left="0" w:firstLine="709"/>
      </w:pPr>
      <w:r>
        <w:t xml:space="preserve">Brier G. W. Verification of forecasts expressed in terms of probability // Monthly Weather Review. 1950. Vol. 78, no. 1. P. 1–3. DOI:</w:t>
      </w:r>
      <w:r>
        <w:t xml:space="preserve"> </w:t>
      </w:r>
      <w:hyperlink r:id="rId144">
        <w:r>
          <w:rPr>
            <w:rStyle w:val="af4"/>
          </w:rPr>
          <w:t xml:space="preserve">10.​1175/​1520-​0493(1950)078&lt;0001:VOFEIT&gt;2.​0.​CO;2</w:t>
        </w:r>
      </w:hyperlink>
      <w:r>
        <w:t xml:space="preserve">.</w:t>
      </w:r>
    </w:p>
    <w:p>
      <w:pPr>
        <w:pStyle w:val="Compact"/>
        <w:numPr>
          <w:ilvl w:val="0"/>
          <w:numId w:val="1004"/>
        </w:numPr>
        <w:spacing w:before="0" w:after="0" w:line="360" w:lineRule="auto"/>
        <w:ind w:left="0" w:firstLine="709"/>
      </w:pPr>
      <w:r>
        <w:t xml:space="preserve">Dantzig G. B. Discrete-Variable Extremum Problems // Operations Research. 1957. Vol. 5, no. 2. P. 266–288. DOI:</w:t>
      </w:r>
      <w:r>
        <w:t xml:space="preserve"> </w:t>
      </w:r>
      <w:hyperlink r:id="rId145">
        <w:r>
          <w:rPr>
            <w:rStyle w:val="af4"/>
          </w:rPr>
          <w:t xml:space="preserve">10.1287/opre.5.2.266</w:t>
        </w:r>
      </w:hyperlink>
      <w:r>
        <w:t xml:space="preserve">.</w:t>
      </w:r>
    </w:p>
    <w:p>
      <w:pPr>
        <w:pStyle w:val="Compact"/>
        <w:numPr>
          <w:ilvl w:val="0"/>
          <w:numId w:val="1004"/>
        </w:numPr>
        <w:spacing w:before="0" w:after="0" w:line="360" w:lineRule="auto"/>
        <w:ind w:left="0" w:firstLine="709"/>
      </w:pPr>
      <w:r>
        <w:t xml:space="preserve">Kleppmann M. Designing Data-Intensive Applications. Sebastopol: O’Reilly Media, 2017. 616 p.</w:t>
      </w:r>
    </w:p>
    <w:p>
      <w:pPr>
        <w:pStyle w:val="Compact"/>
        <w:numPr>
          <w:ilvl w:val="0"/>
          <w:numId w:val="1004"/>
        </w:numPr>
        <w:spacing w:before="0" w:after="0" w:line="360" w:lineRule="auto"/>
        <w:ind w:left="0" w:firstLine="709"/>
      </w:pPr>
      <w:r>
        <w:t xml:space="preserve">Amazon Web Services. Checking object integrity for data uploads in Amazon S3 [Электронный ресурс]. URL:</w:t>
      </w:r>
      <w:r>
        <w:t xml:space="preserve"> </w:t>
      </w:r>
      <w:hyperlink r:id="rId146">
        <w:r>
          <w:rPr>
            <w:rStyle w:val="af4"/>
          </w:rPr>
          <w:t xml:space="preserve">https://​docs.​aws.​amazon.​com/​AmazonS3/​latest/​userguide/​checking-​object-​integrity-​upload.​html</w:t>
        </w:r>
      </w:hyperlink>
      <w:r>
        <w:t xml:space="preserve"> </w:t>
      </w:r>
      <w:r>
        <w:t xml:space="preserve">(дата обращения: 01.10.2026).</w:t>
      </w:r>
    </w:p>
    <w:p>
      <w:pPr>
        <w:pStyle w:val="Compact"/>
        <w:numPr>
          <w:ilvl w:val="0"/>
          <w:numId w:val="1004"/>
        </w:numPr>
        <w:spacing w:before="0" w:after="0" w:line="360" w:lineRule="auto"/>
        <w:ind w:left="0" w:firstLine="709"/>
      </w:pPr>
      <w:r>
        <w:t xml:space="preserve">Object Management Group. OMG Unified Modeling Language (OMG UML). Version 2.5.1. 2017 [Электронный ресурс]. URL:</w:t>
      </w:r>
      <w:r>
        <w:t xml:space="preserve"> </w:t>
      </w:r>
      <w:hyperlink r:id="rId147">
        <w:r>
          <w:rPr>
            <w:rStyle w:val="af4"/>
          </w:rPr>
          <w:t xml:space="preserve">https://​www.​omg.​org/​spec/​UML/​2.​5.​1/​</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Object Management Group. Business Process Model and Notation (BPMN). Version 2.0.2. 2013 [Электронный ресурс]. URL:</w:t>
      </w:r>
      <w:r>
        <w:t xml:space="preserve"> </w:t>
      </w:r>
      <w:hyperlink r:id="rId148">
        <w:r>
          <w:rPr>
            <w:rStyle w:val="af4"/>
          </w:rPr>
          <w:t xml:space="preserve">https://​www.​omg.​org/​spec/​BPMN/​2.​0.​2/​</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Ke G., Meng Q., Finley T. [et al.]. LightGBM: A Highly Efficient Gradient Boosting Decision Tree // Advances in Neural Information Processing Systems 30 (NIPS 2017). 2017. P. 3146–3154 [Электронный ресурс]. URL:</w:t>
      </w:r>
      <w:r>
        <w:t xml:space="preserve"> </w:t>
      </w:r>
      <w:hyperlink r:id="rId149">
        <w:r>
          <w:rPr>
            <w:rStyle w:val="af4"/>
          </w:rPr>
          <w:t xml:space="preserve">https://​papers.​nips.​cc/​paper/​6907-​lightgbm-​a-​highly-​efficient-​gradient-​boosting-​decision-​tree</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leaves — pure Go implementation of prediction part for GBRT models. Репозиторий исходного кода [Электронный ресурс]. URL:</w:t>
      </w:r>
      <w:r>
        <w:t xml:space="preserve"> </w:t>
      </w:r>
      <w:hyperlink r:id="rId150">
        <w:r>
          <w:rPr>
            <w:rStyle w:val="af4"/>
          </w:rPr>
          <w:t xml:space="preserve">https://​github.​com/​dmitryikh/​leaves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PostgreSQL Global Development Group. PostgreSQL 16 Documentation. Chapter 13. Concurrency Control [Электронный ресурс]. URL:</w:t>
      </w:r>
      <w:r>
        <w:t xml:space="preserve"> </w:t>
      </w:r>
      <w:hyperlink r:id="rId151">
        <w:r>
          <w:rPr>
            <w:rStyle w:val="af4"/>
          </w:rPr>
          <w:t xml:space="preserve">https://​www.​postgresql.​org/​docs/​16/​mvcc.​html</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Apache Software Foundation. Apache Kafka Documentation. Раздел Message Delivery Semantics [Электронный ресурс]. URL:</w:t>
      </w:r>
      <w:r>
        <w:t xml:space="preserve"> </w:t>
      </w:r>
      <w:hyperlink r:id="rId152">
        <w:r>
          <w:rPr>
            <w:rStyle w:val="af4"/>
          </w:rPr>
          <w:t xml:space="preserve">https://​kafka.​apache.​org/​documentation/#​semantics</w:t>
        </w:r>
      </w:hyperlink>
      <w:r>
        <w:t xml:space="preserve"> </w:t>
      </w:r>
      <w:r>
        <w:t xml:space="preserve">(дата обращения: 15.10.2026).</w:t>
      </w:r>
    </w:p>
    <w:p>
      <w:pPr>
        <w:pStyle w:val="Compact"/>
        <w:numPr>
          <w:ilvl w:val="0"/>
          <w:numId w:val="1004"/>
        </w:numPr>
        <w:spacing w:before="0" w:after="0" w:line="360" w:lineRule="auto"/>
        <w:ind w:left="0" w:firstLine="709"/>
      </w:pPr>
      <w:r>
        <w:t xml:space="preserve">yalue/onnxruntime_go — Go library wrapping microsoft/onnxruntime. Репозиторий исходного кода [Электронный ресурс]. URL:</w:t>
      </w:r>
      <w:r>
        <w:t xml:space="preserve"> </w:t>
      </w:r>
      <w:hyperlink r:id="rId153">
        <w:r>
          <w:rPr>
            <w:rStyle w:val="af4"/>
          </w:rPr>
          <w:t xml:space="preserve">https://​github.​com/​yalue/​onnxruntime_​go</w:t>
        </w:r>
      </w:hyperlink>
      <w:r>
        <w:t xml:space="preserve"> </w:t>
      </w:r>
      <w:r>
        <w:t xml:space="preserve">(дата обращения: 20.10.2026).</w:t>
      </w:r>
    </w:p>
    <w:bookmarkEnd w:id="154"/>
    <w:bookmarkStart w:id="155" w:name="приложения"/>
    <w:p>
      <w:pPr>
        <w:pStyle w:val="GOSTStructuralHeading"/>
      </w:pPr>
      <w:bookmarkStart w:id="213" w:name="GOSTHeading213"/>
      <w:r>
        <w:t xml:space="preserve">ПРИЛОЖЕНИЯ</w:t>
      </w:r>
      <w:bookmarkEnd w:id="213"/>
    </w:p>
    <w:p>
      <w:pPr>
        <w:pStyle w:val="FirstParagraph"/>
      </w:pPr>
      <w:r>
        <w:t xml:space="preserve">Приложение А — Диаграмма состояний миграции версии</w:t>
      </w:r>
    </w:p>
    <w:p>
      <w:pPr>
        <w:pStyle w:val="a2"/>
      </w:pPr>
      <w:r>
        <w:t xml:space="preserve">Приложение Б — Модель данных Metadata и СПП�</w:t>
      </w:r>
    </w:p>
    <w:bookmarkEnd w:id="155"/>
    <w:bookmarkStart w:id="160" w:name="X58d6892eb4b28b97009897612fe5c22da3991b8"/>
    <w:p>
      <w:pPr>
        <w:pStyle w:val="GOSTAppendixHeading"/>
      </w:pPr>
      <w:bookmarkStart w:id="214" w:name="GOSTHeading214"/>
      <w:r>
        <w:t xml:space="preserve">Приложение А</w:t>
      </w:r>
      <w:bookmarkEnd w:id="214"/>
    </w:p>
    <w:p>
      <w:pPr>
        <w:pStyle w:val="GOSTAppendixTitle"/>
      </w:pPr>
      <w:r>
        <w:t xml:space="preserve">Диаграмма состояний миграции версии</w:t>
      </w:r>
    </w:p>
    <w:p>
      <w:pPr>
        <w:pStyle w:val="a2"/>
        <w:keepNext w:val="1"/>
      </w:pPr>
      <w:r>
        <w:t xml:space="preserve">Приложение относится к разделу 2.1.7 пояснительной записки и показывает в нотации диаграммы состояний UML состояния миграции версии и переходы между ними (Рисунок А.1).</w:t>
      </w:r>
    </w:p>
    <w:bookmarkStart w:id="159" w:name="gost-fig:migration_states"/>
    <w:p>
      <w:pPr>
        <w:pStyle w:val="CaptionedFigure"/>
        <w:keepNext w:val="1"/>
      </w:pPr>
      <w:r>
        <w:drawing>
          <wp:inline>
            <wp:extent cx="5016675" cy="6840000"/>
            <wp:effectExtent b="0" l="0" r="0" t="0"/>
            <wp:docPr descr="Диаграмма состояний миграции версии" title="" id="157" name="Picture"/>
            <a:graphic>
              <a:graphicData uri="http://schemas.openxmlformats.org/drawingml/2006/picture">
                <pic:pic>
                  <pic:nvPicPr>
                    <pic:cNvPr descr="images/migration_states.png" id="158" name="Picture"/>
                    <pic:cNvPicPr>
                      <a:picLocks noChangeArrowheads="1" noChangeAspect="1"/>
                    </pic:cNvPicPr>
                  </pic:nvPicPr>
                  <pic:blipFill>
                    <a:blip r:embed="rId156"/>
                    <a:stretch>
                      <a:fillRect/>
                    </a:stretch>
                  </pic:blipFill>
                  <pic:spPr bwMode="auto">
                    <a:xfrm>
                      <a:off x="0" y="0"/>
                      <a:ext cx="5016675" cy="6840000"/>
                    </a:xfrm>
                    <a:prstGeom prst="rect">
                      <a:avLst/>
                    </a:prstGeom>
                    <a:noFill/>
                    <a:ln w="9525">
                      <a:noFill/>
                      <a:headEnd/>
                      <a:tailEnd/>
                    </a:ln>
                  </pic:spPr>
                </pic:pic>
              </a:graphicData>
            </a:graphic>
          </wp:inline>
        </w:drawing>
      </w:r>
    </w:p>
    <w:p>
      <w:pPr>
        <w:pStyle w:val="ImageCaption"/>
      </w:pPr>
      <w:r>
        <w:t xml:space="preserve">Рисунок А.1 — Диаграмма состояний миграции версии</w:t>
      </w:r>
    </w:p>
    <w:bookmarkEnd w:id="159"/>
    <w:bookmarkEnd w:id="160"/>
    <w:bookmarkStart w:id="165" w:name="Xe9b041aaa13bc2d85aa0272880cededbe3cd285"/>
    <w:p>
      <w:pPr>
        <w:pStyle w:val="GOSTAppendixHeading"/>
      </w:pPr>
      <w:bookmarkStart w:id="215" w:name="GOSTHeading215"/>
      <w:r>
        <w:t xml:space="preserve">Приложение Б</w:t>
      </w:r>
      <w:bookmarkEnd w:id="215"/>
    </w:p>
    <w:p>
      <w:pPr>
        <w:pStyle w:val="GOSTAppendixTitle"/>
      </w:pPr>
      <w:r>
        <w:t xml:space="preserve">Модель данных Metadata и СПП�</w:t>
      </w:r>
    </w:p>
    <w:p>
      <w:pPr>
        <w:pStyle w:val="a2"/>
        <w:keepNext w:val="1"/>
      </w:pPr>
      <w:r>
        <w:t xml:space="preserve">Приложение относится к разделу 2.3.3 пояснительной записки и показывает таблицы, добавляемые в Metadata, таблицы базы СППР и связи между ними (Рисунок Б.1).</w:t>
      </w:r>
    </w:p>
    <w:bookmarkStart w:id="164" w:name="gost-fig:er"/>
    <w:p>
      <w:pPr>
        <w:pStyle w:val="CaptionedFigure"/>
        <w:keepNext w:val="1"/>
      </w:pPr>
      <w:r>
        <w:drawing>
          <wp:inline>
            <wp:extent cx="4732739" cy="6840000"/>
            <wp:effectExtent b="0" l="0" r="0" t="0"/>
            <wp:docPr descr="Модель данных Metadata и СППР" title="" id="162" name="Picture"/>
            <a:graphic>
              <a:graphicData uri="http://schemas.openxmlformats.org/drawingml/2006/picture">
                <pic:pic>
                  <pic:nvPicPr>
                    <pic:cNvPr descr="images/er.png" id="163" name="Picture"/>
                    <pic:cNvPicPr>
                      <a:picLocks noChangeArrowheads="1" noChangeAspect="1"/>
                    </pic:cNvPicPr>
                  </pic:nvPicPr>
                  <pic:blipFill>
                    <a:blip r:embed="rId161"/>
                    <a:stretch>
                      <a:fillRect/>
                    </a:stretch>
                  </pic:blipFill>
                  <pic:spPr bwMode="auto">
                    <a:xfrm>
                      <a:off x="0" y="0"/>
                      <a:ext cx="4732739" cy="6840000"/>
                    </a:xfrm>
                    <a:prstGeom prst="rect">
                      <a:avLst/>
                    </a:prstGeom>
                    <a:noFill/>
                    <a:ln w="9525">
                      <a:noFill/>
                      <a:headEnd/>
                      <a:tailEnd/>
                    </a:ln>
                  </pic:spPr>
                </pic:pic>
              </a:graphicData>
            </a:graphic>
          </wp:inline>
        </w:drawing>
      </w:r>
    </w:p>
    <w:p>
      <w:pPr>
        <w:pStyle w:val="ImageCaption"/>
      </w:pPr>
      <w:r>
        <w:t xml:space="preserve">Рисунок Б.1 — Модель данных Metadata и СППР</w:t>
      </w:r>
    </w:p>
    <w:bookmarkEnd w:id="164"/>
    <w:bookmarkEnd w:id="165"/>
    <w:sectPr w:rsidR="00141CD3" w:rsidRPr="00EB61BE" w:rsidSect="00515D53">
      <w:footerReference r:id="rId12" w:type="even"/>
      <w:footerReference r:id="rId13" w:type="default"/>
      <w:footerReference r:id="rId15" w:type="first"/>
      <w:pgSz w:w="11906" w:h="16838" w:orient="portrait"/>
      <w:pgMar w:top="1134" w:bottom="1134" w:left="1701" w:right="567" w:header="709" w:footer="709" w:gutter="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keepNext w:val="0"/>
          <w:pageBreakBefore w:val="0"/>
          <w:widowControl w:val="1"/>
          <w:suppressAutoHyphens w:val="1"/>
          <w:spacing w:before="0" w:after="0" w:line="240" w:lineRule="auto"/>
          <w:ind w:left="0" w:right="0" w:firstLine="0"/>
          <w:jc w:val="center"/>
        </w:pPr>
        <w:r w:rsidRPr="00742C81">
          <w:rPr>
            <w:rFonts w:ascii="Times New Roman" w:hAnsi="Times New Roman" w:cs="Times New Roman" w:eastAsia="Times New Roman"/>
            <w:b w:val="0"/>
            <w:bCs w:val="0"/>
            <w:i w:val="0"/>
            <w:iCs w:val="0"/>
            <w:color w:val="000000"/>
            <w:sz w:val="24"/>
            <w:szCs w:val="24"/>
          </w:rPr>
          <w:fldChar w:fldCharType="begin"/>
        </w:r>
        <w:r w:rsidRPr="00742C81">
          <w:rPr>
            <w:rFonts w:ascii="Times New Roman" w:hAnsi="Times New Roman" w:cs="Times New Roman" w:eastAsia="Times New Roman"/>
            <w:b w:val="0"/>
            <w:bCs w:val="0"/>
            <w:i w:val="0"/>
            <w:iCs w:val="0"/>
            <w:color w:val="000000"/>
            <w:sz w:val="24"/>
            <w:szCs w:val="24"/>
          </w:rPr>
          <w:instrText>PAGE   \* MERGEFORMAT</w:instrText>
        </w:r>
        <w:r w:rsidRPr="00742C81">
          <w:rPr>
            <w:rFonts w:ascii="Times New Roman" w:hAnsi="Times New Roman" w:cs="Times New Roman" w:eastAsia="Times New Roman"/>
            <w:b w:val="0"/>
            <w:bCs w:val="0"/>
            <w:i w:val="0"/>
            <w:iCs w:val="0"/>
            <w:color w:val="000000"/>
            <w:sz w:val="24"/>
            <w:szCs w:val="24"/>
          </w:rPr>
          <w:fldChar w:fldCharType="separate"/>
        </w:r>
        <w:r w:rsidRPr="00742C81">
          <w:rPr>
            <w:rFonts w:ascii="Times New Roman" w:hAnsi="Times New Roman" w:cs="Times New Roman" w:eastAsia="Times New Roman"/>
            <w:b w:val="0"/>
            <w:bCs w:val="0"/>
            <w:i w:val="0"/>
            <w:iCs w:val="0"/>
            <w:color w:val="000000"/>
            <w:sz w:val="24"/>
            <w:szCs w:val="24"/>
          </w:rPr>
          <w:t>2</w:t>
        </w:r>
        <w:r w:rsidRPr="00742C81">
          <w:rPr>
            <w:rFonts w:ascii="Times New Roman" w:hAnsi="Times New Roman" w:cs="Times New Roman" w:eastAsia="Times New Roman"/>
            <w:b w:val="0"/>
            <w:bCs w:val="0"/>
            <w:i w:val="0"/>
            <w:iCs w:val="0"/>
            <w:color w:val="000000"/>
            <w:sz w:val="24"/>
            <w:szCs w:val="24"/>
          </w:rPr>
          <w:fldChar w:fldCharType="end"/>
        </w:r>
      </w:p>
    </w:sdtContent>
  </w:sdt>
  <w:p w14:paraId="37F5F18B" w14:textId="77777777" w:rsidR="00C55B68" w:rsidRPr="00742C81" w:rsidRDefault="00C55B68" w:rsidP="007B7923">
    <w:pPr>
      <w:pStyle w:val="af9"/>
      <w:keepNext w:val="0"/>
      <w:pageBreakBefore w:val="0"/>
      <w:widowControl w:val="1"/>
      <w:suppressAutoHyphens w:val="1"/>
      <w:spacing w:before="0" w:after="0" w:line="240" w:lineRule="auto"/>
      <w:ind w:left="0" w:right="0" w:firstLine="0"/>
      <w:jc w:val="center"/>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suff w:val="tab"/>
      <w:lvlText w:val="%1."/>
      <w:lvlJc w:val="left"/>
      <w:pPr>
        <w:tabs>
          <w:tab w:val="num" w:pos="1276"/>
        </w:tabs>
        <w:ind w:left="1276" w:hanging="567"/>
      </w:pPr>
    </w:lvl>
  </w:abstractNum>
  <w:abstractNum w15:restartNumberingAfterBreak="0" w:abstractNumId="1">
    <w:nsid w:val="FFFFFF7D"/>
    <w:multiLevelType w:val="singleLevel"/>
    <w:tmpl w:val="E8E89582"/>
    <w:lvl w:ilvl="0">
      <w:start w:val="1"/>
      <w:numFmt w:val="decimal"/>
      <w:suff w:val="tab"/>
      <w:lvlText w:val="%1."/>
      <w:lvlJc w:val="left"/>
      <w:pPr>
        <w:tabs>
          <w:tab w:val="num" w:pos="1276"/>
        </w:tabs>
        <w:ind w:left="1276" w:hanging="567"/>
      </w:pPr>
    </w:lvl>
  </w:abstractNum>
  <w:abstractNum w15:restartNumberingAfterBreak="0" w:abstractNumId="2">
    <w:nsid w:val="FFFFFF7E"/>
    <w:multiLevelType w:val="singleLevel"/>
    <w:tmpl w:val="9D960980"/>
    <w:lvl w:ilvl="0">
      <w:start w:val="1"/>
      <w:numFmt w:val="decimal"/>
      <w:suff w:val="tab"/>
      <w:lvlText w:val="%1."/>
      <w:lvlJc w:val="left"/>
      <w:pPr>
        <w:tabs>
          <w:tab w:val="num" w:pos="1276"/>
        </w:tabs>
        <w:ind w:left="1276" w:hanging="567"/>
      </w:pPr>
    </w:lvl>
  </w:abstractNum>
  <w:abstractNum w15:restartNumberingAfterBreak="0" w:abstractNumId="3">
    <w:nsid w:val="FFFFFF7F"/>
    <w:multiLevelType w:val="singleLevel"/>
    <w:tmpl w:val="A20056A4"/>
    <w:lvl w:ilvl="0">
      <w:start w:val="1"/>
      <w:numFmt w:val="decimal"/>
      <w:pStyle w:val="2"/>
      <w:suff w:val="tab"/>
      <w:lvlText w:val="%1."/>
      <w:lvlJc w:val="left"/>
      <w:pPr>
        <w:tabs>
          <w:tab w:val="num" w:pos="1276"/>
        </w:tabs>
        <w:ind w:left="1276" w:hanging="567"/>
      </w:pPr>
    </w:lvl>
  </w:abstractNum>
  <w:abstractNum w15:restartNumberingAfterBreak="0" w:abstractNumId="4">
    <w:nsid w:val="FFFFFF80"/>
    <w:multiLevelType w:val="singleLevel"/>
    <w:tmpl w:val="B14E8326"/>
    <w:lvl w:ilvl="0">
      <w:start w:val="1"/>
      <w:numFmt w:val="bullet"/>
      <w:pStyle w:val="5"/>
      <w:suff w:val="tab"/>
      <w:lvlText w:val="–"/>
      <w:lvlJc w:val="left"/>
      <w:pPr>
        <w:tabs>
          <w:tab w:val="num" w:pos="1276"/>
        </w:tabs>
        <w:ind w:left="1276" w:hanging="567"/>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suff w:val="tab"/>
      <w:lvlText w:val="–"/>
      <w:lvlJc w:val="left"/>
      <w:pPr>
        <w:tabs>
          <w:tab w:val="num" w:pos="1276"/>
        </w:tabs>
        <w:ind w:left="1276" w:hanging="567"/>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suff w:val="tab"/>
      <w:lvlText w:val="–"/>
      <w:lvlJc w:val="left"/>
      <w:pPr>
        <w:tabs>
          <w:tab w:val="num" w:pos="1276"/>
        </w:tabs>
        <w:ind w:left="1276" w:hanging="567"/>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suff w:val="tab"/>
      <w:lvlText w:val="–"/>
      <w:lvlJc w:val="left"/>
      <w:pPr>
        <w:tabs>
          <w:tab w:val="num" w:pos="1276"/>
        </w:tabs>
        <w:ind w:left="1276" w:hanging="567"/>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suff w:val="tab"/>
      <w:lvlText w:val="%1."/>
      <w:lvlJc w:val="left"/>
      <w:pPr>
        <w:tabs>
          <w:tab w:val="num" w:pos="1276"/>
        </w:tabs>
        <w:ind w:left="1276" w:hanging="567"/>
      </w:pPr>
    </w:lvl>
  </w:abstractNum>
  <w:abstractNum w15:restartNumberingAfterBreak="0" w:abstractNumId="9">
    <w:nsid w:val="FFFFFF89"/>
    <w:multiLevelType w:val="singleLevel"/>
    <w:tmpl w:val="3D428A92"/>
    <w:lvl w:ilvl="0">
      <w:start w:val="1"/>
      <w:numFmt w:val="bullet"/>
      <w:pStyle w:val="a0"/>
      <w:suff w:val="tab"/>
      <w:lvlText w:val="–"/>
      <w:lvlJc w:val="left"/>
      <w:pPr>
        <w:tabs>
          <w:tab w:val="num" w:pos="1276"/>
        </w:tabs>
        <w:ind w:left="1276" w:hanging="567"/>
      </w:pPr>
      <w:rPr>
        <w:rFonts w:ascii="Times New Roman" w:hAnsi="Times New Roman" w:hint="default"/>
      </w:rPr>
    </w:lvl>
  </w:abstractNum>
  <w:abstractNum w15:restartNumberingAfterBreak="0" w:abstractNumId="10">
    <w:nsid w:val="0000A991"/>
    <w:multiLevelType w:val="multilevel"/>
    <w:tmpl w:val="133C2E4C"/>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15:restartNumberingAfterBreak="0" w:abstractNumId="11">
    <w:nsid w:val="00A99411"/>
    <w:multiLevelType w:val="multilevel"/>
    <w:tmpl w:val="75BE9886"/>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abstractNum w:abstractNumId="990">
    <w:nsid w:val="0000A990"/>
    <w:multiLevelType w:val="multilevel"/>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abstractNumId="99411">
    <w:nsid w:val="00A99411"/>
    <w:multiLevelType w:val="multilevel"/>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val="false"/>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b w:val="0"/>
        <w:bCs w:val="0"/>
        <w:i w:val="0"/>
        <w:iCs w:val="0"/>
        <w:color w:val="000000"/>
        <w:sz w:val="28"/>
        <w:szCs w:val="28"/>
        <w:lang w:bidi="ar-SA" w:eastAsia="en-US" w:val="ru"/>
      </w:rPr>
    </w:rPrDefault>
    <w:pPrDefault>
      <w:pPr>
        <w:keepNext w:val="0"/>
        <w:pageBreakBefore w:val="0"/>
        <w:widowControl w:val="1"/>
        <w:suppressAutoHyphens w:val="1"/>
        <w:spacing w:before="0" w:after="0" w:line="360" w:lineRule="auto"/>
        <w:ind w:left="0" w:right="0" w:firstLine="709"/>
        <w:jc w:val="both"/>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1" w:type="paragraph">
    <w:name w:val="heading 1"/>
    <w:basedOn w:val="a1"/>
    <w:next w:val="a2"/>
    <w:uiPriority w:val="9"/>
    <w:qFormat/>
    <w:rsid w:val="008E0AF4"/>
    <w:pPr>
      <w:keepNext w:val="1"/>
      <w:keepLines w:val="1"/>
      <w:pageBreakBefore w:val="1"/>
      <w:widowControl w:val="1"/>
      <w:suppressAutoHyphens w:val="1"/>
      <w:spacing w:before="0" w:after="240" w:line="360" w:lineRule="auto"/>
      <w:ind w:left="0" w:right="0" w:firstLine="709"/>
      <w:jc w:val="both"/>
      <w:outlineLvl w:val="0"/>
    </w:pPr>
    <w:rPr>
      <w:rFonts w:ascii="Times New Roman" w:hAnsi="Times New Roman" w:cs="Times New Roman" w:eastAsia="Times New Roman"/>
      <w:b w:val="1"/>
      <w:bCs w:val="1"/>
      <w:i w:val="0"/>
      <w:iCs w:val="0"/>
      <w:caps w:val="1"/>
      <w:color w:val="000000"/>
      <w:sz w:val="36"/>
      <w:szCs w:val="36"/>
    </w:rPr>
  </w:style>
  <w:style w:styleId="21" w:type="paragraph">
    <w:name w:val="heading 2"/>
    <w:basedOn w:val="a1"/>
    <w:next w:val="a2"/>
    <w:uiPriority w:val="9"/>
    <w:unhideWhenUsed/>
    <w:qFormat/>
    <w:rsid w:val="00965F46"/>
    <w:pPr>
      <w:keepNext w:val="1"/>
      <w:keepLines w:val="1"/>
      <w:pageBreakBefore w:val="0"/>
      <w:widowControl w:val="1"/>
      <w:suppressAutoHyphens w:val="1"/>
      <w:spacing w:before="480" w:after="240" w:line="360" w:lineRule="auto"/>
      <w:ind w:left="0" w:right="0" w:firstLine="709"/>
      <w:jc w:val="both"/>
      <w:outlineLvl w:val="1"/>
    </w:pPr>
    <w:rPr>
      <w:rFonts w:ascii="Times New Roman" w:hAnsi="Times New Roman" w:cs="Times New Roman" w:eastAsia="Times New Roman"/>
      <w:b w:val="1"/>
      <w:bCs w:val="1"/>
      <w:i w:val="0"/>
      <w:iCs w:val="0"/>
      <w:color w:val="000000"/>
      <w:sz w:val="32"/>
      <w:szCs w:val="32"/>
    </w:rPr>
  </w:style>
  <w:style w:styleId="30" w:type="paragraph">
    <w:name w:val="heading 3"/>
    <w:basedOn w:val="a1"/>
    <w:next w:val="a2"/>
    <w:uiPriority w:val="9"/>
    <w:unhideWhenUsed/>
    <w:qFormat/>
    <w:rsid w:val="008E0AF4"/>
    <w:pPr>
      <w:keepNext w:val="1"/>
      <w:keepLines w:val="1"/>
      <w:pageBreakBefore w:val="0"/>
      <w:widowControl w:val="1"/>
      <w:suppressAutoHyphens w:val="1"/>
      <w:spacing w:before="480" w:after="240" w:line="360" w:lineRule="auto"/>
      <w:ind w:left="0" w:right="0" w:firstLine="709"/>
      <w:jc w:val="both"/>
      <w:outlineLvl w:val="2"/>
    </w:pPr>
    <w:rPr>
      <w:rFonts w:ascii="Times New Roman" w:hAnsi="Times New Roman" w:cs="Times New Roman" w:eastAsia="Times New Roman"/>
      <w:b w:val="1"/>
      <w:bCs w:val="1"/>
      <w:i w:val="0"/>
      <w:iCs w:val="0"/>
      <w:color w:val="000000"/>
      <w:sz w:val="28"/>
      <w:szCs w:val="28"/>
    </w:rPr>
  </w:style>
  <w:style w:styleId="40" w:type="paragraph">
    <w:name w:val="heading 4"/>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3"/>
    </w:pPr>
    <w:rPr>
      <w:rFonts w:ascii="Times New Roman" w:hAnsi="Times New Roman" w:cs="Times New Roman" w:eastAsia="Times New Roman"/>
      <w:b w:val="1"/>
      <w:bCs w:val="1"/>
      <w:i w:val="0"/>
      <w:iCs w:val="0"/>
      <w:color w:val="000000"/>
      <w:sz w:val="28"/>
      <w:szCs w:val="28"/>
    </w:rPr>
  </w:style>
  <w:style w:styleId="50" w:type="paragraph">
    <w:name w:val="heading 5"/>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4"/>
    </w:pPr>
    <w:rPr>
      <w:rFonts w:ascii="Times New Roman" w:hAnsi="Times New Roman" w:cs="Times New Roman" w:eastAsia="Times New Roman"/>
      <w:b w:val="1"/>
      <w:bCs w:val="1"/>
      <w:i w:val="0"/>
      <w:iCs w:val="0"/>
      <w:color w:val="000000"/>
      <w:sz w:val="28"/>
      <w:szCs w:val="28"/>
    </w:rPr>
  </w:style>
  <w:style w:styleId="6" w:type="paragraph">
    <w:name w:val="heading 6"/>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5"/>
    </w:pPr>
    <w:rPr>
      <w:rFonts w:ascii="Times New Roman" w:hAnsi="Times New Roman" w:cs="Times New Roman" w:eastAsia="Times New Roman"/>
      <w:b w:val="1"/>
      <w:bCs w:val="1"/>
      <w:i w:val="0"/>
      <w:iCs w:val="0"/>
      <w:color w:val="000000"/>
      <w:sz w:val="28"/>
      <w:szCs w:val="28"/>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633A2D"/>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FirstParagraph" w:type="paragraph">
    <w:name w:val="First Paragraph"/>
    <w:basedOn w:val="a2"/>
    <w:next w:val="a2"/>
    <w:qFormat/>
    <w:rsid w:val="000E6990"/>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Compact" w:type="paragraph">
    <w:name w:val="Compact"/>
    <w:basedOn w:val="a2"/>
    <w:qFormat/>
    <w:rsid w:val="009969EB"/>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name w:val="Bibliography"/>
    <w:basedOn w:val="a2"/>
    <w:qFormat/>
    <w:rsid w:val="00E87A4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keepNext w:val="1"/>
      <w:keepLines w:val="1"/>
      <w:pageBreakBefore w:val="0"/>
      <w:widowControl w:val="1"/>
      <w:suppressAutoHyphens w:val="1"/>
      <w:spacing w:before="120" w:after="0" w:line="240" w:lineRule="auto"/>
      <w:ind w:left="0" w:right="0" w:firstLine="0"/>
      <w:jc w:val="both"/>
    </w:pPr>
    <w:rPr>
      <w:rFonts w:ascii="Times New Roman" w:hAnsi="Times New Roman" w:cs="Times New Roman" w:eastAsia="Times New Roman"/>
      <w:b w:val="0"/>
      <w:bCs w:val="0"/>
      <w:i w:val="1"/>
      <w:iCs w:val="1"/>
      <w:color w:val="000000"/>
      <w:sz w:val="24"/>
      <w:szCs w:val="24"/>
    </w:rPr>
  </w:style>
  <w:style w:customStyle="1" w:styleId="ImageCaption" w:type="paragraph">
    <w:name w:val="Image Caption"/>
    <w:basedOn w:val="af1"/>
    <w:rsid w:val="00CC64F9"/>
    <w:pPr>
      <w:keepNext w:val="0"/>
      <w:pageBreakBefore w:val="0"/>
      <w:widowControl w:val="1"/>
      <w:suppressAutoHyphens w:val="1"/>
      <w:spacing w:before="0" w:after="120" w:line="240" w:lineRule="auto"/>
      <w:ind w:left="0" w:right="0" w:firstLine="0"/>
      <w:jc w:val="center"/>
    </w:pPr>
    <w:rPr>
      <w:rFonts w:ascii="Times New Roman" w:hAnsi="Times New Roman" w:cs="Times New Roman" w:eastAsia="Times New Roman"/>
      <w:b w:val="1"/>
      <w:bCs w:val="1"/>
      <w:i w:val="0"/>
      <w:iCs w:val="0"/>
      <w:color w:val="000000"/>
      <w:sz w:val="24"/>
      <w:szCs w:val="24"/>
    </w:rPr>
  </w:style>
  <w:style w:customStyle="1" w:styleId="Figure" w:type="paragraph">
    <w:name w:val="Figure"/>
    <w:basedOn w:val="a1"/>
    <w:rsid w:val="00320C66"/>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CaptionedFigure" w:type="paragraph">
    <w:name w:val="Captioned Figure"/>
    <w:basedOn w:val="Figure"/>
    <w:rsid w:val="005D1A72"/>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eastAsia="Courier New"/>
      <w:b w:val="0"/>
      <w:bCs w:val="0"/>
      <w:i w:val="0"/>
      <w:iCs w:val="0"/>
      <w:color w:val="000000"/>
      <w:sz w:val="20"/>
      <w:szCs w:val="2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val="000000"/>
      <w:u w:val="none"/>
    </w:rPr>
  </w:style>
  <w:style w:styleId="af5" w:type="paragraph">
    <w:name w:val="TOC Heading"/>
    <w:basedOn w:val="1"/>
    <w:next w:val="a2"/>
    <w:uiPriority w:val="39"/>
    <w:unhideWhenUsed/>
    <w:qFormat/>
    <w:rsid w:val="00136237"/>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customStyle="1" w:styleId="SourceCode" w:type="paragraph">
    <w:name w:val="Source Code"/>
    <w:basedOn w:val="a1"/>
    <w:link w:val="VerbatimChar"/>
    <w:rsid w:val="00690B7F"/>
    <w:pPr>
      <w:keepNext w:val="0"/>
      <w:pageBreakBefore w:val="0"/>
      <w:widowControl w:val="1"/>
      <w:suppressAutoHyphens w:val="1"/>
      <w:wordWrap w:val="0"/>
      <w:spacing w:before="0" w:after="0" w:line="240" w:lineRule="auto"/>
      <w:ind w:left="0" w:right="0" w:firstLine="0"/>
      <w:jc w:val="left"/>
    </w:pPr>
    <w:rPr>
      <w:rFonts w:ascii="Courier New" w:hAnsi="Courier New" w:cs="Courier New" w:eastAsia="Courier New"/>
      <w:b w:val="0"/>
      <w:bCs w:val="0"/>
      <w:i w:val="0"/>
      <w:iCs w:val="0"/>
      <w:color w:val="000000"/>
      <w:sz w:val="20"/>
      <w:szCs w:val="2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eastAsia="Courier New"/>
      <w:b w:val="0"/>
      <w:bCs w:val="0"/>
      <w:i w:val="0"/>
      <w:iCs w:val="0"/>
      <w:color w:val="000000"/>
      <w:sz w:val="20"/>
      <w:szCs w:val="2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name w:val="toc 1"/>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center"/>
    </w:pPr>
    <w:rPr>
      <w:rFonts w:ascii="Times New Roman" w:hAnsi="Times New Roman" w:cs="Times New Roman" w:eastAsia="Times New Roman"/>
      <w:b w:val="0"/>
      <w:bCs w:val="0"/>
      <w:i w:val="0"/>
      <w:iCs w:val="0"/>
      <w:color w:val="000000"/>
      <w:sz w:val="28"/>
      <w:szCs w:val="28"/>
    </w:rPr>
  </w:style>
  <w:style w:styleId="22" w:type="paragraph">
    <w:name w:val="toc 2"/>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keepNext w:val="0"/>
      <w:pageBreakBefore w:val="0"/>
      <w:widowControl w:val="1"/>
      <w:tabs>
        <w:tab w:pos="4677" w:val="center"/>
        <w:tab w:pos="9355" w:val="right"/>
      </w:tabs>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4"/>
      <w:szCs w:val="24"/>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name w:val="toc 3"/>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name w:val="List Paragraph"/>
    <w:basedOn w:val="a1"/>
    <w:rsid w:val="00CC2175"/>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name w:val="Structural Heading"/>
    <w:basedOn w:val="a1"/>
    <w:pPr>
      <w:keepNext w:val="1"/>
      <w:keepLines w:val="1"/>
      <w:pageBreakBefore w:val="1"/>
      <w:widowControl w:val="1"/>
      <w:suppressAutoHyphens w:val="1"/>
      <w:spacing w:before="0" w:after="240" w:line="360" w:lineRule="auto"/>
      <w:ind w:left="0" w:right="0" w:firstLine="0"/>
      <w:jc w:val="center"/>
      <w:outlineLvl w:val="0"/>
    </w:pPr>
    <w:rPr>
      <w:rFonts w:ascii="Times New Roman" w:hAnsi="Times New Roman" w:cs="Times New Roman" w:eastAsia="Times New Roman"/>
      <w:b w:val="1"/>
      <w:bCs w:val="1"/>
      <w:i w:val="0"/>
      <w:iCs w:val="0"/>
      <w:caps w:val="1"/>
      <w:color w:val="000000"/>
      <w:sz w:val="36"/>
      <w:szCs w:val="36"/>
    </w:rPr>
  </w:style>
  <w:style w:styleId="GOSTAnnotationHeading" w:type="paragraph">
    <w:name w:val="Annotation Heading"/>
    <w:basedOn w:val="a1"/>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styleId="GOSTAppendixHeading" w:type="paragraph">
    <w:name w:val="Appendix Heading"/>
    <w:basedOn w:val="a1"/>
    <w:pPr>
      <w:keepNext w:val="1"/>
      <w:keepLines w:val="1"/>
      <w:pageBreakBefore w:val="1"/>
      <w:widowControl w:val="1"/>
      <w:suppressAutoHyphens w:val="1"/>
      <w:spacing w:before="0" w:after="0" w:line="360" w:lineRule="auto"/>
      <w:ind w:left="0" w:right="0" w:firstLine="0"/>
      <w:jc w:val="center"/>
      <w:outlineLvl w:val="0"/>
    </w:pPr>
    <w:rPr>
      <w:rFonts w:ascii="Times New Roman" w:hAnsi="Times New Roman" w:cs="Times New Roman" w:eastAsia="Times New Roman"/>
      <w:b w:val="1"/>
      <w:bCs w:val="1"/>
      <w:i w:val="0"/>
      <w:iCs w:val="0"/>
      <w:color w:val="000000"/>
      <w:sz w:val="28"/>
      <w:szCs w:val="28"/>
    </w:rPr>
  </w:style>
  <w:style w:styleId="GOSTAppendixTitle" w:type="paragraph">
    <w:name w:val="Appendix Title"/>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0"/>
      <w:bCs w:val="0"/>
      <w:i w:val="0"/>
      <w:iCs w:val="0"/>
      <w:color w:val="000000"/>
      <w:sz w:val="28"/>
      <w:szCs w:val="28"/>
    </w:rPr>
  </w:style>
  <w:style w:styleId="GOSTListingCaption" w:type="paragraph">
    <w:name w:val="Listing Caption"/>
    <w:basedOn w:val="a1"/>
    <w:pPr>
      <w:keepNext w:val="1"/>
      <w:keepLines w:val="1"/>
      <w:pageBreakBefore w:val="0"/>
      <w:widowControl w:val="1"/>
      <w:suppressAutoHyphens w:val="1"/>
      <w:spacing w:before="120" w:after="0" w:line="240" w:lineRule="auto"/>
      <w:ind w:left="0" w:right="0" w:firstLine="0"/>
      <w:jc w:val="left"/>
    </w:pPr>
    <w:rPr>
      <w:rFonts w:ascii="Times New Roman" w:hAnsi="Times New Roman" w:cs="Times New Roman" w:eastAsia="Times New Roman"/>
      <w:b w:val="0"/>
      <w:bCs w:val="0"/>
      <w:i w:val="1"/>
      <w:iCs w:val="1"/>
      <w:color w:val="000000"/>
      <w:sz w:val="24"/>
      <w:szCs w:val="24"/>
    </w:rPr>
  </w:style>
  <w:style w:styleId="Where" w:type="paragraph">
    <w:name w:val="Where"/>
    <w:basedOn w:val="a1"/>
    <w:pPr>
      <w:keepNext w:val="0"/>
      <w:pageBreakBefore w:val="0"/>
      <w:widowControl w:val="1"/>
      <w:tabs>
        <w:tab w:pos="709" w:val="left"/>
      </w:tabs>
      <w:suppressAutoHyphens w:val="1"/>
      <w:spacing w:before="0" w:after="0" w:line="360" w:lineRule="auto"/>
      <w:ind w:left="0" w:right="0" w:firstLine="0"/>
      <w:jc w:val="both"/>
    </w:pPr>
    <w:rPr>
      <w:rFonts w:ascii="Times New Roman" w:hAnsi="Times New Roman" w:cs="Times New Roman" w:eastAsia="Times New Roman"/>
      <w:b w:val="0"/>
      <w:bCs w:val="0"/>
      <w:i w:val="0"/>
      <w:iCs w:val="0"/>
      <w:color w:val="000000"/>
      <w:sz w:val="28"/>
      <w:szCs w:val="28"/>
    </w:rPr>
  </w:style>
  <w:style w:styleId="GOSTAppendixSection" w:type="paragraph">
    <w:name w:val="Appendix Section"/>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1"/>
      <w:bCs w:val="1"/>
      <w:i w:val="0"/>
      <w:iCs w:val="0"/>
      <w:color w:val="000000"/>
      <w:sz w:val="28"/>
      <w:szCs w:val="28"/>
    </w:rPr>
  </w:style>
  <w:style w:styleId="GOSTBibliographyHeading" w:type="paragraph">
    <w:name w:val="Bibliography Heading"/>
    <w:basedOn w:val="a1"/>
    <w:pPr>
      <w:keepNext w:val="1"/>
      <w:keepLines w:val="1"/>
      <w:pageBreakBefore w:val="0"/>
      <w:widowControl w:val="1"/>
      <w:suppressAutoHyphens w:val="1"/>
      <w:spacing w:before="120" w:after="120" w:line="360" w:lineRule="auto"/>
      <w:ind w:left="709" w:right="0" w:firstLine="0"/>
      <w:jc w:val="center"/>
    </w:pPr>
    <w:rPr>
      <w:rFonts w:ascii="Times New Roman" w:hAnsi="Times New Roman" w:cs="Times New Roman" w:eastAsia="Times New Roman"/>
      <w:b w:val="0"/>
      <w:bCs w:val="0"/>
      <w:i w:val="0"/>
      <w:iCs w:val="0"/>
      <w:caps w:val="1"/>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161" Target="media/rId161.png" /><Relationship Type="http://schemas.openxmlformats.org/officeDocument/2006/relationships/image" Id="rId57" Target="media/rId57.png" /><Relationship Type="http://schemas.openxmlformats.org/officeDocument/2006/relationships/image" Id="rId156" Target="media/rId156.png" /><Relationship Type="http://schemas.openxmlformats.org/officeDocument/2006/relationships/image" Id="rId65" Target="media/rId65.png" /><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6"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3"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4"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5"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0"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52"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49"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1" Target="https://scikit-learn.org/stable/common_pitfalls.html" TargetMode="External" /><Relationship Type="http://schemas.openxmlformats.org/officeDocument/2006/relationships/hyperlink" Id="rId142" Target="https://scikit-learn.org/stable/modules/generated/sklearn.model_selection.TimeSeriesSplit.html" TargetMode="External" /><Relationship Type="http://schemas.openxmlformats.org/officeDocument/2006/relationships/hyperlink" Id="rId148" Target="https://www.omg.org/spec/BPMN/2.0.2/" TargetMode="External" /><Relationship Type="http://schemas.openxmlformats.org/officeDocument/2006/relationships/hyperlink" Id="rId147"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1"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40" Target="https://arxiv.org/abs/2207.08815" TargetMode="External" /><Relationship Type="http://schemas.openxmlformats.org/officeDocument/2006/relationships/hyperlink" Id="rId117" Target="https://arxiv.org/abs/2305.14818" TargetMode="External" /><Relationship Type="http://schemas.openxmlformats.org/officeDocument/2006/relationships/hyperlink" Id="rId119" Target="https://aws.amazon.com/s3/pricing/" TargetMode="External" /><Relationship Type="http://schemas.openxmlformats.org/officeDocument/2006/relationships/hyperlink" Id="rId121" Target="https://cachelib.org/docs/Cache_Library_User_Guides/Cachebench_FB_HW_eval/" TargetMode="External" /><Relationship Type="http://schemas.openxmlformats.org/officeDocument/2006/relationships/hyperlink" Id="rId115" Target="https://docs.aws.amazon.com/AmazonS3/latest/API/API_GetObject.html" TargetMode="External" /><Relationship Type="http://schemas.openxmlformats.org/officeDocument/2006/relationships/hyperlink" Id="rId116" Target="https://docs.aws.amazon.com/AmazonS3/latest/userguide/LogFormat.html" TargetMode="External" /><Relationship Type="http://schemas.openxmlformats.org/officeDocument/2006/relationships/hyperlink" Id="rId134" Target="https://docs.aws.amazon.com/AmazonS3/latest/userguide/ServerLogs.html" TargetMode="External" /><Relationship Type="http://schemas.openxmlformats.org/officeDocument/2006/relationships/hyperlink" Id="rId108" Target="https://docs.aws.amazon.com/AmazonS3/latest/userguide/Versioning.html" TargetMode="External" /><Relationship Type="http://schemas.openxmlformats.org/officeDocument/2006/relationships/hyperlink" Id="rId120" Target="https://docs.aws.amazon.com/AmazonS3/latest/userguide/Welcome.html" TargetMode="External" /><Relationship Type="http://schemas.openxmlformats.org/officeDocument/2006/relationships/hyperlink" Id="rId146" Target="https://docs.aws.amazon.com/AmazonS3/latest/userguide/checking-object-integrity-upload.html" TargetMode="External" /><Relationship Type="http://schemas.openxmlformats.org/officeDocument/2006/relationships/hyperlink" Id="rId104" Target="https://docs.aws.amazon.com/AmazonS3/latest/userguide/intelligent-tiering-overview.html" TargetMode="External" /><Relationship Type="http://schemas.openxmlformats.org/officeDocument/2006/relationships/hyperlink" Id="rId110" Target="https://docs.aws.amazon.com/AmazonS3/latest/userguide/lifecycle-transition-general-considerations.html" TargetMode="External" /><Relationship Type="http://schemas.openxmlformats.org/officeDocument/2006/relationships/hyperlink" Id="rId107" Target="https://docs.aws.amazon.com/AmazonS3/latest/userguide/object-keys.html" TargetMode="External" /><Relationship Type="http://schemas.openxmlformats.org/officeDocument/2006/relationships/hyperlink" Id="rId103" Target="https://docs.aws.amazon.com/AmazonS3/latest/userguide/object-lifecycle-mgmt.html" TargetMode="External" /><Relationship Type="http://schemas.openxmlformats.org/officeDocument/2006/relationships/hyperlink" Id="rId102" Target="https://docs.aws.amazon.com/AmazonS3/latest/userguide/storage-class-intro.html" TargetMode="External" /><Relationship Type="http://schemas.openxmlformats.org/officeDocument/2006/relationships/hyperlink" Id="rId112" Target="https://docs.ceph.com/en/squid/rados/operations/crush-map-edits/" TargetMode="External" /><Relationship Type="http://schemas.openxmlformats.org/officeDocument/2006/relationships/hyperlink" Id="rId133" Target="https://docs.ceph.com/en/squid/radosgw/layout/" TargetMode="External" /><Relationship Type="http://schemas.openxmlformats.org/officeDocument/2006/relationships/hyperlink" Id="rId111" Target="https://docs.ceph.com/en/squid/radosgw/placement/" TargetMode="External" /><Relationship Type="http://schemas.openxmlformats.org/officeDocument/2006/relationships/hyperlink" Id="rId113" Target="https://docs.min.io/aistor/administration/object-lifecycle-management/" TargetMode="External" /><Relationship Type="http://schemas.openxmlformats.org/officeDocument/2006/relationships/hyperlink" Id="rId114" Target="https://docs.min.io/aistor/administration/object-lifecycle-management/object-tiering/" TargetMode="External" /><Relationship Type="http://schemas.openxmlformats.org/officeDocument/2006/relationships/hyperlink" Id="rId135" Target="https://doi.org/10.1007/978-3-540-24777-7" TargetMode="External" /><Relationship Type="http://schemas.openxmlformats.org/officeDocument/2006/relationships/hyperlink" Id="rId136" Target="https://doi.org/10.1016/0304-4076(86)90002-3" TargetMode="External" /><Relationship Type="http://schemas.openxmlformats.org/officeDocument/2006/relationships/hyperlink" Id="rId105" Target="https://doi.org/10.1016/j.comcom.2026.108437" TargetMode="External" /><Relationship Type="http://schemas.openxmlformats.org/officeDocument/2006/relationships/hyperlink" Id="rId132" Target="https://doi.org/10.1109/FiCloud66139.2025.00024" TargetMode="External" /><Relationship Type="http://schemas.openxmlformats.org/officeDocument/2006/relationships/hyperlink" Id="rId143" Target="https://doi.org/10.1145/1143844.1143874" TargetMode="External" /><Relationship Type="http://schemas.openxmlformats.org/officeDocument/2006/relationships/hyperlink" Id="rId101" Target="https://doi.org/10.1145/3803857" TargetMode="External" /><Relationship Type="http://schemas.openxmlformats.org/officeDocument/2006/relationships/hyperlink" Id="rId144" Target="https://doi.org/10.1175/1520-0493(1950)078%3C0001:VOFEIT%3E2.0.CO;2" TargetMode="External" /><Relationship Type="http://schemas.openxmlformats.org/officeDocument/2006/relationships/hyperlink" Id="rId137" Target="https://doi.org/10.1214/aos/1013203451" TargetMode="External" /><Relationship Type="http://schemas.openxmlformats.org/officeDocument/2006/relationships/hyperlink" Id="rId145" Target="https://doi.org/10.1287/opre.5.2.266" TargetMode="External" /><Relationship Type="http://schemas.openxmlformats.org/officeDocument/2006/relationships/hyperlink" Id="rId130" Target="https://doi.org/10.14778/3357377.3357381" TargetMode="External" /><Relationship Type="http://schemas.openxmlformats.org/officeDocument/2006/relationships/hyperlink" Id="rId106" Target="https://doi.org/10.17586/2226-1494-2023-23-6-1171-1177" TargetMode="External" /><Relationship Type="http://schemas.openxmlformats.org/officeDocument/2006/relationships/hyperlink" Id="rId139" Target="https://doi.org/10.2307/2344614" TargetMode="External" /><Relationship Type="http://schemas.openxmlformats.org/officeDocument/2006/relationships/hyperlink" Id="rId109" Target="https://github.com/alesplll/opens3-rebac/tree/ac858c748b5d3af96f0440864f4b299e7b617d76" TargetMode="External" /><Relationship Type="http://schemas.openxmlformats.org/officeDocument/2006/relationships/hyperlink" Id="rId123" Target="https://github.com/cacheMon/cache_dataset" TargetMode="External" /><Relationship Type="http://schemas.openxmlformats.org/officeDocument/2006/relationships/hyperlink" Id="rId150" Target="https://github.com/dmitryikh/leaves" TargetMode="External" /><Relationship Type="http://schemas.openxmlformats.org/officeDocument/2006/relationships/hyperlink" Id="rId128" Target="https://github.com/ds2-lab/IBM-docker-registry-traces" TargetMode="External" /><Relationship Type="http://schemas.openxmlformats.org/officeDocument/2006/relationships/hyperlink" Id="rId122" Target="https://github.com/facebook/CacheLib/blob/0f7e808335599ca5d0e935d35aad75db8dc63f16/cachelib/cachebench/util/Request.h" TargetMode="External" /><Relationship Type="http://schemas.openxmlformats.org/officeDocument/2006/relationships/hyperlink" Id="rId153" Target="https://github.com/yalue/onnxruntime_go" TargetMode="External" /><Relationship Type="http://schemas.openxmlformats.org/officeDocument/2006/relationships/hyperlink" Id="rId126" Target="https://iotta.snia.org/tracetypes/17" TargetMode="External" /><Relationship Type="http://schemas.openxmlformats.org/officeDocument/2006/relationships/hyperlink" Id="rId152" Target="https://kafka.apache.org/documentation/#semantics" TargetMode="External" /><Relationship Type="http://schemas.openxmlformats.org/officeDocument/2006/relationships/hyperlink" Id="rId138" Target="https://lightgbm.readthedocs.io/en/latest/Parameters.html" TargetMode="External" /><Relationship Type="http://schemas.openxmlformats.org/officeDocument/2006/relationships/hyperlink" Id="rId149" Target="https://papers.nips.cc/paper/6907-lightgbm-a-highly-efficient-gradient-boosting-decision-tree" TargetMode="External" /><Relationship Type="http://schemas.openxmlformats.org/officeDocument/2006/relationships/hyperlink" Id="rId124" Target="https://s3.amazonaws.com/cache-datasets/index.html" TargetMode="External" /><Relationship Type="http://schemas.openxmlformats.org/officeDocument/2006/relationships/hyperlink" Id="rId141" Target="https://scikit-learn.org/stable/common_pitfalls.html" TargetMode="External" /><Relationship Type="http://schemas.openxmlformats.org/officeDocument/2006/relationships/hyperlink" Id="rId142" Target="https://scikit-learn.org/stable/modules/generated/sklearn.model_selection.TimeSeriesSplit.html" TargetMode="External" /><Relationship Type="http://schemas.openxmlformats.org/officeDocument/2006/relationships/hyperlink" Id="rId148" Target="https://www.omg.org/spec/BPMN/2.0.2/" TargetMode="External" /><Relationship Type="http://schemas.openxmlformats.org/officeDocument/2006/relationships/hyperlink" Id="rId147" Target="https://www.omg.org/spec/UML/2.5.1/" TargetMode="External" /><Relationship Type="http://schemas.openxmlformats.org/officeDocument/2006/relationships/hyperlink" Id="rId129" Target="https://www.pdl.cmu.edu/CILES/" TargetMode="External" /><Relationship Type="http://schemas.openxmlformats.org/officeDocument/2006/relationships/hyperlink" Id="rId151" Target="https://www.postgresql.org/docs/16/mvcc.html" TargetMode="External" /><Relationship Type="http://schemas.openxmlformats.org/officeDocument/2006/relationships/hyperlink" Id="rId125" Target="https://www.snia.org/sites/default/files/SDCEMEA/2021/snia-evaluating-cache-performance-using-cloud-storage-traces.pdf" TargetMode="External" /><Relationship Type="http://schemas.openxmlformats.org/officeDocument/2006/relationships/hyperlink" Id="rId127" Target="https://www.usenix.org/conference/fast18/presentation/anwar" TargetMode="External" /><Relationship Type="http://schemas.openxmlformats.org/officeDocument/2006/relationships/hyperlink" Id="rId118" Target="https://www.usenix.org/conference/fast24/presentation/wong" TargetMode="External" /><Relationship Type="http://schemas.openxmlformats.org/officeDocument/2006/relationships/hyperlink" Id="rId13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2026-10-25T14:45:10Z</dcterms:created>
  <dcterms:modified xsi:type="dcterms:W3CDTF">2026-10-25T14:45:10Z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