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7.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2">
            <w:r>
              <w:t>ВВЕДЕНИЕ</w:t>
            </w:r>
          </w:hyperlink>
          <w:r>
            <w:tab/>
          </w:r>
          <w:fldSimple w:instr="PAGEREF &quot;GOSTHeading212&quot; \h" w:dirty="true">
            <w:r>
              <w:t>—</w:t>
            </w:r>
          </w:fldSimple>
        </w:p>
        <w:p>
          <w:pPr>
            <w:pStyle w:val="10"/>
          </w:pPr>
          <w:hyperlink w:anchor="GOSTHeading213">
            <w:r>
              <w:t>ЛИТЕРАТУРНЫЙ ОБЗОР</w:t>
            </w:r>
          </w:hyperlink>
          <w:r>
            <w:tab/>
          </w:r>
          <w:fldSimple w:instr="PAGEREF &quot;GOSTHeading213&quot; \h" w:dirty="true">
            <w:r>
              <w:t>—</w:t>
            </w:r>
          </w:fldSimple>
        </w:p>
        <w:p>
          <w:pPr>
            <w:pStyle w:val="10"/>
          </w:pPr>
          <w:hyperlink w:anchor="GOSTHeading214">
            <w:r>
              <w:t>1 ИССЛЕДОВАТЕЛЬСКИЙ РАЗДЕЛ</w:t>
            </w:r>
          </w:hyperlink>
          <w:r>
            <w:tab/>
          </w:r>
          <w:fldSimple w:instr="PAGEREF &quot;GOSTHeading214&quot; \h" w:dirty="true">
            <w:r>
              <w:t>—</w:t>
            </w:r>
          </w:fldSimple>
        </w:p>
        <w:p>
          <w:pPr>
            <w:pStyle w:val="22"/>
          </w:pPr>
          <w:hyperlink w:anchor="GOSTHeading215">
            <w:r>
              <w:t>1.1 Анализ предметной области</w:t>
            </w:r>
          </w:hyperlink>
          <w:r>
            <w:tab/>
          </w:r>
          <w:fldSimple w:instr="PAGEREF &quot;GOSTHeading215&quot; \h" w:dirty="true">
            <w:r>
              <w:t>—</w:t>
            </w:r>
          </w:fldSimple>
        </w:p>
        <w:p>
          <w:pPr>
            <w:pStyle w:val="31"/>
          </w:pPr>
          <w:hyperlink w:anchor="GOSTHeading216">
            <w:r>
              <w:t>1.1.1 Предметная область и участники процесса</w:t>
            </w:r>
          </w:hyperlink>
          <w:r>
            <w:tab/>
          </w:r>
          <w:fldSimple w:instr="PAGEREF &quot;GOSTHeading216&quot; \h" w:dirty="true">
            <w:r>
              <w:t>—</w:t>
            </w:r>
          </w:fldSimple>
        </w:p>
        <w:p>
          <w:pPr>
            <w:pStyle w:val="31"/>
          </w:pPr>
          <w:hyperlink w:anchor="GOSTHeading217">
            <w:r>
              <w:t>1.1.2 Объектная модель и единица размещения</w:t>
            </w:r>
          </w:hyperlink>
          <w:r>
            <w:tab/>
          </w:r>
          <w:fldSimple w:instr="PAGEREF &quot;GOSTHeading217&quot; \h" w:dirty="true">
            <w:r>
              <w:t>—</w:t>
            </w:r>
          </w:fldSimple>
        </w:p>
        <w:p>
          <w:pPr>
            <w:pStyle w:val="31"/>
          </w:pPr>
          <w:hyperlink w:anchor="GOSTHeading218">
            <w:r>
              <w:t>1.1.3 Классы хранения и характеристики ресурсов</w:t>
            </w:r>
          </w:hyperlink>
          <w:r>
            <w:tab/>
          </w:r>
          <w:fldSimple w:instr="PAGEREF &quot;GOSTHeading218&quot; \h" w:dirty="true">
            <w:r>
              <w:t>—</w:t>
            </w:r>
          </w:fldSimple>
        </w:p>
        <w:p>
          <w:pPr>
            <w:pStyle w:val="31"/>
          </w:pPr>
          <w:hyperlink w:anchor="GOSTHeading219">
            <w:r>
              <w:t>1.1.4 Востребованность и история обращений</w:t>
            </w:r>
          </w:hyperlink>
          <w:r>
            <w:tab/>
          </w:r>
          <w:fldSimple w:instr="PAGEREF &quot;GOSTHeading219&quot; \h" w:dirty="true">
            <w:r>
              <w:t>—</w:t>
            </w:r>
          </w:fldSimple>
        </w:p>
        <w:p>
          <w:pPr>
            <w:pStyle w:val="31"/>
          </w:pPr>
          <w:hyperlink w:anchor="GOSTHeading220">
            <w:r>
              <w:t>1.1.5 Способы управления размещением</w:t>
            </w:r>
          </w:hyperlink>
          <w:r>
            <w:tab/>
          </w:r>
          <w:fldSimple w:instr="PAGEREF &quot;GOSTHeading220&quot; \h" w:dirty="true">
            <w:r>
              <w:t>—</w:t>
            </w:r>
          </w:fldSimple>
        </w:p>
        <w:p>
          <w:pPr>
            <w:pStyle w:val="31"/>
          </w:pPr>
          <w:hyperlink w:anchor="GOSTHeading221">
            <w:r>
              <w:t>1.1.6 Ресурсные ограничения и затраты</w:t>
            </w:r>
          </w:hyperlink>
          <w:r>
            <w:tab/>
          </w:r>
          <w:fldSimple w:instr="PAGEREF &quot;GOSTHeading221&quot; \h" w:dirty="true">
            <w:r>
              <w:t>—</w:t>
            </w:r>
          </w:fldSimple>
        </w:p>
        <w:p>
          <w:pPr>
            <w:pStyle w:val="31"/>
          </w:pPr>
          <w:hyperlink w:anchor="GOSTHeading222">
            <w:r>
              <w:t>1.1.7 Согласованность и безопасное перемещение</w:t>
            </w:r>
          </w:hyperlink>
          <w:r>
            <w:tab/>
          </w:r>
          <w:fldSimple w:instr="PAGEREF &quot;GOSTHeading222&quot; \h" w:dirty="true">
            <w:r>
              <w:t>—</w:t>
            </w:r>
          </w:fldSimple>
        </w:p>
        <w:p>
          <w:pPr>
            <w:pStyle w:val="31"/>
          </w:pPr>
          <w:hyperlink w:anchor="GOSTHeading223">
            <w:r>
              <w:t>1.1.8 Источники данных и условия исследования</w:t>
            </w:r>
          </w:hyperlink>
          <w:r>
            <w:tab/>
          </w:r>
          <w:fldSimple w:instr="PAGEREF &quot;GOSTHeading223&quot; \h" w:dirty="true">
            <w:r>
              <w:t>—</w:t>
            </w:r>
          </w:fldSimple>
        </w:p>
        <w:p>
          <w:pPr>
            <w:pStyle w:val="22"/>
          </w:pPr>
          <w:hyperlink w:anchor="GOSTHeading224">
            <w:r>
              <w:t>1.2 Анализ существующих решений</w:t>
            </w:r>
          </w:hyperlink>
          <w:r>
            <w:tab/>
          </w:r>
          <w:fldSimple w:instr="PAGEREF &quot;GOSTHeading224&quot; \h" w:dirty="true">
            <w:r>
              <w:t>—</w:t>
            </w:r>
          </w:fldSimple>
        </w:p>
        <w:p>
          <w:pPr>
            <w:pStyle w:val="31"/>
          </w:pPr>
          <w:hyperlink w:anchor="GOSTHeading225">
            <w:r>
              <w:t>1.2.1 Анализ критериев</w:t>
            </w:r>
          </w:hyperlink>
          <w:r>
            <w:tab/>
          </w:r>
          <w:fldSimple w:instr="PAGEREF &quot;GOSTHeading225&quot; \h" w:dirty="true">
            <w:r>
              <w:t>—</w:t>
            </w:r>
          </w:fldSimple>
        </w:p>
        <w:p>
          <w:pPr>
            <w:pStyle w:val="31"/>
          </w:pPr>
          <w:hyperlink w:anchor="GOSTHeading226">
            <w:r>
              <w:t>1.2.2 Обзор аналогов</w:t>
            </w:r>
          </w:hyperlink>
          <w:r>
            <w:tab/>
          </w:r>
          <w:fldSimple w:instr="PAGEREF &quot;GOSTHeading226&quot; \h" w:dirty="true">
            <w:r>
              <w:t>—</w:t>
            </w:r>
          </w:fldSimple>
        </w:p>
        <w:p>
          <w:pPr>
            <w:pStyle w:val="31"/>
          </w:pPr>
          <w:hyperlink w:anchor="GOSTHeading227">
            <w:r>
              <w:t>1.2.3 Сопоставление аналогов</w:t>
            </w:r>
          </w:hyperlink>
          <w:r>
            <w:tab/>
          </w:r>
          <w:fldSimple w:instr="PAGEREF &quot;GOSTHeading227&quot; \h" w:dirty="true">
            <w:r>
              <w:t>—</w:t>
            </w:r>
          </w:fldSimple>
        </w:p>
        <w:p>
          <w:pPr>
            <w:pStyle w:val="22"/>
          </w:pPr>
          <w:hyperlink w:anchor="GOSTHeading228">
            <w:r>
              <w:t>1.3 Требования к разрабатываемой системе</w:t>
            </w:r>
          </w:hyperlink>
          <w:r>
            <w:tab/>
          </w:r>
          <w:fldSimple w:instr="PAGEREF &quot;GOSTHeading228&quot; \h" w:dirty="true">
            <w:r>
              <w:t>—</w:t>
            </w:r>
          </w:fldSimple>
        </w:p>
        <w:p>
          <w:pPr>
            <w:pStyle w:val="31"/>
          </w:pPr>
          <w:hyperlink w:anchor="GOSTHeading229">
            <w:r>
              <w:t>1.3.1 Назначение и границы разрабатываемого расширения</w:t>
            </w:r>
          </w:hyperlink>
          <w:r>
            <w:tab/>
          </w:r>
          <w:fldSimple w:instr="PAGEREF &quot;GOSTHeading229&quot; \h" w:dirty="true">
            <w:r>
              <w:t>—</w:t>
            </w:r>
          </w:fldSimple>
        </w:p>
        <w:p>
          <w:pPr>
            <w:pStyle w:val="31"/>
          </w:pPr>
          <w:hyperlink w:anchor="GOSTHeading230">
            <w:r>
              <w:t>1.3.2 Требования к выполняемым функциям</w:t>
            </w:r>
          </w:hyperlink>
          <w:r>
            <w:tab/>
          </w:r>
          <w:fldSimple w:instr="PAGEREF &quot;GOSTHeading230&quot; \h" w:dirty="true">
            <w:r>
              <w:t>—</w:t>
            </w:r>
          </w:fldSimple>
        </w:p>
        <w:p>
          <w:pPr>
            <w:pStyle w:val="31"/>
          </w:pPr>
          <w:hyperlink w:anchor="GOSTHeading231">
            <w:r>
              <w:t>1.3.3 Требования к надёжности и сохранности данных</w:t>
            </w:r>
          </w:hyperlink>
          <w:r>
            <w:tab/>
          </w:r>
          <w:fldSimple w:instr="PAGEREF &quot;GOSTHeading231&quot; \h" w:dirty="true">
            <w:r>
              <w:t>—</w:t>
            </w:r>
          </w:fldSimple>
        </w:p>
        <w:p>
          <w:pPr>
            <w:pStyle w:val="31"/>
          </w:pPr>
          <w:hyperlink w:anchor="GOSTHeading232">
            <w:r>
              <w:t>1.3.4 Требования к доступу и интерфейсу администратора</w:t>
            </w:r>
          </w:hyperlink>
          <w:r>
            <w:tab/>
          </w:r>
          <w:fldSimple w:instr="PAGEREF &quot;GOSTHeading232&quot; \h" w:dirty="true">
            <w:r>
              <w:t>—</w:t>
            </w:r>
          </w:fldSimple>
        </w:p>
        <w:p>
          <w:pPr>
            <w:pStyle w:val="31"/>
          </w:pPr>
          <w:hyperlink w:anchor="GOSTHeading233">
            <w:r>
              <w:t>1.3.5 Требования к ресурсам, совместимости и контролю выполнения</w:t>
            </w:r>
          </w:hyperlink>
          <w:r>
            <w:tab/>
          </w:r>
          <w:fldSimple w:instr="PAGEREF &quot;GOSTHeading233&quot; \h" w:dirty="true">
            <w:r>
              <w:t>—</w:t>
            </w:r>
          </w:fldSimple>
        </w:p>
        <w:p>
          <w:pPr>
            <w:pStyle w:val="31"/>
          </w:pPr>
          <w:hyperlink w:anchor="GOSTHeading234">
            <w:r>
              <w:t>1.3.6 Требования к жизненному циклу модели</w:t>
            </w:r>
          </w:hyperlink>
          <w:r>
            <w:tab/>
          </w:r>
          <w:fldSimple w:instr="PAGEREF &quot;GOSTHeading234&quot; \h" w:dirty="true">
            <w:r>
              <w:t>—</w:t>
            </w:r>
          </w:fldSimple>
        </w:p>
        <w:p>
          <w:pPr>
            <w:pStyle w:val="31"/>
          </w:pPr>
          <w:hyperlink w:anchor="GOSTHeading235">
            <w:r>
              <w:t>1.3.7 Требования к проверке эффективности и минимальному результату</w:t>
            </w:r>
          </w:hyperlink>
          <w:r>
            <w:tab/>
          </w:r>
          <w:fldSimple w:instr="PAGEREF &quot;GOSTHeading235&quot; \h" w:dirty="true">
            <w:r>
              <w:t>—</w:t>
            </w:r>
          </w:fldSimple>
        </w:p>
        <w:p>
          <w:pPr>
            <w:pStyle w:val="22"/>
          </w:pPr>
          <w:hyperlink w:anchor="GOSTHeading236">
            <w:r>
              <w:t>1.4 Выводы по исследовательскому разделу</w:t>
            </w:r>
          </w:hyperlink>
          <w:r>
            <w:tab/>
          </w:r>
          <w:fldSimple w:instr="PAGEREF &quot;GOSTHeading236&quot; \h" w:dirty="true">
            <w:r>
              <w:t>—</w:t>
            </w:r>
          </w:fldSimple>
        </w:p>
        <w:p>
          <w:pPr>
            <w:pStyle w:val="10"/>
          </w:pPr>
          <w:hyperlink w:anchor="GOSTHeading237">
            <w:r>
              <w:t>2 АНАЛИТИЧЕСКИЙ РАЗДЕЛ</w:t>
            </w:r>
          </w:hyperlink>
          <w:r>
            <w:tab/>
          </w:r>
          <w:fldSimple w:instr="PAGEREF &quot;GOSTHeading237&quot; \h" w:dirty="true">
            <w:r>
              <w:t>—</w:t>
            </w:r>
          </w:fldSimple>
        </w:p>
        <w:p>
          <w:pPr>
            <w:pStyle w:val="22"/>
          </w:pPr>
          <w:hyperlink w:anchor="GOSTHeading238">
            <w:r>
              <w:t>2.1 Математическое и алгоритмическое обеспечение</w:t>
            </w:r>
          </w:hyperlink>
          <w:r>
            <w:tab/>
          </w:r>
          <w:fldSimple w:instr="PAGEREF &quot;GOSTHeading238&quot; \h" w:dirty="true">
            <w:r>
              <w:t>—</w:t>
            </w:r>
          </w:fldSimple>
        </w:p>
        <w:p>
          <w:pPr>
            <w:pStyle w:val="31"/>
          </w:pPr>
          <w:hyperlink w:anchor="GOSTHeading239">
            <w:r>
              <w:t>2.1.1 Постановка задачи размещения</w:t>
            </w:r>
          </w:hyperlink>
          <w:r>
            <w:tab/>
          </w:r>
          <w:fldSimple w:instr="PAGEREF &quot;GOSTHeading239&quot; \h" w:dirty="true">
            <w:r>
              <w:t>—</w:t>
            </w:r>
          </w:fldSimple>
        </w:p>
        <w:p>
          <w:pPr>
            <w:pStyle w:val="31"/>
          </w:pPr>
          <w:hyperlink w:anchor="GOSTHeading240">
            <w:r>
              <w:t>2.1.2 Модель прогнозирования востребованности</w:t>
            </w:r>
          </w:hyperlink>
          <w:r>
            <w:tab/>
          </w:r>
          <w:fldSimple w:instr="PAGEREF &quot;GOSTHeading240&quot; \h" w:dirty="true">
            <w:r>
              <w:t>—</w:t>
            </w:r>
          </w:fldSimple>
        </w:p>
        <w:p>
          <w:pPr>
            <w:pStyle w:val="31"/>
          </w:pPr>
          <w:hyperlink w:anchor="GOSTHeading241">
            <w:r>
              <w:t>2.1.3 Обработка данных и формирование обучающих примеров</w:t>
            </w:r>
          </w:hyperlink>
          <w:r>
            <w:tab/>
          </w:r>
          <w:fldSimple w:instr="PAGEREF &quot;GOSTHeading241&quot; \h" w:dirty="true">
            <w:r>
              <w:t>—</w:t>
            </w:r>
          </w:fldSimple>
        </w:p>
        <w:p>
          <w:pPr>
            <w:pStyle w:val="31"/>
          </w:pPr>
          <w:hyperlink w:anchor="GOSTHeading242">
            <w:r>
              <w:t>2.1.4 Обучение, проверка и ввод модели в работу</w:t>
            </w:r>
          </w:hyperlink>
          <w:r>
            <w:tab/>
          </w:r>
          <w:fldSimple w:instr="PAGEREF &quot;GOSTHeading242&quot; \h" w:dirty="true">
            <w:r>
              <w:t>—</w:t>
            </w:r>
          </w:fldSimple>
        </w:p>
        <w:p>
          <w:pPr>
            <w:pStyle w:val="31"/>
          </w:pPr>
          <w:hyperlink w:anchor="GOSTHeading243">
            <w:r>
              <w:t>2.1.5 Алгоритм формирования плана размещения</w:t>
            </w:r>
          </w:hyperlink>
          <w:r>
            <w:tab/>
          </w:r>
          <w:fldSimple w:instr="PAGEREF &quot;GOSTHeading243&quot; \h" w:dirty="true">
            <w:r>
              <w:t>—</w:t>
            </w:r>
          </w:fldSimple>
        </w:p>
        <w:p>
          <w:pPr>
            <w:pStyle w:val="31"/>
          </w:pPr>
          <w:hyperlink w:anchor="GOSTHeading244">
            <w:r>
              <w:t>2.1.6 Объяснение рекомендаций</w:t>
            </w:r>
          </w:hyperlink>
          <w:r>
            <w:tab/>
          </w:r>
          <w:fldSimple w:instr="PAGEREF &quot;GOSTHeading244&quot; \h" w:dirty="true">
            <w:r>
              <w:t>—</w:t>
            </w:r>
          </w:fldSimple>
        </w:p>
        <w:p>
          <w:pPr>
            <w:pStyle w:val="31"/>
          </w:pPr>
          <w:hyperlink w:anchor="GOSTHeading245">
            <w:r>
              <w:t>2.1.7 Протокол безопасного переноса</w:t>
            </w:r>
          </w:hyperlink>
          <w:r>
            <w:tab/>
          </w:r>
          <w:fldSimple w:instr="PAGEREF &quot;GOSTHeading245&quot; \h" w:dirty="true">
            <w:r>
              <w:t>—</w:t>
            </w:r>
          </w:fldSimple>
        </w:p>
        <w:p>
          <w:pPr>
            <w:pStyle w:val="22"/>
          </w:pPr>
          <w:hyperlink w:anchor="GOSTHeading246">
            <w:r>
              <w:t>2.2 Модели процессов</w:t>
            </w:r>
          </w:hyperlink>
          <w:r>
            <w:tab/>
          </w:r>
          <w:fldSimple w:instr="PAGEREF &quot;GOSTHeading246&quot; \h" w:dirty="true">
            <w:r>
              <w:t>—</w:t>
            </w:r>
          </w:fldSimple>
        </w:p>
        <w:p>
          <w:pPr>
            <w:pStyle w:val="31"/>
          </w:pPr>
          <w:hyperlink w:anchor="GOSTHeading247">
            <w:r>
              <w:t>2.2.1 Исходный процесс управления размещением</w:t>
            </w:r>
          </w:hyperlink>
          <w:r>
            <w:tab/>
          </w:r>
          <w:fldSimple w:instr="PAGEREF &quot;GOSTHeading247&quot; \h" w:dirty="true">
            <w:r>
              <w:t>—</w:t>
            </w:r>
          </w:fldSimple>
        </w:p>
        <w:p>
          <w:pPr>
            <w:pStyle w:val="31"/>
          </w:pPr>
          <w:hyperlink w:anchor="GOSTHeading248">
            <w:r>
              <w:t>2.2.2 Проектируемый процесс</w:t>
            </w:r>
          </w:hyperlink>
          <w:r>
            <w:tab/>
          </w:r>
          <w:fldSimple w:instr="PAGEREF &quot;GOSTHeading248&quot; \h" w:dirty="true">
            <w:r>
              <w:t>—</w:t>
            </w:r>
          </w:fldSimple>
        </w:p>
        <w:p>
          <w:pPr>
            <w:pStyle w:val="31"/>
          </w:pPr>
          <w:hyperlink w:anchor="GOSTHeading249">
            <w:r>
              <w:t>2.2.3 Сравнение процессов</w:t>
            </w:r>
          </w:hyperlink>
          <w:r>
            <w:tab/>
          </w:r>
          <w:fldSimple w:instr="PAGEREF &quot;GOSTHeading249&quot; \h" w:dirty="true">
            <w:r>
              <w:t>—</w:t>
            </w:r>
          </w:fldSimple>
        </w:p>
        <w:p>
          <w:pPr>
            <w:pStyle w:val="22"/>
          </w:pPr>
          <w:hyperlink w:anchor="GOSTHeading250">
            <w:r>
              <w:t>2.3 Архитектура системы</w:t>
            </w:r>
          </w:hyperlink>
          <w:r>
            <w:tab/>
          </w:r>
          <w:fldSimple w:instr="PAGEREF &quot;GOSTHeading250&quot; \h" w:dirty="true">
            <w:r>
              <w:t>—</w:t>
            </w:r>
          </w:fldSimple>
        </w:p>
        <w:p>
          <w:pPr>
            <w:pStyle w:val="31"/>
          </w:pPr>
          <w:hyperlink w:anchor="GOSTHeading251">
            <w:r>
              <w:t>2.3.1 Изменения компонентов OpenS3</w:t>
            </w:r>
          </w:hyperlink>
          <w:r>
            <w:tab/>
          </w:r>
          <w:fldSimple w:instr="PAGEREF &quot;GOSTHeading251&quot; \h" w:dirty="true">
            <w:r>
              <w:t>—</w:t>
            </w:r>
          </w:fldSimple>
        </w:p>
        <w:p>
          <w:pPr>
            <w:pStyle w:val="31"/>
          </w:pPr>
          <w:hyperlink w:anchor="GOSTHeading252">
            <w:r>
              <w:t>2.3.2 Компонентная модель</w:t>
            </w:r>
          </w:hyperlink>
          <w:r>
            <w:tab/>
          </w:r>
          <w:fldSimple w:instr="PAGEREF &quot;GOSTHeading252&quot; \h" w:dirty="true">
            <w:r>
              <w:t>—</w:t>
            </w:r>
          </w:fldSimple>
        </w:p>
        <w:p>
          <w:pPr>
            <w:pStyle w:val="31"/>
          </w:pPr>
          <w:hyperlink w:anchor="GOSTHeading253">
            <w:r>
              <w:t>2.3.3 Модель данных</w:t>
            </w:r>
          </w:hyperlink>
          <w:r>
            <w:tab/>
          </w:r>
          <w:fldSimple w:instr="PAGEREF &quot;GOSTHeading253&quot; \h" w:dirty="true">
            <w:r>
              <w:t>—</w:t>
            </w:r>
          </w:fldSimple>
        </w:p>
        <w:p>
          <w:pPr>
            <w:pStyle w:val="31"/>
          </w:pPr>
          <w:hyperlink w:anchor="GOSTHeading254">
            <w:r>
              <w:t>2.3.4 Анализ архитектуры</w:t>
            </w:r>
          </w:hyperlink>
          <w:r>
            <w:tab/>
          </w:r>
          <w:fldSimple w:instr="PAGEREF &quot;GOSTHeading254&quot; \h" w:dirty="true">
            <w:r>
              <w:t>—</w:t>
            </w:r>
          </w:fldSimple>
        </w:p>
        <w:p>
          <w:pPr>
            <w:pStyle w:val="31"/>
          </w:pPr>
          <w:hyperlink w:anchor="GOSTHeading255">
            <w:r>
              <w:t>2.3.5 Соответствие требованиям</w:t>
            </w:r>
          </w:hyperlink>
          <w:r>
            <w:tab/>
          </w:r>
          <w:fldSimple w:instr="PAGEREF &quot;GOSTHeading255&quot; \h" w:dirty="true">
            <w:r>
              <w:t>—</w:t>
            </w:r>
          </w:fldSimple>
        </w:p>
        <w:p>
          <w:pPr>
            <w:pStyle w:val="22"/>
          </w:pPr>
          <w:hyperlink w:anchor="GOSTHeading256">
            <w:r>
              <w:t>2.4 Обоснование инструментов реализации</w:t>
            </w:r>
          </w:hyperlink>
          <w:r>
            <w:tab/>
          </w:r>
          <w:fldSimple w:instr="PAGEREF &quot;GOSTHeading256&quot; \h" w:dirty="true">
            <w:r>
              <w:t>—</w:t>
            </w:r>
          </w:fldSimple>
        </w:p>
        <w:p>
          <w:pPr>
            <w:pStyle w:val="22"/>
          </w:pPr>
          <w:hyperlink w:anchor="GOSTHeading257">
            <w:r>
              <w:t>2.5 Выводы по аналитическому разделу</w:t>
            </w:r>
          </w:hyperlink>
          <w:r>
            <w:tab/>
          </w:r>
          <w:fldSimple w:instr="PAGEREF &quot;GOSTHeading257&quot; \h" w:dirty="true">
            <w:r>
              <w:t>—</w:t>
            </w:r>
          </w:fldSimple>
        </w:p>
        <w:p>
          <w:pPr>
            <w:pStyle w:val="10"/>
          </w:pPr>
          <w:hyperlink w:anchor="GOSTHeading258">
            <w:r>
              <w:t>3 ТЕХНОЛОГИЧЕСКИЙ РАЗДЕЛ</w:t>
            </w:r>
          </w:hyperlink>
          <w:r>
            <w:tab/>
          </w:r>
          <w:fldSimple w:instr="PAGEREF &quot;GOSTHeading258&quot; \h" w:dirty="true">
            <w:r>
              <w:t>—</w:t>
            </w:r>
          </w:fldSimple>
        </w:p>
        <w:p>
          <w:pPr>
            <w:pStyle w:val="22"/>
          </w:pPr>
          <w:hyperlink w:anchor="GOSTHeading259">
            <w:r>
              <w:t>3.1 Описание программной реализации</w:t>
            </w:r>
          </w:hyperlink>
          <w:r>
            <w:tab/>
          </w:r>
          <w:fldSimple w:instr="PAGEREF &quot;GOSTHeading259&quot; \h" w:dirty="true">
            <w:r>
              <w:t>—</w:t>
            </w:r>
          </w:fldSimple>
        </w:p>
        <w:p>
          <w:pPr>
            <w:pStyle w:val="31"/>
          </w:pPr>
          <w:hyperlink w:anchor="GOSTHeading260">
            <w:r>
              <w:t>3.1.1 Сбор истории обращений</w:t>
            </w:r>
          </w:hyperlink>
          <w:r>
            <w:tab/>
          </w:r>
          <w:fldSimple w:instr="PAGEREF &quot;GOSTHeading260&quot; \h" w:dirty="true">
            <w:r>
              <w:t>—</w:t>
            </w:r>
          </w:fldSimple>
        </w:p>
        <w:p>
          <w:pPr>
            <w:pStyle w:val="31"/>
          </w:pPr>
          <w:hyperlink w:anchor="GOSTHeading261">
            <w:r>
              <w:t>3.1.2 Планирование и исполнение переноса</w:t>
            </w:r>
          </w:hyperlink>
          <w:r>
            <w:tab/>
          </w:r>
          <w:fldSimple w:instr="PAGEREF &quot;GOSTHeading261&quot; \h" w:dirty="true">
            <w:r>
              <w:t>—</w:t>
            </w:r>
          </w:fldSimple>
        </w:p>
        <w:p>
          <w:pPr>
            <w:pStyle w:val="31"/>
          </w:pPr>
          <w:hyperlink w:anchor="GOSTHeading262">
            <w:r>
              <w:t>3.1.3 Управление и журналирование</w:t>
            </w:r>
          </w:hyperlink>
          <w:r>
            <w:tab/>
          </w:r>
          <w:fldSimple w:instr="PAGEREF &quot;GOSTHeading262&quot; \h" w:dirty="true">
            <w:r>
              <w:t>—</w:t>
            </w:r>
          </w:fldSimple>
        </w:p>
        <w:p>
          <w:pPr>
            <w:pStyle w:val="22"/>
          </w:pPr>
          <w:hyperlink w:anchor="GOSTHeading263">
            <w:r>
              <w:t>3.2 Подготовка данных и встраивание модели</w:t>
            </w:r>
          </w:hyperlink>
          <w:r>
            <w:tab/>
          </w:r>
          <w:fldSimple w:instr="PAGEREF &quot;GOSTHeading263&quot; \h" w:dirty="true">
            <w:r>
              <w:t>—</w:t>
            </w:r>
          </w:fldSimple>
        </w:p>
        <w:p>
          <w:pPr>
            <w:pStyle w:val="31"/>
          </w:pPr>
          <w:hyperlink w:anchor="GOSTHeading264">
            <w:r>
              <w:t>3.2.1 Источники и подготовка данных</w:t>
            </w:r>
          </w:hyperlink>
          <w:r>
            <w:tab/>
          </w:r>
          <w:fldSimple w:instr="PAGEREF &quot;GOSTHeading264&quot; \h" w:dirty="true">
            <w:r>
              <w:t>—</w:t>
            </w:r>
          </w:fldSimple>
        </w:p>
        <w:p>
          <w:pPr>
            <w:pStyle w:val="31"/>
          </w:pPr>
          <w:hyperlink w:anchor="GOSTHeading265">
            <w:r>
              <w:t>3.2.2 Признаки, метки и разделение выборки</w:t>
            </w:r>
          </w:hyperlink>
          <w:r>
            <w:tab/>
          </w:r>
          <w:fldSimple w:instr="PAGEREF &quot;GOSTHeading265&quot; \h" w:dirty="true">
            <w:r>
              <w:t>—</w:t>
            </w:r>
          </w:fldSimple>
        </w:p>
        <w:p>
          <w:pPr>
            <w:pStyle w:val="31"/>
          </w:pPr>
          <w:hyperlink w:anchor="GOSTHeading266">
            <w:r>
              <w:t>3.2.3 Обучение и ввод модели</w:t>
            </w:r>
          </w:hyperlink>
          <w:r>
            <w:tab/>
          </w:r>
          <w:fldSimple w:instr="PAGEREF &quot;GOSTHeading266&quot; \h" w:dirty="true">
            <w:r>
              <w:t>—</w:t>
            </w:r>
          </w:fldSimple>
        </w:p>
        <w:p>
          <w:pPr>
            <w:pStyle w:val="22"/>
          </w:pPr>
          <w:hyperlink w:anchor="GOSTHeading267">
            <w:r>
              <w:t>3.3 Тестирование программного обеспечения</w:t>
            </w:r>
          </w:hyperlink>
          <w:r>
            <w:tab/>
          </w:r>
          <w:fldSimple w:instr="PAGEREF &quot;GOSTHeading267&quot; \h" w:dirty="true">
            <w:r>
              <w:t>—</w:t>
            </w:r>
          </w:fldSimple>
        </w:p>
        <w:p>
          <w:pPr>
            <w:pStyle w:val="31"/>
          </w:pPr>
          <w:hyperlink w:anchor="GOSTHeading268">
            <w:r>
              <w:t>3.3.1 Проверка истории и данных</w:t>
            </w:r>
          </w:hyperlink>
          <w:r>
            <w:tab/>
          </w:r>
          <w:fldSimple w:instr="PAGEREF &quot;GOSTHeading268&quot; \h" w:dirty="true">
            <w:r>
              <w:t>—</w:t>
            </w:r>
          </w:fldSimple>
        </w:p>
        <w:p>
          <w:pPr>
            <w:pStyle w:val="31"/>
          </w:pPr>
          <w:hyperlink w:anchor="GOSTHeading269">
            <w:r>
              <w:t>3.3.2 Проверка сохранности</w:t>
            </w:r>
          </w:hyperlink>
          <w:r>
            <w:tab/>
          </w:r>
          <w:fldSimple w:instr="PAGEREF &quot;GOSTHeading269&quot; \h" w:dirty="true">
            <w:r>
              <w:t>—</w:t>
            </w:r>
          </w:fldSimple>
        </w:p>
        <w:p>
          <w:pPr>
            <w:pStyle w:val="31"/>
          </w:pPr>
          <w:hyperlink w:anchor="GOSTHeading270">
            <w:r>
              <w:t>3.3.3 Проверка управления</w:t>
            </w:r>
          </w:hyperlink>
          <w:r>
            <w:tab/>
          </w:r>
          <w:fldSimple w:instr="PAGEREF &quot;GOSTHeading270&quot; \h" w:dirty="true">
            <w:r>
              <w:t>—</w:t>
            </w:r>
          </w:fldSimple>
        </w:p>
        <w:p>
          <w:pPr>
            <w:pStyle w:val="22"/>
          </w:pPr>
          <w:hyperlink w:anchor="GOSTHeading271">
            <w:r>
              <w:t>3.4 Оценка надёжности, качества и эффективности</w:t>
            </w:r>
          </w:hyperlink>
          <w:r>
            <w:tab/>
          </w:r>
          <w:fldSimple w:instr="PAGEREF &quot;GOSTHeading271&quot; \h" w:dirty="true">
            <w:r>
              <w:t>—</w:t>
            </w:r>
          </w:fldSimple>
        </w:p>
        <w:p>
          <w:pPr>
            <w:pStyle w:val="31"/>
          </w:pPr>
          <w:hyperlink w:anchor="GOSTHeading272">
            <w:r>
              <w:t>3.4.1 Условия сравнения</w:t>
            </w:r>
          </w:hyperlink>
          <w:r>
            <w:tab/>
          </w:r>
          <w:fldSimple w:instr="PAGEREF &quot;GOSTHeading272&quot; \h" w:dirty="true">
            <w:r>
              <w:t>—</w:t>
            </w:r>
          </w:fldSimple>
        </w:p>
        <w:p>
          <w:pPr>
            <w:pStyle w:val="31"/>
          </w:pPr>
          <w:hyperlink w:anchor="GOSTHeading273">
            <w:r>
              <w:t>3.4.2 Системные показатели</w:t>
            </w:r>
          </w:hyperlink>
          <w:r>
            <w:tab/>
          </w:r>
          <w:fldSimple w:instr="PAGEREF &quot;GOSTHeading273&quot; \h" w:dirty="true">
            <w:r>
              <w:t>—</w:t>
            </w:r>
          </w:fldSimple>
        </w:p>
        <w:p>
          <w:pPr>
            <w:pStyle w:val="31"/>
          </w:pPr>
          <w:hyperlink w:anchor="GOSTHeading274">
            <w:r>
              <w:t>3.4.3 Качество прогноза</w:t>
            </w:r>
          </w:hyperlink>
          <w:r>
            <w:tab/>
          </w:r>
          <w:fldSimple w:instr="PAGEREF &quot;GOSTHeading274&quot; \h" w:dirty="true">
            <w:r>
              <w:t>—</w:t>
            </w:r>
          </w:fldSimple>
        </w:p>
        <w:p>
          <w:pPr>
            <w:pStyle w:val="31"/>
          </w:pPr>
          <w:hyperlink w:anchor="GOSTHeading275">
            <w:r>
              <w:t>3.4.4 Эффективность размещения</w:t>
            </w:r>
          </w:hyperlink>
          <w:r>
            <w:tab/>
          </w:r>
          <w:fldSimple w:instr="PAGEREF &quot;GOSTHeading275&quot; \h" w:dirty="true">
            <w:r>
              <w:t>—</w:t>
            </w:r>
          </w:fldSimple>
        </w:p>
        <w:p>
          <w:pPr>
            <w:pStyle w:val="22"/>
          </w:pPr>
          <w:hyperlink w:anchor="GOSTHeading276">
            <w:r>
              <w:t>3.5 Руководство администратора</w:t>
            </w:r>
          </w:hyperlink>
          <w:r>
            <w:tab/>
          </w:r>
          <w:fldSimple w:instr="PAGEREF &quot;GOSTHeading276&quot; \h" w:dirty="true">
            <w:r>
              <w:t>—</w:t>
            </w:r>
          </w:fldSimple>
        </w:p>
        <w:p>
          <w:pPr>
            <w:pStyle w:val="31"/>
          </w:pPr>
          <w:hyperlink w:anchor="GOSTHeading277">
            <w:r>
              <w:t>3.5.1 Настройка и подтверждение плана</w:t>
            </w:r>
          </w:hyperlink>
          <w:r>
            <w:tab/>
          </w:r>
          <w:fldSimple w:instr="PAGEREF &quot;GOSTHeading277&quot; \h" w:dirty="true">
            <w:r>
              <w:t>—</w:t>
            </w:r>
          </w:fldSimple>
        </w:p>
        <w:p>
          <w:pPr>
            <w:pStyle w:val="31"/>
          </w:pPr>
          <w:hyperlink w:anchor="GOSTHeading278">
            <w:r>
              <w:t>3.5.2 Контроль и обработка ошибок</w:t>
            </w:r>
          </w:hyperlink>
          <w:r>
            <w:tab/>
          </w:r>
          <w:fldSimple w:instr="PAGEREF &quot;GOSTHeading278&quot; \h" w:dirty="true">
            <w:r>
              <w:t>—</w:t>
            </w:r>
          </w:fldSimple>
        </w:p>
        <w:p>
          <w:pPr>
            <w:pStyle w:val="22"/>
          </w:pPr>
          <w:hyperlink w:anchor="GOSTHeading279">
            <w:r>
              <w:t>3.6 Выводы по технологическому разделу</w:t>
            </w:r>
          </w:hyperlink>
          <w:r>
            <w:tab/>
          </w:r>
          <w:fldSimple w:instr="PAGEREF &quot;GOSTHeading279&quot; \h" w:dirty="true">
            <w:r>
              <w:t>—</w:t>
            </w:r>
          </w:fldSimple>
        </w:p>
        <w:p>
          <w:pPr>
            <w:pStyle w:val="10"/>
          </w:pPr>
          <w:hyperlink w:anchor="GOSTHeading280">
            <w:r>
              <w:t>ЗАКЛЮЧЕНИЕ</w:t>
            </w:r>
          </w:hyperlink>
          <w:r>
            <w:tab/>
          </w:r>
          <w:fldSimple w:instr="PAGEREF &quot;GOSTHeading280&quot; \h" w:dirty="true">
            <w:r>
              <w:t>—</w:t>
            </w:r>
          </w:fldSimple>
        </w:p>
        <w:p>
          <w:pPr>
            <w:pStyle w:val="10"/>
          </w:pPr>
          <w:hyperlink w:anchor="GOSTHeading281">
            <w:r>
              <w:t>СПИСОК ИСПОЛЬЗОВАННЫХ ИСТОЧНИКОВ</w:t>
            </w:r>
          </w:hyperlink>
          <w:r>
            <w:tab/>
          </w:r>
          <w:fldSimple w:instr="PAGEREF &quot;GOSTHeading281&quot; \h" w:dirty="true">
            <w:r>
              <w:t>—</w:t>
            </w:r>
          </w:fldSimple>
        </w:p>
        <w:p>
          <w:pPr>
            <w:pStyle w:val="10"/>
          </w:pPr>
          <w:hyperlink w:anchor="GOSTHeading282">
            <w:r>
              <w:t>ПРИЛОЖЕНИЯ</w:t>
            </w:r>
          </w:hyperlink>
          <w:r>
            <w:tab/>
          </w:r>
          <w:fldSimple w:instr="PAGEREF &quot;GOSTHeading282&quot; \h" w:dirty="true">
            <w:r>
              <w:t>—</w:t>
            </w:r>
          </w:fldSimple>
        </w:p>
        <w:p>
          <w:pPr>
            <w:pStyle w:val="10"/>
          </w:pPr>
          <w:hyperlink w:anchor="GOSTHeading283">
            <w:r>
              <w:t>Приложение А</w:t>
            </w:r>
          </w:hyperlink>
          <w:r>
            <w:tab/>
          </w:r>
          <w:fldSimple w:instr="PAGEREF &quot;GOSTHeading283&quot; \h" w:dirty="true">
            <w:r>
              <w:t>—</w:t>
            </w:r>
          </w:fldSimple>
        </w:p>
        <w:p>
          <w:pPr>
            <w:spacing w:before="0" w:after="0" w:line="1" w:lineRule="exact"/>
          </w:pPr>
          <w:r>
            <w:fldChar w:fldCharType="end"/>
          </w:r>
        </w:p>
      </w:sdtContent>
    </w:sdt>
    <w:bookmarkStart w:id="25" w:name="введение"/>
    <w:p>
      <w:pPr>
        <w:pStyle w:val="GOSTStructuralHeading"/>
      </w:pPr>
      <w:bookmarkStart w:id="212" w:name="GOSTHeading212"/>
      <w:r>
        <w:t xml:space="preserve">ВВЕДЕНИЕ</w:t>
      </w:r>
      <w:bookmarkEnd w:id="212"/>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3" w:name="GOSTHeading213"/>
      <w:r>
        <w:t xml:space="preserve">ЛИТЕРАТУРНЫЙ ОБЗОР</w:t>
      </w:r>
      <w:bookmarkEnd w:id="213"/>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4" w:name="GOSTHeading214"/>
      <w:r>
        <w:t xml:space="preserve">1 ИССЛЕДОВАТЕЛЬСКИЙ РАЗДЕЛ</w:t>
      </w:r>
      <w:bookmarkEnd w:id="214"/>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5" w:name="GOSTHeading215"/>
      <w:r>
        <w:t xml:space="preserve">1.1 Анализ предметной области</w:t>
      </w:r>
      <w:bookmarkEnd w:id="215"/>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6" w:name="GOSTHeading216"/>
      <w:r>
        <w:t xml:space="preserve">1.1.1 Предметная область и участники процесса</w:t>
      </w:r>
      <w:bookmarkEnd w:id="216"/>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7" w:name="GOSTHeading217"/>
      <w:r>
        <w:t xml:space="preserve">1.1.2 Объектная модель и единица размещения</w:t>
      </w:r>
      <w:bookmarkEnd w:id="217"/>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8" w:name="GOSTHeading218"/>
      <w:r>
        <w:t xml:space="preserve">1.1.3 Классы хранения и характеристики ресурсов</w:t>
      </w:r>
      <w:bookmarkEnd w:id="218"/>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9" w:name="GOSTHeading219"/>
      <w:r>
        <w:t xml:space="preserve">1.1.4 Востребованность и история обращений</w:t>
      </w:r>
      <w:bookmarkEnd w:id="219"/>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0" w:name="GOSTHeading220"/>
      <w:r>
        <w:t xml:space="preserve">1.1.5 Способы управления размещением</w:t>
      </w:r>
      <w:bookmarkEnd w:id="220"/>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1" w:name="GOSTHeading221"/>
      <w:r>
        <w:t xml:space="preserve">1.1.6 Ресурсные ограничения и затраты</w:t>
      </w:r>
      <w:bookmarkEnd w:id="221"/>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2" w:name="GOSTHeading222"/>
      <w:r>
        <w:t xml:space="preserve">1.1.7 Согласованность и безопасное перемещение</w:t>
      </w:r>
      <w:bookmarkEnd w:id="222"/>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3" w:name="GOSTHeading223"/>
      <w:r>
        <w:t xml:space="preserve">1.1.8 Источники данных и условия исследования</w:t>
      </w:r>
      <w:bookmarkEnd w:id="223"/>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4" w:name="GOSTHeading224"/>
      <w:r>
        <w:t xml:space="preserve">1.2 Анализ существующих решений</w:t>
      </w:r>
      <w:bookmarkEnd w:id="224"/>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5" w:name="GOSTHeading225"/>
      <w:r>
        <w:t xml:space="preserve">1.2.1 Анализ критериев</w:t>
      </w:r>
      <w:bookmarkEnd w:id="225"/>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6" w:name="GOSTHeading226"/>
      <w:r>
        <w:t xml:space="preserve">1.2.2 Обзор аналогов</w:t>
      </w:r>
      <w:bookmarkEnd w:id="226"/>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7" w:name="GOSTHeading227"/>
      <w:r>
        <w:t xml:space="preserve">1.2.3 Сопоставление аналогов</w:t>
      </w:r>
      <w:bookmarkEnd w:id="227"/>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8" w:name="GOSTHeading228"/>
      <w:r>
        <w:t xml:space="preserve">1.3 Требования к разрабатываемой системе</w:t>
      </w:r>
      <w:bookmarkEnd w:id="228"/>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9" w:name="GOSTHeading229"/>
      <w:r>
        <w:t xml:space="preserve">1.3.1 Назначение и границы разрабатываемого расширения</w:t>
      </w:r>
      <w:bookmarkEnd w:id="229"/>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0" w:name="GOSTHeading230"/>
      <w:r>
        <w:t xml:space="preserve">1.3.2 Требования к выполняемым функциям</w:t>
      </w:r>
      <w:bookmarkEnd w:id="230"/>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1" w:name="GOSTHeading231"/>
      <w:r>
        <w:t xml:space="preserve">1.3.3 Требования к надёжности и сохранности данных</w:t>
      </w:r>
      <w:bookmarkEnd w:id="231"/>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2" w:name="GOSTHeading232"/>
      <w:r>
        <w:t xml:space="preserve">1.3.4 Требования к доступу и интерфейсу администратора</w:t>
      </w:r>
      <w:bookmarkEnd w:id="232"/>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3" w:name="GOSTHeading233"/>
      <w:r>
        <w:t xml:space="preserve">1.3.5 Требования к ресурсам, совместимости и контролю выполнения</w:t>
      </w:r>
      <w:bookmarkEnd w:id="233"/>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4" w:name="GOSTHeading234"/>
      <w:r>
        <w:t xml:space="preserve">1.3.6 Требования к жизненному циклу модели</w:t>
      </w:r>
      <w:bookmarkEnd w:id="234"/>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5" w:name="GOSTHeading235"/>
      <w:r>
        <w:t xml:space="preserve">1.3.7 Требования к проверке эффективности и минимальному результату</w:t>
      </w:r>
      <w:bookmarkEnd w:id="235"/>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6" w:name="GOSTHeading236"/>
      <w:r>
        <w:t xml:space="preserve">1.4 Выводы по исследовательскому разделу</w:t>
      </w:r>
      <w:bookmarkEnd w:id="236"/>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7" w:name="GOSTHeading237"/>
      <w:r>
        <w:t xml:space="preserve">2 АНАЛИТИЧЕСКИЙ РАЗДЕЛ</w:t>
      </w:r>
      <w:bookmarkEnd w:id="237"/>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8" w:name="GOSTHeading238"/>
      <w:r>
        <w:t xml:space="preserve">2.1 Математическое и алгоритмическое обеспечение</w:t>
      </w:r>
      <w:bookmarkEnd w:id="238"/>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9" w:name="GOSTHeading239"/>
      <w:r>
        <w:t xml:space="preserve">2.1.1 Постановка задачи размещения</w:t>
      </w:r>
      <w:bookmarkEnd w:id="239"/>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0" w:name="GOSTHeading240"/>
      <w:r>
        <w:t xml:space="preserve">2.1.2 Модель прогнозирования востребованности</w:t>
      </w:r>
      <w:bookmarkEnd w:id="240"/>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1" w:name="GOSTHeading241"/>
      <w:r>
        <w:t xml:space="preserve">2.1.3 Обработка данных и формирование обучающих примеров</w:t>
      </w:r>
      <w:bookmarkEnd w:id="241"/>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2" w:name="GOSTHeading242"/>
      <w:r>
        <w:t xml:space="preserve">2.1.4 Обучение, проверка и ввод модели в работу</w:t>
      </w:r>
      <w:bookmarkEnd w:id="242"/>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3" w:name="GOSTHeading243"/>
      <w:r>
        <w:t xml:space="preserve">2.1.5 Алгоритм формирования плана размещения</w:t>
      </w:r>
      <w:bookmarkEnd w:id="243"/>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4" w:name="GOSTHeading244"/>
      <w:r>
        <w:t xml:space="preserve">2.1.6 Объяснение рекомендаций</w:t>
      </w:r>
      <w:bookmarkEnd w:id="244"/>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5" w:name="GOSTHeading245"/>
      <w:r>
        <w:t xml:space="preserve">2.1.7 Протокол безопасного переноса</w:t>
      </w:r>
      <w:bookmarkEnd w:id="245"/>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6" w:name="GOSTHeading246"/>
      <w:r>
        <w:t xml:space="preserve">2.2 Модели процессов</w:t>
      </w:r>
      <w:bookmarkEnd w:id="246"/>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7" w:name="GOSTHeading247"/>
      <w:r>
        <w:t xml:space="preserve">2.2.1 Исходный процесс управления размещением</w:t>
      </w:r>
      <w:bookmarkEnd w:id="247"/>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8" w:name="GOSTHeading248"/>
      <w:r>
        <w:t xml:space="preserve">2.2.2 Проектируемый процесс</w:t>
      </w:r>
      <w:bookmarkEnd w:id="248"/>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9" w:name="GOSTHeading249"/>
      <w:r>
        <w:t xml:space="preserve">2.2.3 Сравнение процессов</w:t>
      </w:r>
      <w:bookmarkEnd w:id="249"/>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0" w:name="GOSTHeading250"/>
      <w:r>
        <w:t xml:space="preserve">2.3 Архитектура системы</w:t>
      </w:r>
      <w:bookmarkEnd w:id="250"/>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1" w:name="GOSTHeading251"/>
      <w:r>
        <w:t xml:space="preserve">2.3.1 Изменения компонентов OpenS3</w:t>
      </w:r>
      <w:bookmarkEnd w:id="251"/>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2" w:name="GOSTHeading252"/>
      <w:r>
        <w:t xml:space="preserve">2.3.2 Компонентная модель</w:t>
      </w:r>
      <w:bookmarkEnd w:id="252"/>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3" w:name="GOSTHeading253"/>
      <w:r>
        <w:t xml:space="preserve">2.3.3 Модель данных</w:t>
      </w:r>
      <w:bookmarkEnd w:id="253"/>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4" w:name="GOSTHeading254"/>
      <w:r>
        <w:t xml:space="preserve">2.3.4 Анализ архитектуры</w:t>
      </w:r>
      <w:bookmarkEnd w:id="254"/>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5" w:name="GOSTHeading255"/>
      <w:r>
        <w:t xml:space="preserve">2.3.5 Соответствие требованиям</w:t>
      </w:r>
      <w:bookmarkEnd w:id="255"/>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6" w:name="GOSTHeading256"/>
      <w:r>
        <w:t xml:space="preserve">2.4 Обоснование инструментов реализации</w:t>
      </w:r>
      <w:bookmarkEnd w:id="256"/>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7" w:name="GOSTHeading257"/>
      <w:r>
        <w:t xml:space="preserve">2.5 Выводы по аналитическому разделу</w:t>
      </w:r>
      <w:bookmarkEnd w:id="257"/>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8" w:name="GOSTHeading258"/>
      <w:r>
        <w:t xml:space="preserve">3 ТЕХНОЛОГИЧЕСКИЙ РАЗДЕЛ</w:t>
      </w:r>
      <w:bookmarkEnd w:id="258"/>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59" w:name="GOSTHeading259"/>
      <w:r>
        <w:t xml:space="preserve">3.1 Описание программной реализации</w:t>
      </w:r>
      <w:bookmarkEnd w:id="259"/>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 “sppr_ml” обучает модель на Python; сервис на Go вычисляет прогноз. Обучение выполняется в контейнере СППР в общей ресурсной квоте.</w:t>
      </w:r>
    </w:p>
    <w:bookmarkStart w:id="106" w:name="сбор-истории-обращений"/>
    <w:p>
      <w:pPr>
        <w:pStyle w:val="30"/>
      </w:pPr>
      <w:bookmarkStart w:id="260" w:name="GOSTHeading260"/>
      <w:r>
        <w:t xml:space="preserve">3.1.1 Сбор истории обращений</w:t>
      </w:r>
      <w:bookmarkEnd w:id="260"/>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проверяет его корректность, а</w:t>
      </w:r>
      <w:r>
        <w:t xml:space="preserve"> </w:t>
      </w:r>
      <w:r>
        <w:rPr>
          <w:i/>
          <w:iCs/>
        </w:rPr>
        <w:t xml:space="preserve">repo.Store</w:t>
      </w:r>
      <w:r>
        <w:t xml:space="preserve"> </w:t>
      </w:r>
      <w:r>
        <w:t xml:space="preserve">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61" w:name="GOSTHeading261"/>
      <w:r>
        <w:t xml:space="preserve">3.1.2 Планирование и исполнение переноса</w:t>
      </w:r>
      <w:bookmarkEnd w:id="261"/>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62" w:name="GOSTHeading262"/>
      <w:r>
        <w:t xml:space="preserve">3.1.3 Управление и журналирование</w:t>
      </w:r>
      <w:bookmarkEnd w:id="262"/>
    </w:p>
    <w:p>
      <w:pPr>
        <w:pStyle w:val="FirstParagraph"/>
      </w:pPr>
      <w:r>
        <w:t xml:space="preserve">Административная панель</w:t>
      </w:r>
      <w:r>
        <w:t xml:space="preserve"> </w:t>
      </w:r>
      <w:r>
        <w:rPr>
          <w:rStyle w:val="VerbatimChar"/>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63" w:name="GOSTHeading263"/>
      <w:r>
        <w:t xml:space="preserve">3.2 Подготовка данных и встраивание модели</w:t>
      </w:r>
      <w:bookmarkEnd w:id="263"/>
    </w:p>
    <w:p>
      <w:pPr>
        <w:pStyle w:val="FirstParagraph"/>
      </w:pPr>
      <w:r>
        <w:t xml:space="preserve">Подготовка данных соответствует Рисунку 2.1: история, признаки и метки, обучение, проверка, ввод модели в эксплуатацию. Источники определены в Таблице 1.2.</w:t>
      </w:r>
    </w:p>
    <w:bookmarkStart w:id="112" w:name="источники-и-подготовка-данных"/>
    <w:p>
      <w:pPr>
        <w:pStyle w:val="30"/>
      </w:pPr>
      <w:bookmarkStart w:id="264" w:name="GOSTHeading264"/>
      <w:r>
        <w:t xml:space="preserve">3.2.1 Источники и подготовка данных</w:t>
      </w:r>
      <w:bookmarkEnd w:id="264"/>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3036"/>
        <w:gridCol w:w="6602"/>
      </w:tblGrid>
      <w:tr>
        <w:trPr>
          <w:tblHeader w:val="on"/>
          <w:cantSplit/>
        </w:trPr>
        <w:tc>
          <w:tcPr>
            <w:tcW w:w="303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Сохраняемые данные</w:t>
            </w:r>
          </w:p>
        </w:tc>
        <w:tc>
          <w:tcPr>
            <w:tcW w:w="660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Способ сохранения и назначение</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Каталог объектов и история обращений</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Признаки, целевые метки и сведения об исключённых строках</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подготовки и сведения о целостности</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 трассах нет полного контракта версий S3, а в Meta CDN и IBM COS отсутствует код ответа.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5" w:name="GOSTHeading265"/>
      <w:r>
        <w:t xml:space="preserve">3.2.2 Признаки, метки и разделение выборки</w:t>
      </w:r>
      <w:bookmarkEnd w:id="265"/>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Класс хранения и задержка чтения исключены. Неизвестная давность задаётся специальным отсутствующим значением; нулевой спрос допустим только при полной истории.</w:t>
      </w:r>
    </w:p>
    <w:p>
      <w:pPr>
        <w:pStyle w:val="a2"/>
      </w:pPr>
      <w:r>
        <w:t xml:space="preserve">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Выборки не перемешиваются. Неполные строки исключаются, объекты без чтений сохраняются. При выгрузке из текущего каталога ранее удалённые версии недоступны; ограничение записывается в описание набора.</w:t>
      </w:r>
    </w:p>
    <w:bookmarkEnd w:id="113"/>
    <w:bookmarkStart w:id="114" w:name="обучение-и-ввод-модели"/>
    <w:p>
      <w:pPr>
        <w:pStyle w:val="30"/>
      </w:pPr>
      <w:bookmarkStart w:id="266" w:name="GOSTHeading266"/>
      <w:r>
        <w:t xml:space="preserve">3.2.3 Обучение и ввод модели</w:t>
      </w:r>
      <w:bookmarkEnd w:id="266"/>
    </w:p>
    <w:p>
      <w:pPr>
        <w:pStyle w:val="FirstParagraph"/>
      </w:pPr>
      <w:r>
        <w:t xml:space="preserve">Функция</w:t>
      </w:r>
      <w:r>
        <w:t xml:space="preserve"> </w:t>
      </w:r>
      <w:r>
        <w:rPr>
          <w:i/>
          <w:iCs/>
        </w:rPr>
        <w:t xml:space="preserve">sppr_ml.model.fit</w:t>
      </w:r>
      <w:r>
        <w:t xml:space="preserve"> </w:t>
      </w:r>
      <w:r>
        <w:t xml:space="preserve">обучает классификатор LightGBM на всех допустимых строках и регрессор — на положительных метках чтений сверх первого. Прогноз соответствует формулам (2.7) и (2.8). Число деревьев выбирается на последних 8 ч обучающего периода, затем модель обучается повторно на всём периоде.</w:t>
      </w:r>
    </w:p>
    <w:p>
      <w:pPr>
        <w:pStyle w:val="a2"/>
      </w:pPr>
      <w:r>
        <w:t xml:space="preserve">Из 24 вариантов по покрытию будущих чтений на периоде настройки выбраны 15 листьев, скорость обучения 0,03, не менее 20 строк в листе и коэффициент регуляризации 1. Параметры зафиксированы до итогового теста в</w:t>
      </w:r>
      <w:r>
        <w:t xml:space="preserve"> </w:t>
      </w:r>
      <w:r>
        <w:rPr>
          <w:rStyle w:val="VerbatimChar"/>
        </w:rPr>
        <w:t xml:space="preserve">services/sppr/experiments/main.json</w:t>
      </w:r>
      <w:r>
        <w:t xml:space="preserve">.</w:t>
      </w:r>
    </w:p>
    <w:p>
      <w:pPr>
        <w:pStyle w:val="a2"/>
      </w:pPr>
      <w:r>
        <w:t xml:space="preserve">Функция</w:t>
      </w:r>
      <w:r>
        <w:t xml:space="preserve"> </w:t>
      </w:r>
      <w:r>
        <w:rPr>
          <w:i/>
          <w:iCs/>
        </w:rPr>
        <w:t xml:space="preserve">sppr_ml.export.write</w:t>
      </w:r>
      <w:r>
        <w:t xml:space="preserve"> </w:t>
      </w:r>
      <w:r>
        <w:t xml:space="preserve">сохраняет модели, описание комплекта и контрольные прогнозы. Загрузчик</w:t>
      </w:r>
      <w:r>
        <w:t xml:space="preserve"> </w:t>
      </w:r>
      <w:r>
        <w:rPr>
          <w:i/>
          <w:iCs/>
        </w:rPr>
        <w:t xml:space="preserve">lgbm.Load</w:t>
      </w:r>
      <w:r>
        <w:t xml:space="preserve"> </w:t>
      </w:r>
      <w:r>
        <w:t xml:space="preserve">проверяет целостность, совместимость признаков и совпадение вычислений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Структура</w:t>
      </w:r>
      <w:r>
        <w:t xml:space="preserve"> </w:t>
      </w:r>
      <w:r>
        <w:rPr>
          <w:i/>
          <w:iCs/>
        </w:rPr>
        <w:t xml:space="preserve">Manager</w:t>
      </w:r>
      <w:r>
        <w:t xml:space="preserve"> </w:t>
      </w:r>
      <w:r>
        <w:t xml:space="preserve">активирует проверенную модель и записывает её версию. При ошибке обучения сохраняется предыдущая пригодная модель, при отсутствии или устаревании используется экспоненциальное скользящее среднее (EWMA). Обновление выполняется раз в сутки, предел возраста — 72 ч. Один расчёт плана использует одну версию модели. Неполная история блокирует прогнозные рекомендации при любом методе.</w:t>
      </w:r>
    </w:p>
    <w:bookmarkEnd w:id="114"/>
    <w:bookmarkEnd w:id="115"/>
    <w:bookmarkStart w:id="122" w:name="тестирование-программного-обеспечения"/>
    <w:p>
      <w:pPr>
        <w:pStyle w:val="21"/>
      </w:pPr>
      <w:bookmarkStart w:id="267" w:name="GOSTHeading267"/>
      <w:r>
        <w:t xml:space="preserve">3.3 Тестирование программного обеспечения</w:t>
      </w:r>
      <w:bookmarkEnd w:id="267"/>
    </w:p>
    <w:p>
      <w:pPr>
        <w:pStyle w:val="FirstParagraph"/>
      </w:pPr>
      <w:r>
        <w:t xml:space="preserve">Испытания проводит автор ВКР. По протоколу от 28.10.2026 (ревизия bef0671) тесты Go для СППР и взаимодействующих сервисов, а также 55 тестов Python завершились без ошибок. Проверки с тегом integration не подтверждают обращения к базе данных и стенду без необходимых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Основные случаи приведены в Таблицах 3.3, 3.4 и 3.5.</w:t>
      </w:r>
    </w:p>
    <w:p>
      <w:pPr>
        <w:pStyle w:val="a2"/>
      </w:pPr>
      <w:r>
        <w:t xml:space="preserve">Сквозной сценарий подтвердил обновление модели, повтор команды, перенос с чтением и восстановление после перезапуска. Тесты находятся в пакетах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planner</w:t>
      </w:r>
      <w:r>
        <w:t xml:space="preserve">,</w:t>
      </w:r>
      <w:r>
        <w:t xml:space="preserve"> </w:t>
      </w:r>
      <w:r>
        <w:rPr>
          <w:i/>
          <w:iCs/>
        </w:rPr>
        <w:t xml:space="preserve">executor</w:t>
      </w:r>
      <w:r>
        <w:t xml:space="preserve"> </w:t>
      </w:r>
      <w:r>
        <w:t xml:space="preserve">и</w:t>
      </w:r>
      <w:r>
        <w:t xml:space="preserve"> </w:t>
      </w:r>
      <w:r>
        <w:rPr>
          <w:i/>
          <w:iCs/>
        </w:rPr>
        <w:t xml:space="preserve">handler</w:t>
      </w:r>
      <w:r>
        <w:t xml:space="preserve"> </w:t>
      </w:r>
      <w:r>
        <w:t xml:space="preserve">СППР; интеграционные проверки используют PostgreSQL, Metadata и Storage. Отказы моделируются повреждением копии, обрывом передачи и потерей ответа. Восстановление после перезапуска СППР измерено на отдельном стенде: в трёх перезапусках сервис отвечал на проверки готовности и выдавал сохранённый до перезапуска план через 10,40–10,46 с от начала перезапуска, из которых около 10,4 с занимает остановка контейнера.</w:t>
      </w:r>
    </w:p>
    <w:bookmarkStart w:id="117" w:name="проверка-истории-и-данных"/>
    <w:p>
      <w:pPr>
        <w:pStyle w:val="30"/>
      </w:pPr>
      <w:bookmarkStart w:id="268" w:name="GOSTHeading268"/>
      <w:r>
        <w:t xml:space="preserve">3.3.1 Проверка истории и данных</w:t>
      </w:r>
      <w:bookmarkEnd w:id="268"/>
    </w:p>
    <w:bookmarkStart w:id="116" w:name="gost-tbl:data_test_cases"/>
    <w:p>
      <w:pPr>
        <w:pStyle w:val="TableCaption"/>
      </w:pPr>
      <w:r>
        <w:t xml:space="preserve">Таблица 3.3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Проверки истории и подготовки данных"/>
      </w:tblPr>
      <w:tblGrid>
        <w:gridCol w:w="1987"/>
        <w:gridCol w:w="4579"/>
        <w:gridCol w:w="3072"/>
      </w:tblGrid>
      <w:tr>
        <w:trPr>
          <w:tblHeader w:val="on"/>
          <w:cantSplit/>
        </w:trPr>
        <w:tc>
          <w:tcPr>
            <w:tcW w:w="198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07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события не меняет спрос; конфликт содержимого отклоняется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При пропуске и остановке потока потеря обнаруживается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признаки берутся из прошлого, метки — из будущего горизонта</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Различить новый объект, нулевой спрос и неполную историю</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Учесть клиентское чтение, исключить копирование</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выгрузки идентичен; пересекающие границы метки исключаются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6"/>
    <w:bookmarkEnd w:id="117"/>
    <w:bookmarkStart w:id="119" w:name="проверка-сохранности"/>
    <w:p>
      <w:pPr>
        <w:pStyle w:val="30"/>
        <w:spacing w:before="480"/>
      </w:pPr>
      <w:bookmarkStart w:id="269" w:name="GOSTHeading269"/>
      <w:r>
        <w:t xml:space="preserve">3.3.2 Проверка сохранности</w:t>
      </w:r>
      <w:bookmarkEnd w:id="269"/>
    </w:p>
    <w:bookmarkStart w:id="118" w:name="gost-tbl:migration_test_cases"/>
    <w:p>
      <w:pPr>
        <w:pStyle w:val="TableCaption"/>
      </w:pPr>
      <w:r>
        <w:t xml:space="preserve">Таблица 3.4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переноса версии"/>
      </w:tblPr>
      <w:tblGrid>
        <w:gridCol w:w="1998"/>
        <w:gridCol w:w="4707"/>
        <w:gridCol w:w="2933"/>
      </w:tblGrid>
      <w:tr>
        <w:trPr>
          <w:tblHeader w:val="on"/>
          <w:cantSplit/>
        </w:trPr>
        <w:tc>
          <w:tcPr>
            <w:tcW w:w="199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707"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93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изменении объекта устаревшее переключение отклоняется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повреждении копии или отказе цели источник сохраняется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исчерпании ресурсов перенос запрещён, копии учтены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После перезапуска продолжается прежняя миграция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Чтение при переключении корректно; место освобождается после очистки</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8"/>
    <w:bookmarkEnd w:id="119"/>
    <w:bookmarkStart w:id="121" w:name="проверка-управления"/>
    <w:p>
      <w:pPr>
        <w:pStyle w:val="30"/>
        <w:spacing w:before="480"/>
      </w:pPr>
      <w:bookmarkStart w:id="270" w:name="GOSTHeading270"/>
      <w:r>
        <w:t xml:space="preserve">3.3.3 Проверка управления</w:t>
      </w:r>
      <w:bookmarkEnd w:id="270"/>
    </w:p>
    <w:bookmarkStart w:id="120" w:name="gost-tbl:control_test_cases"/>
    <w:p>
      <w:pPr>
        <w:pStyle w:val="TableCaption"/>
      </w:pPr>
      <w:r>
        <w:t xml:space="preserve">Таблица 3.5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ланирования и команд"/>
      </w:tblPr>
      <w:tblGrid>
        <w:gridCol w:w="1901"/>
        <w:gridCol w:w="4030"/>
        <w:gridCol w:w="3707"/>
      </w:tblGrid>
      <w:tr>
        <w:trPr>
          <w:tblHeader w:val="on"/>
          <w:cantSplit/>
        </w:trPr>
        <w:tc>
          <w:tcPr>
            <w:tcW w:w="190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03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70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План допустим, объяснение соответствует расчёту; сравнить с перебором</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набор зависимостей отклоняется, полный принимается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однократен; отмена и пауза не прерывают начатое</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Без токена или полномочия ADMIN доступ отклоняется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При ошибке сохраняется пригодная модель, иначе включается EWMA</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Сценарий с моделью пройден;</w:t>
            </w:r>
            <w:r>
              <w:rPr>
                <w:sz w:val="24"/>
                <w:szCs w:val="24"/>
              </w:rPr>
              <w:t xml:space="preserve"> </w:t>
            </w:r>
            <w:r>
              <w:rPr>
                <w:sz w:val="24"/>
                <w:szCs w:val="24"/>
                <w:highlight w:val="yellow"/>
              </w:rPr>
              <w:t xml:space="preserve">отдельный прогон EWMA</w:t>
            </w:r>
          </w:p>
        </w:tc>
      </w:tr>
    </w:tbl>
    <w:bookmarkEnd w:id="120"/>
    <w:bookmarkEnd w:id="121"/>
    <w:bookmarkEnd w:id="122"/>
    <w:bookmarkStart w:id="133" w:name="X759af35c9299631592eb12b28630520288f3b17"/>
    <w:p>
      <w:pPr>
        <w:pStyle w:val="21"/>
        <w:spacing w:before="480"/>
      </w:pPr>
      <w:bookmarkStart w:id="271" w:name="GOSTHeading271"/>
      <w:r>
        <w:t xml:space="preserve">3.4 Оценка надёжности, качества и эффективности</w:t>
      </w:r>
      <w:bookmarkEnd w:id="271"/>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3" w:name="условия-сравнения"/>
    <w:p>
      <w:pPr>
        <w:pStyle w:val="30"/>
      </w:pPr>
      <w:bookmarkStart w:id="272" w:name="GOSTHeading272"/>
      <w:r>
        <w:t xml:space="preserve">3.4.1 Условия сравнения</w:t>
      </w:r>
      <w:bookmarkEnd w:id="272"/>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Симулятор</w:t>
      </w:r>
      <w:r>
        <w:t xml:space="preserve"> </w:t>
      </w:r>
      <w:r>
        <w:rPr>
          <w:i/>
          <w:iCs/>
        </w:rPr>
        <w:t xml:space="preserve">Engine</w:t>
      </w:r>
      <w:r>
        <w:t xml:space="preserve"> </w:t>
      </w:r>
      <w:r>
        <w:t xml:space="preserve">использует рабочие компоненты признаков и планирования, учитывает очередь и конкуренцию копирования с чтением. Время чтения 1 МиБ задано как 10 мс для HOT и 40 мс для COLD; это параметры модели, а не измерения устройств. Задержка включает очередь. Проверка байтов и отложенная очистка не воспроизводятся.</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23"/>
    <w:bookmarkStart w:id="125" w:name="системные-показатели"/>
    <w:p>
      <w:pPr>
        <w:pStyle w:val="30"/>
      </w:pPr>
      <w:bookmarkStart w:id="273" w:name="GOSTHeading273"/>
      <w:r>
        <w:t xml:space="preserve">3.4.2 Системные показатели</w:t>
      </w:r>
      <w:bookmarkEnd w:id="273"/>
    </w:p>
    <w:p>
      <w:pPr>
        <w:pStyle w:val="FirstParagraph"/>
      </w:pPr>
      <w:r>
        <w:t xml:space="preserve">Таблица 3.6 сопоставляет измерения с требованиями; p95 обозначает 95-й процентиль: 95 % наблюдений не превышают указанного значения. Полная приёмка надёжности требует серии отказов из Таблицы 3.4.</w:t>
      </w:r>
    </w:p>
    <w:bookmarkStart w:id="124" w:name="gost-tbl:technology_acceptance"/>
    <w:p>
      <w:pPr>
        <w:pStyle w:val="TableCaption"/>
      </w:pPr>
      <w:r>
        <w:t xml:space="preserve">Таблица 3.6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Системные показатели и требования"/>
      </w:tblPr>
      <w:tblGrid>
        <w:gridCol w:w="2487"/>
        <w:gridCol w:w="2774"/>
        <w:gridCol w:w="4377"/>
      </w:tblGrid>
      <w:tr>
        <w:trPr>
          <w:tblHeader w:val="on"/>
          <w:cantSplit/>
        </w:trPr>
        <w:tc>
          <w:tcPr>
            <w:tcW w:w="24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774"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3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10,40–10,46 с по трём перезапускам, выполнено;</w:t>
            </w:r>
            <w:r>
              <w:rPr>
                <w:sz w:val="24"/>
                <w:szCs w:val="24"/>
              </w:rPr>
              <w:t xml:space="preserve"> </w:t>
            </w:r>
            <w:r>
              <w:rPr>
                <w:sz w:val="24"/>
                <w:szCs w:val="24"/>
                <w:highlight w:val="yellow"/>
              </w:rPr>
              <w:t xml:space="preserve">полная серия отказов</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95-й процентиль 246 мс по 7 планам; выполнено в измеренном режиме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 в квоте на стенде пик памяти СППР 144 МиБ;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При обучении под нагрузкой: в среднем 27 % одного ядра, пик 1,94 ядра; пик памяти 824 МиБ;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и экспорт в работающем сервисе: 41,0–48,5 с по трём обновлениям;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−14,4 % без обучения и −14,3 % при обучении, выполнено; p95: +1,2 и +1,8 мс (13,02 → 14,20 и 14,81 мс)</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интерфейса</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 на стенде занятость HOT 857 МиБ при допустимых 921 МиБ;</w:t>
            </w:r>
            <w:r>
              <w:rPr>
                <w:sz w:val="24"/>
                <w:szCs w:val="24"/>
              </w:rPr>
              <w:t xml:space="preserve"> </w:t>
            </w:r>
            <w:r>
              <w:rPr>
                <w:sz w:val="24"/>
                <w:szCs w:val="24"/>
                <w:highlight w:val="yellow"/>
              </w:rPr>
              <w:t xml:space="preserve">бюджет повторов</w:t>
            </w:r>
          </w:p>
        </w:tc>
      </w:tr>
    </w:tbl>
    <w:bookmarkEnd w:id="124"/>
    <w:p>
      <w:pPr>
        <w:pStyle w:val="a2"/>
        <w:spacing w:before="120"/>
      </w:pPr>
      <w:r>
        <w:t xml:space="preserve">На стенде проверены 100 запросов первой страницы и 100 команд продолжения со скоростью 2 запроса/с при 10 000 объектов; авторизация отключена, команда не меняла состояние.</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w:t>
      </w:r>
      <w:r>
        <w:rPr>
          <w:rStyle w:val="VerbatimChar"/>
        </w:rPr>
        <w:t xml:space="preserve">build/stage11/overhead-short-report.md</w:t>
      </w:r>
      <w:r>
        <w:t xml:space="preserve">).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5"/>
    <w:bookmarkStart w:id="129" w:name="качество-прогноза"/>
    <w:p>
      <w:pPr>
        <w:pStyle w:val="30"/>
      </w:pPr>
      <w:bookmarkStart w:id="274" w:name="GOSTHeading274"/>
      <w:r>
        <w:t xml:space="preserve">3.4.3 Качество прогноза</w:t>
      </w:r>
      <w:bookmarkEnd w:id="274"/>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3.7 содержит результаты периода настройки из</w:t>
      </w:r>
      <w:r>
        <w:t xml:space="preserve"> </w:t>
      </w:r>
      <w:r>
        <w:rPr>
          <w:rStyle w:val="VerbatimChar"/>
        </w:rPr>
        <w:t xml:space="preserve">docs/ml-report.md</w:t>
      </w:r>
      <w:r>
        <w:t xml:space="preserve">, Таблица 3.8 — итогового теста.</w:t>
      </w:r>
    </w:p>
    <w:bookmarkStart w:id="126" w:name="gost-tbl:ml_validation"/>
    <w:p>
      <w:pPr>
        <w:pStyle w:val="TableCaption"/>
      </w:pPr>
      <w:r>
        <w:t xml:space="preserve">Таблица 3.7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окрытие чтений на периоде настройки"/>
      </w:tblPr>
      <w:tblGrid>
        <w:gridCol w:w="2980"/>
        <w:gridCol w:w="1199"/>
        <w:gridCol w:w="2697"/>
        <w:gridCol w:w="2762"/>
      </w:tblGrid>
      <w:tr>
        <w:trPr>
          <w:tblHeader w:val="on"/>
          <w:cantSplit/>
        </w:trPr>
        <w:tc>
          <w:tcPr>
            <w:tcW w:w="298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2697"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76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6"/>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p>
    <w:p>
      <w:pPr>
        <w:pStyle w:val="a2"/>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 последние 4/7 наблюдаемого интервала — открыт один раз. Лучшая базовая оценка выбрана по покрытию на тестовом периоде. Результаты приведены в Таблице 3.8 (</w:t>
      </w:r>
      <w:r>
        <w:rPr>
          <w:rStyle w:val="VerbatimChar"/>
        </w:rPr>
        <w:t xml:space="preserve">build/stage11/trace-test-report.md</w:t>
      </w:r>
      <w:r>
        <w:t xml:space="preserve">).</w:t>
      </w:r>
    </w:p>
    <w:bookmarkStart w:id="127" w:name="gost-tbl:ml_test"/>
    <w:p>
      <w:pPr>
        <w:pStyle w:val="TableCaption"/>
      </w:pPr>
      <w:r>
        <w:t xml:space="preserve">Таблица 3.8 – Покрытие чтений на итоговом тесте трасс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итоговом тесте трасс"/>
      </w:tblPr>
      <w:tblGrid>
        <w:gridCol w:w="2701"/>
        <w:gridCol w:w="1199"/>
        <w:gridCol w:w="3200"/>
        <w:gridCol w:w="2538"/>
      </w:tblGrid>
      <w:tr>
        <w:trPr>
          <w:tblHeader w:val="on"/>
          <w:cantSplit/>
        </w:trPr>
        <w:tc>
          <w:tcPr>
            <w:tcW w:w="2701"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3200"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 на тесте</w:t>
            </w:r>
          </w:p>
        </w:tc>
        <w:tc>
          <w:tcPr>
            <w:tcW w:w="2538"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701"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3200" w:type="dxa"/>
          </w:tcPr>
          <w:p>
            <w:pPr>
              <w:pStyle w:val="Compact"/>
              <w:keepNext w:val="0"/>
              <w:pageBreakBefore w:val="0"/>
              <w:suppressAutoHyphens w:val="1"/>
              <w:spacing w:before="0" w:after="0" w:line="240" w:lineRule="auto"/>
              <w:ind w:firstLine="0" w:left="0" w:right="0"/>
              <w:jc w:val="both"/>
            </w:pPr>
            <w:r>
              <w:rPr>
                <w:sz w:val="24"/>
                <w:szCs w:val="24"/>
              </w:rPr>
              <w:t xml:space="preserve">EWMA: 0,642</w:t>
            </w:r>
          </w:p>
        </w:tc>
        <w:tc>
          <w:tcPr>
            <w:tcW w:w="2538" w:type="dxa"/>
          </w:tcPr>
          <w:p>
            <w:pPr>
              <w:pStyle w:val="Compact"/>
              <w:keepNext w:val="0"/>
              <w:pageBreakBefore w:val="0"/>
              <w:suppressAutoHyphens w:val="1"/>
              <w:spacing w:before="0" w:after="0" w:line="240" w:lineRule="auto"/>
              <w:ind w:firstLine="0" w:left="0" w:right="0"/>
              <w:jc w:val="both"/>
            </w:pPr>
            <w:r>
              <w:rPr>
                <w:sz w:val="24"/>
                <w:szCs w:val="24"/>
              </w:rPr>
              <w:t xml:space="preserve">+0,060 [0,055; 0,065]</w:t>
            </w:r>
          </w:p>
        </w:tc>
      </w:tr>
      <w:tr>
        <w:trPr>
          <w:cantSplit/>
        </w:trPr>
        <w:tc>
          <w:tcPr>
            <w:tcW w:w="2701"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3200"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0,739</w:t>
            </w:r>
          </w:p>
        </w:tc>
        <w:tc>
          <w:tcPr>
            <w:tcW w:w="2538" w:type="dxa"/>
          </w:tcPr>
          <w:p>
            <w:pPr>
              <w:pStyle w:val="Compact"/>
              <w:keepNext w:val="0"/>
              <w:pageBreakBefore w:val="0"/>
              <w:suppressAutoHyphens w:val="1"/>
              <w:spacing w:before="0" w:after="0" w:line="240" w:lineRule="auto"/>
              <w:ind w:firstLine="0" w:left="0" w:right="0"/>
              <w:jc w:val="both"/>
            </w:pPr>
            <w:r>
              <w:rPr>
                <w:sz w:val="24"/>
                <w:szCs w:val="24"/>
              </w:rPr>
              <w:t xml:space="preserve">+0,081 [0,069; 0,095]</w:t>
            </w:r>
          </w:p>
        </w:tc>
      </w:tr>
      <w:tr>
        <w:trPr>
          <w:cantSplit/>
        </w:trPr>
        <w:tc>
          <w:tcPr>
            <w:tcW w:w="2701"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3200"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0,874</w:t>
            </w:r>
          </w:p>
        </w:tc>
        <w:tc>
          <w:tcPr>
            <w:tcW w:w="2538" w:type="dxa"/>
          </w:tcPr>
          <w:p>
            <w:pPr>
              <w:pStyle w:val="Compact"/>
              <w:keepNext w:val="0"/>
              <w:pageBreakBefore w:val="0"/>
              <w:suppressAutoHyphens w:val="1"/>
              <w:spacing w:before="0" w:after="0" w:line="240" w:lineRule="auto"/>
              <w:ind w:firstLine="0" w:left="0" w:right="0"/>
              <w:jc w:val="both"/>
            </w:pPr>
            <w:r>
              <w:rPr>
                <w:sz w:val="24"/>
                <w:szCs w:val="24"/>
              </w:rPr>
              <w:t xml:space="preserve">+0,004 [−0,003; 0,010]</w:t>
            </w:r>
          </w:p>
        </w:tc>
      </w:tr>
      <w:tr>
        <w:trPr>
          <w:cantSplit/>
        </w:trPr>
        <w:tc>
          <w:tcPr>
            <w:tcW w:w="2701"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3200"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538"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На Meta CDN и Docker Registry модель превосходит каждую базовую оценку. На IBM COS 000 она превосходит EWMA на 0,016 [0,010; 0,022] и частоту на 0,009 [0,002; 0,015], а отличие от давности статистически не значимо. Оценка Брайера модели ниже, чем у EWMA, на всех трёх трассах: 0,0031 против 0,0058, 0,0050 против 0,0059 и 0,0070 против 0,0085. Доля чтений объектов без предшествующей истории не превышает 4,3 %; без этих строк выигрыш на IBM COS 000 относительно давности составляет 0,013 [0,007; 0,018].</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End w:id="129"/>
    <w:bookmarkStart w:id="132" w:name="эффективность-размещения"/>
    <w:p>
      <w:pPr>
        <w:pStyle w:val="30"/>
      </w:pPr>
      <w:bookmarkStart w:id="275" w:name="GOSTHeading275"/>
      <w:r>
        <w:t xml:space="preserve">3.4.4 Эффективность размещения</w:t>
      </w:r>
      <w:bookmarkEnd w:id="275"/>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31" w:name="gost-tbl:budget_effect"/>
    <w:p>
      <w:pPr>
        <w:pStyle w:val="TableCaption"/>
      </w:pPr>
      <w:r>
        <w:t xml:space="preserve">Таблица 3.11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w:t>
      </w:r>
      <w:r>
        <w:rPr>
          <w:rStyle w:val="VerbatimChar"/>
        </w:rPr>
        <w:t xml:space="preserve">build/stage11/stand-main-report.md</w:t>
      </w:r>
      <w:r>
        <w:t xml:space="preserve">).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32"/>
    <w:bookmarkEnd w:id="133"/>
    <w:bookmarkStart w:id="137" w:name="руководство-администратора"/>
    <w:p>
      <w:pPr>
        <w:pStyle w:val="21"/>
      </w:pPr>
      <w:bookmarkStart w:id="276" w:name="GOSTHeading276"/>
      <w:r>
        <w:t xml:space="preserve">3.5 Руководство администратора</w:t>
      </w:r>
      <w:bookmarkEnd w:id="276"/>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4" w:name="настройка-и-подтверждение-плана"/>
    <w:p>
      <w:pPr>
        <w:pStyle w:val="30"/>
      </w:pPr>
      <w:bookmarkStart w:id="277" w:name="GOSTHeading277"/>
      <w:r>
        <w:t xml:space="preserve">3.5.1 Настройка и подтверждение плана</w:t>
      </w:r>
      <w:bookmarkEnd w:id="277"/>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4"/>
    <w:bookmarkStart w:id="136" w:name="контроль-и-обработка-ошибок"/>
    <w:p>
      <w:pPr>
        <w:pStyle w:val="30"/>
      </w:pPr>
      <w:bookmarkStart w:id="278" w:name="GOSTHeading278"/>
      <w:r>
        <w:t xml:space="preserve">3.5.2 Контроль и обработка ошибок</w:t>
      </w:r>
      <w:bookmarkEnd w:id="278"/>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bookmarkEnd w:id="136"/>
    <w:bookmarkEnd w:id="137"/>
    <w:bookmarkStart w:id="138" w:name="выводы-по-технологическому-разделу"/>
    <w:p>
      <w:pPr>
        <w:pStyle w:val="21"/>
        <w:spacing w:before="480"/>
      </w:pPr>
      <w:bookmarkStart w:id="279" w:name="GOSTHeading279"/>
      <w:r>
        <w:t xml:space="preserve">3.6 Выводы по технологическому разделу</w:t>
      </w:r>
      <w:bookmarkEnd w:id="279"/>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bookmarkEnd w:id="138"/>
    <w:bookmarkEnd w:id="139"/>
    <w:bookmarkStart w:id="140" w:name="заключение"/>
    <w:p>
      <w:pPr>
        <w:pStyle w:val="GOSTStructuralHeading"/>
      </w:pPr>
      <w:bookmarkStart w:id="280" w:name="GOSTHeading280"/>
      <w:r>
        <w:t xml:space="preserve">ЗАКЛЮЧЕНИЕ</w:t>
      </w:r>
      <w:bookmarkEnd w:id="280"/>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на итоговом тесте реальных трасс при подборе параметров только на периоде настройки модель подтвердила преимущество в покрытии чтений на Meta CDN и Docker Registry.</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итоговом тестовом периоде реальных трасс, после подбора параметров только на периоде настройки, модель обеспечила большее покрытие будущих чтений, чем лучшая базовая оценка: 0,702 против 0,642 на Meta CDN и 0,820 против 0,739 на IBM Docker Registry. На IBM Cloud Object Storage (далее IBM COS), набор 000, модель превзошла EWMA и частоту, а отличие от давности статистически не значимо. Это подтверждает пользу прогноза для разреженного реального спроса. На контейнерном стенде при смене набора модель снизила среднюю задержку чтения относительно EWMA на 21,5 % и p95 на 12,0 %. При работе СППР средняя задержка чтения не выросла, p95 увеличился на 1–2 мс; обучение и экспорт модели заняли 41–49 с в квоте 2 ядра и 2 ГиБ.</w:t>
      </w:r>
    </w:p>
    <w:p>
      <w:pPr>
        <w:pStyle w:val="a2"/>
      </w:pPr>
      <w:r>
        <w:t xml:space="preserve">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5" w:name="список-использованных-источников"/>
    <w:p>
      <w:pPr>
        <w:pStyle w:val="GOSTStructuralHeading"/>
      </w:pPr>
      <w:bookmarkStart w:id="281" w:name="GOSTHeading281"/>
      <w:r>
        <w:t xml:space="preserve">СПИСОК ИСПОЛЬЗОВАННЫХ ИСТОЧНИКОВ</w:t>
      </w:r>
      <w:bookmarkEnd w:id="281"/>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202">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203">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204">
        <w:r>
          <w:rPr>
            <w:rStyle w:val="af4"/>
          </w:rPr>
          <w:t xml:space="preserve">https://​kafka.​apache.​org/​41/​design/​design/​</w:t>
        </w:r>
      </w:hyperlink>
      <w:r>
        <w:t xml:space="preserve"> </w:t>
      </w:r>
      <w:r>
        <w:t xml:space="preserve">(дата обращения: 29.10.2026).</w:t>
      </w:r>
    </w:p>
    <w:bookmarkEnd w:id="205"/>
    <w:bookmarkStart w:id="206" w:name="приложения"/>
    <w:p>
      <w:pPr>
        <w:pStyle w:val="GOSTStructuralHeading"/>
      </w:pPr>
      <w:bookmarkStart w:id="282" w:name="GOSTHeading282"/>
      <w:r>
        <w:t xml:space="preserve">ПРИЛОЖЕНИЯ</w:t>
      </w:r>
      <w:bookmarkEnd w:id="282"/>
    </w:p>
    <w:p>
      <w:pPr>
        <w:pStyle w:val="FirstParagraph"/>
      </w:pPr>
      <w:r>
        <w:t xml:space="preserve">Приложение А – Модель данных метаданных и СППР</w:t>
      </w:r>
    </w:p>
    <w:bookmarkEnd w:id="206"/>
    <w:bookmarkStart w:id="211" w:name="X6f0523c438b8ca68de781e168123afa45dd506f"/>
    <w:p>
      <w:pPr>
        <w:pStyle w:val="GOSTAppendixHeading"/>
      </w:pPr>
      <w:bookmarkStart w:id="283" w:name="GOSTHeading283"/>
      <w:r>
        <w:t xml:space="preserve">Приложение А</w:t>
      </w:r>
      <w:bookmarkEnd w:id="283"/>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10" w:name="gost-fig:er"/>
    <w:p>
      <w:pPr>
        <w:pStyle w:val="CaptionedFigure"/>
        <w:keepNext w:val="1"/>
      </w:pPr>
      <w:r>
        <w:drawing>
          <wp:inline>
            <wp:extent cx="4732739" cy="6840000"/>
            <wp:effectExtent b="0" l="0" r="0" t="0"/>
            <wp:docPr descr="Модель данных метаданных и СППР" title="" id="208" name="Picture"/>
            <a:graphic>
              <a:graphicData uri="http://schemas.openxmlformats.org/drawingml/2006/picture">
                <pic:pic>
                  <pic:nvPicPr>
                    <pic:cNvPr descr="images/er.png" id="209" name="Picture"/>
                    <pic:cNvPicPr>
                      <a:picLocks noChangeArrowheads="1" noChangeAspect="1"/>
                    </pic:cNvPicPr>
                  </pic:nvPicPr>
                  <pic:blipFill>
                    <a:blip r:embed="rId207"/>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10"/>
    <w:bookmarkEnd w:id="211"/>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7" Target="media/rId207.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202" Target="https://go.dev/doc/effective_go#concurrency" TargetMode="External" /><Relationship Type="http://schemas.openxmlformats.org/officeDocument/2006/relationships/hyperlink" Id="rId166" Target="https://iotta.snia.org/tracetypes/17" TargetMode="External" /><Relationship Type="http://schemas.openxmlformats.org/officeDocument/2006/relationships/hyperlink" Id="rId204" Target="https://kafka.apache.org/41/design/design/"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3" Target="https://www.postgresql.org/docs/16/sql-insert.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202" Target="https://go.dev/doc/effective_go#concurrency" TargetMode="External" /><Relationship Type="http://schemas.openxmlformats.org/officeDocument/2006/relationships/hyperlink" Id="rId166" Target="https://iotta.snia.org/tracetypes/17" TargetMode="External" /><Relationship Type="http://schemas.openxmlformats.org/officeDocument/2006/relationships/hyperlink" Id="rId204" Target="https://kafka.apache.org/41/design/design/"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3" Target="https://www.postgresql.org/docs/16/sql-insert.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2026-10-29T04:25:59Z</dcterms:created>
  <dcterms:modified xsi:type="dcterms:W3CDTF">2026-10-29T04:25:59Z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