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7.png" ContentType="image/png"/>
  <Override PartName="/word/media/rId82.png" ContentType="image/png"/>
  <Override PartName="/word/media/rId91.png" ContentType="image/png"/>
  <Override PartName="/word/media/rId203.png" ContentType="image/png"/>
  <Override PartName="/word/media/rId57.png" ContentType="image/png"/>
  <Override PartName="/word/media/rId71.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208">
            <w:r>
              <w:t>ВВЕДЕНИЕ</w:t>
            </w:r>
          </w:hyperlink>
          <w:r>
            <w:tab/>
          </w:r>
          <w:fldSimple w:instr="PAGEREF &quot;GOSTHeading208&quot; \h" w:dirty="true">
            <w:r>
              <w:t>—</w:t>
            </w:r>
          </w:fldSimple>
        </w:p>
        <w:p>
          <w:pPr>
            <w:pStyle w:val="10"/>
          </w:pPr>
          <w:hyperlink w:anchor="GOSTHeading209">
            <w:r>
              <w:t>ЛИТЕРАТУРНЫЙ ОБЗОР</w:t>
            </w:r>
          </w:hyperlink>
          <w:r>
            <w:tab/>
          </w:r>
          <w:fldSimple w:instr="PAGEREF &quot;GOSTHeading209&quot; \h" w:dirty="true">
            <w:r>
              <w:t>—</w:t>
            </w:r>
          </w:fldSimple>
        </w:p>
        <w:p>
          <w:pPr>
            <w:pStyle w:val="10"/>
          </w:pPr>
          <w:hyperlink w:anchor="GOSTHeading210">
            <w:r>
              <w:t>1 ИССЛЕДОВАТЕЛЬСКИЙ РАЗДЕЛ</w:t>
            </w:r>
          </w:hyperlink>
          <w:r>
            <w:tab/>
          </w:r>
          <w:fldSimple w:instr="PAGEREF &quot;GOSTHeading210&quot; \h" w:dirty="true">
            <w:r>
              <w:t>—</w:t>
            </w:r>
          </w:fldSimple>
        </w:p>
        <w:p>
          <w:pPr>
            <w:pStyle w:val="22"/>
          </w:pPr>
          <w:hyperlink w:anchor="GOSTHeading211">
            <w:r>
              <w:t>1.1 Анализ предметной области</w:t>
            </w:r>
          </w:hyperlink>
          <w:r>
            <w:tab/>
          </w:r>
          <w:fldSimple w:instr="PAGEREF &quot;GOSTHeading211&quot; \h" w:dirty="true">
            <w:r>
              <w:t>—</w:t>
            </w:r>
          </w:fldSimple>
        </w:p>
        <w:p>
          <w:pPr>
            <w:pStyle w:val="31"/>
          </w:pPr>
          <w:hyperlink w:anchor="GOSTHeading212">
            <w:r>
              <w:t>1.1.1 Предметная область и участники процесса</w:t>
            </w:r>
          </w:hyperlink>
          <w:r>
            <w:tab/>
          </w:r>
          <w:fldSimple w:instr="PAGEREF &quot;GOSTHeading212&quot; \h" w:dirty="true">
            <w:r>
              <w:t>—</w:t>
            </w:r>
          </w:fldSimple>
        </w:p>
        <w:p>
          <w:pPr>
            <w:pStyle w:val="31"/>
          </w:pPr>
          <w:hyperlink w:anchor="GOSTHeading213">
            <w:r>
              <w:t>1.1.2 Объектная модель и единица размещения</w:t>
            </w:r>
          </w:hyperlink>
          <w:r>
            <w:tab/>
          </w:r>
          <w:fldSimple w:instr="PAGEREF &quot;GOSTHeading213&quot; \h" w:dirty="true">
            <w:r>
              <w:t>—</w:t>
            </w:r>
          </w:fldSimple>
        </w:p>
        <w:p>
          <w:pPr>
            <w:pStyle w:val="31"/>
          </w:pPr>
          <w:hyperlink w:anchor="GOSTHeading214">
            <w:r>
              <w:t>1.1.3 Классы хранения и характеристики ресурсов</w:t>
            </w:r>
          </w:hyperlink>
          <w:r>
            <w:tab/>
          </w:r>
          <w:fldSimple w:instr="PAGEREF &quot;GOSTHeading214&quot; \h" w:dirty="true">
            <w:r>
              <w:t>—</w:t>
            </w:r>
          </w:fldSimple>
        </w:p>
        <w:p>
          <w:pPr>
            <w:pStyle w:val="31"/>
          </w:pPr>
          <w:hyperlink w:anchor="GOSTHeading215">
            <w:r>
              <w:t>1.1.4 Востребованность и история обращений</w:t>
            </w:r>
          </w:hyperlink>
          <w:r>
            <w:tab/>
          </w:r>
          <w:fldSimple w:instr="PAGEREF &quot;GOSTHeading215&quot; \h" w:dirty="true">
            <w:r>
              <w:t>—</w:t>
            </w:r>
          </w:fldSimple>
        </w:p>
        <w:p>
          <w:pPr>
            <w:pStyle w:val="31"/>
          </w:pPr>
          <w:hyperlink w:anchor="GOSTHeading216">
            <w:r>
              <w:t>1.1.5 Способы управления размещением</w:t>
            </w:r>
          </w:hyperlink>
          <w:r>
            <w:tab/>
          </w:r>
          <w:fldSimple w:instr="PAGEREF &quot;GOSTHeading216&quot; \h" w:dirty="true">
            <w:r>
              <w:t>—</w:t>
            </w:r>
          </w:fldSimple>
        </w:p>
        <w:p>
          <w:pPr>
            <w:pStyle w:val="31"/>
          </w:pPr>
          <w:hyperlink w:anchor="GOSTHeading217">
            <w:r>
              <w:t>1.1.6 Ресурсные ограничения и затраты</w:t>
            </w:r>
          </w:hyperlink>
          <w:r>
            <w:tab/>
          </w:r>
          <w:fldSimple w:instr="PAGEREF &quot;GOSTHeading217&quot; \h" w:dirty="true">
            <w:r>
              <w:t>—</w:t>
            </w:r>
          </w:fldSimple>
        </w:p>
        <w:p>
          <w:pPr>
            <w:pStyle w:val="31"/>
          </w:pPr>
          <w:hyperlink w:anchor="GOSTHeading218">
            <w:r>
              <w:t>1.1.7 Согласованность и безопасное перемещение</w:t>
            </w:r>
          </w:hyperlink>
          <w:r>
            <w:tab/>
          </w:r>
          <w:fldSimple w:instr="PAGEREF &quot;GOSTHeading218&quot; \h" w:dirty="true">
            <w:r>
              <w:t>—</w:t>
            </w:r>
          </w:fldSimple>
        </w:p>
        <w:p>
          <w:pPr>
            <w:pStyle w:val="31"/>
          </w:pPr>
          <w:hyperlink w:anchor="GOSTHeading219">
            <w:r>
              <w:t>1.1.8 Источники данных и условия исследования</w:t>
            </w:r>
          </w:hyperlink>
          <w:r>
            <w:tab/>
          </w:r>
          <w:fldSimple w:instr="PAGEREF &quot;GOSTHeading219&quot; \h" w:dirty="true">
            <w:r>
              <w:t>—</w:t>
            </w:r>
          </w:fldSimple>
        </w:p>
        <w:p>
          <w:pPr>
            <w:pStyle w:val="22"/>
          </w:pPr>
          <w:hyperlink w:anchor="GOSTHeading220">
            <w:r>
              <w:t>1.2 Анализ существующих решений</w:t>
            </w:r>
          </w:hyperlink>
          <w:r>
            <w:tab/>
          </w:r>
          <w:fldSimple w:instr="PAGEREF &quot;GOSTHeading220&quot; \h" w:dirty="true">
            <w:r>
              <w:t>—</w:t>
            </w:r>
          </w:fldSimple>
        </w:p>
        <w:p>
          <w:pPr>
            <w:pStyle w:val="31"/>
          </w:pPr>
          <w:hyperlink w:anchor="GOSTHeading221">
            <w:r>
              <w:t>1.2.1 Анализ критериев</w:t>
            </w:r>
          </w:hyperlink>
          <w:r>
            <w:tab/>
          </w:r>
          <w:fldSimple w:instr="PAGEREF &quot;GOSTHeading221&quot; \h" w:dirty="true">
            <w:r>
              <w:t>—</w:t>
            </w:r>
          </w:fldSimple>
        </w:p>
        <w:p>
          <w:pPr>
            <w:pStyle w:val="31"/>
          </w:pPr>
          <w:hyperlink w:anchor="GOSTHeading222">
            <w:r>
              <w:t>1.2.2 Обзор аналогов</w:t>
            </w:r>
          </w:hyperlink>
          <w:r>
            <w:tab/>
          </w:r>
          <w:fldSimple w:instr="PAGEREF &quot;GOSTHeading222&quot; \h" w:dirty="true">
            <w:r>
              <w:t>—</w:t>
            </w:r>
          </w:fldSimple>
        </w:p>
        <w:p>
          <w:pPr>
            <w:pStyle w:val="31"/>
          </w:pPr>
          <w:hyperlink w:anchor="GOSTHeading223">
            <w:r>
              <w:t>1.2.3 Сопоставление аналогов</w:t>
            </w:r>
          </w:hyperlink>
          <w:r>
            <w:tab/>
          </w:r>
          <w:fldSimple w:instr="PAGEREF &quot;GOSTHeading223&quot; \h" w:dirty="true">
            <w:r>
              <w:t>—</w:t>
            </w:r>
          </w:fldSimple>
        </w:p>
        <w:p>
          <w:pPr>
            <w:pStyle w:val="22"/>
          </w:pPr>
          <w:hyperlink w:anchor="GOSTHeading224">
            <w:r>
              <w:t>1.3 Требования к разрабатываемой системе</w:t>
            </w:r>
          </w:hyperlink>
          <w:r>
            <w:tab/>
          </w:r>
          <w:fldSimple w:instr="PAGEREF &quot;GOSTHeading224&quot; \h" w:dirty="true">
            <w:r>
              <w:t>—</w:t>
            </w:r>
          </w:fldSimple>
        </w:p>
        <w:p>
          <w:pPr>
            <w:pStyle w:val="31"/>
          </w:pPr>
          <w:hyperlink w:anchor="GOSTHeading225">
            <w:r>
              <w:t>1.3.1 Назначение и границы разрабатываемого расширения</w:t>
            </w:r>
          </w:hyperlink>
          <w:r>
            <w:tab/>
          </w:r>
          <w:fldSimple w:instr="PAGEREF &quot;GOSTHeading225&quot; \h" w:dirty="true">
            <w:r>
              <w:t>—</w:t>
            </w:r>
          </w:fldSimple>
        </w:p>
        <w:p>
          <w:pPr>
            <w:pStyle w:val="31"/>
          </w:pPr>
          <w:hyperlink w:anchor="GOSTHeading226">
            <w:r>
              <w:t>1.3.2 Требования к выполняемым функциям</w:t>
            </w:r>
          </w:hyperlink>
          <w:r>
            <w:tab/>
          </w:r>
          <w:fldSimple w:instr="PAGEREF &quot;GOSTHeading226&quot; \h" w:dirty="true">
            <w:r>
              <w:t>—</w:t>
            </w:r>
          </w:fldSimple>
        </w:p>
        <w:p>
          <w:pPr>
            <w:pStyle w:val="31"/>
          </w:pPr>
          <w:hyperlink w:anchor="GOSTHeading227">
            <w:r>
              <w:t>1.3.3 Требования к надёжности и сохранности данных</w:t>
            </w:r>
          </w:hyperlink>
          <w:r>
            <w:tab/>
          </w:r>
          <w:fldSimple w:instr="PAGEREF &quot;GOSTHeading227&quot; \h" w:dirty="true">
            <w:r>
              <w:t>—</w:t>
            </w:r>
          </w:fldSimple>
        </w:p>
        <w:p>
          <w:pPr>
            <w:pStyle w:val="31"/>
          </w:pPr>
          <w:hyperlink w:anchor="GOSTHeading228">
            <w:r>
              <w:t>1.3.4 Требования к доступу и интерфейсу администратора</w:t>
            </w:r>
          </w:hyperlink>
          <w:r>
            <w:tab/>
          </w:r>
          <w:fldSimple w:instr="PAGEREF &quot;GOSTHeading228&quot; \h" w:dirty="true">
            <w:r>
              <w:t>—</w:t>
            </w:r>
          </w:fldSimple>
        </w:p>
        <w:p>
          <w:pPr>
            <w:pStyle w:val="31"/>
          </w:pPr>
          <w:hyperlink w:anchor="GOSTHeading229">
            <w:r>
              <w:t>1.3.5 Требования к ресурсам, совместимости и контролю выполнения</w:t>
            </w:r>
          </w:hyperlink>
          <w:r>
            <w:tab/>
          </w:r>
          <w:fldSimple w:instr="PAGEREF &quot;GOSTHeading229&quot; \h" w:dirty="true">
            <w:r>
              <w:t>—</w:t>
            </w:r>
          </w:fldSimple>
        </w:p>
        <w:p>
          <w:pPr>
            <w:pStyle w:val="31"/>
          </w:pPr>
          <w:hyperlink w:anchor="GOSTHeading230">
            <w:r>
              <w:t>1.3.6 Требования к жизненному циклу модели</w:t>
            </w:r>
          </w:hyperlink>
          <w:r>
            <w:tab/>
          </w:r>
          <w:fldSimple w:instr="PAGEREF &quot;GOSTHeading230&quot; \h" w:dirty="true">
            <w:r>
              <w:t>—</w:t>
            </w:r>
          </w:fldSimple>
        </w:p>
        <w:p>
          <w:pPr>
            <w:pStyle w:val="31"/>
          </w:pPr>
          <w:hyperlink w:anchor="GOSTHeading231">
            <w:r>
              <w:t>1.3.7 Требования к проверке эффективности и минимальному результату</w:t>
            </w:r>
          </w:hyperlink>
          <w:r>
            <w:tab/>
          </w:r>
          <w:fldSimple w:instr="PAGEREF &quot;GOSTHeading231&quot; \h" w:dirty="true">
            <w:r>
              <w:t>—</w:t>
            </w:r>
          </w:fldSimple>
        </w:p>
        <w:p>
          <w:pPr>
            <w:pStyle w:val="22"/>
          </w:pPr>
          <w:hyperlink w:anchor="GOSTHeading232">
            <w:r>
              <w:t>1.4 Выводы по исследовательскому разделу</w:t>
            </w:r>
          </w:hyperlink>
          <w:r>
            <w:tab/>
          </w:r>
          <w:fldSimple w:instr="PAGEREF &quot;GOSTHeading232&quot; \h" w:dirty="true">
            <w:r>
              <w:t>—</w:t>
            </w:r>
          </w:fldSimple>
        </w:p>
        <w:p>
          <w:pPr>
            <w:pStyle w:val="10"/>
          </w:pPr>
          <w:hyperlink w:anchor="GOSTHeading233">
            <w:r>
              <w:t>2 АНАЛИТИЧЕСКИЙ РАЗДЕЛ</w:t>
            </w:r>
          </w:hyperlink>
          <w:r>
            <w:tab/>
          </w:r>
          <w:fldSimple w:instr="PAGEREF &quot;GOSTHeading233&quot; \h" w:dirty="true">
            <w:r>
              <w:t>—</w:t>
            </w:r>
          </w:fldSimple>
        </w:p>
        <w:p>
          <w:pPr>
            <w:pStyle w:val="22"/>
          </w:pPr>
          <w:hyperlink w:anchor="GOSTHeading234">
            <w:r>
              <w:t>2.1 Математическое и алгоритмическое обеспечение</w:t>
            </w:r>
          </w:hyperlink>
          <w:r>
            <w:tab/>
          </w:r>
          <w:fldSimple w:instr="PAGEREF &quot;GOSTHeading234&quot; \h" w:dirty="true">
            <w:r>
              <w:t>—</w:t>
            </w:r>
          </w:fldSimple>
        </w:p>
        <w:p>
          <w:pPr>
            <w:pStyle w:val="31"/>
          </w:pPr>
          <w:hyperlink w:anchor="GOSTHeading235">
            <w:r>
              <w:t>2.1.1 Постановка задачи размещения</w:t>
            </w:r>
          </w:hyperlink>
          <w:r>
            <w:tab/>
          </w:r>
          <w:fldSimple w:instr="PAGEREF &quot;GOSTHeading235&quot; \h" w:dirty="true">
            <w:r>
              <w:t>—</w:t>
            </w:r>
          </w:fldSimple>
        </w:p>
        <w:p>
          <w:pPr>
            <w:pStyle w:val="31"/>
          </w:pPr>
          <w:hyperlink w:anchor="GOSTHeading236">
            <w:r>
              <w:t>2.1.2 Модель прогнозирования востребованности</w:t>
            </w:r>
          </w:hyperlink>
          <w:r>
            <w:tab/>
          </w:r>
          <w:fldSimple w:instr="PAGEREF &quot;GOSTHeading236&quot; \h" w:dirty="true">
            <w:r>
              <w:t>—</w:t>
            </w:r>
          </w:fldSimple>
        </w:p>
        <w:p>
          <w:pPr>
            <w:pStyle w:val="31"/>
          </w:pPr>
          <w:hyperlink w:anchor="GOSTHeading237">
            <w:r>
              <w:t>2.1.3 Обработка данных и формирование обучающих примеров</w:t>
            </w:r>
          </w:hyperlink>
          <w:r>
            <w:tab/>
          </w:r>
          <w:fldSimple w:instr="PAGEREF &quot;GOSTHeading237&quot; \h" w:dirty="true">
            <w:r>
              <w:t>—</w:t>
            </w:r>
          </w:fldSimple>
        </w:p>
        <w:p>
          <w:pPr>
            <w:pStyle w:val="31"/>
          </w:pPr>
          <w:hyperlink w:anchor="GOSTHeading238">
            <w:r>
              <w:t>2.1.4 Обучение, проверка и ввод модели в работу</w:t>
            </w:r>
          </w:hyperlink>
          <w:r>
            <w:tab/>
          </w:r>
          <w:fldSimple w:instr="PAGEREF &quot;GOSTHeading238&quot; \h" w:dirty="true">
            <w:r>
              <w:t>—</w:t>
            </w:r>
          </w:fldSimple>
        </w:p>
        <w:p>
          <w:pPr>
            <w:pStyle w:val="31"/>
          </w:pPr>
          <w:hyperlink w:anchor="GOSTHeading239">
            <w:r>
              <w:t>2.1.5 Алгоритм формирования плана размещения</w:t>
            </w:r>
          </w:hyperlink>
          <w:r>
            <w:tab/>
          </w:r>
          <w:fldSimple w:instr="PAGEREF &quot;GOSTHeading239&quot; \h" w:dirty="true">
            <w:r>
              <w:t>—</w:t>
            </w:r>
          </w:fldSimple>
        </w:p>
        <w:p>
          <w:pPr>
            <w:pStyle w:val="31"/>
          </w:pPr>
          <w:hyperlink w:anchor="GOSTHeading240">
            <w:r>
              <w:t>2.1.6 Объяснение рекомендаций</w:t>
            </w:r>
          </w:hyperlink>
          <w:r>
            <w:tab/>
          </w:r>
          <w:fldSimple w:instr="PAGEREF &quot;GOSTHeading240&quot; \h" w:dirty="true">
            <w:r>
              <w:t>—</w:t>
            </w:r>
          </w:fldSimple>
        </w:p>
        <w:p>
          <w:pPr>
            <w:pStyle w:val="31"/>
          </w:pPr>
          <w:hyperlink w:anchor="GOSTHeading241">
            <w:r>
              <w:t>2.1.7 Протокол безопасного переноса</w:t>
            </w:r>
          </w:hyperlink>
          <w:r>
            <w:tab/>
          </w:r>
          <w:fldSimple w:instr="PAGEREF &quot;GOSTHeading241&quot; \h" w:dirty="true">
            <w:r>
              <w:t>—</w:t>
            </w:r>
          </w:fldSimple>
        </w:p>
        <w:p>
          <w:pPr>
            <w:pStyle w:val="22"/>
          </w:pPr>
          <w:hyperlink w:anchor="GOSTHeading242">
            <w:r>
              <w:t>2.2 Модели процессов</w:t>
            </w:r>
          </w:hyperlink>
          <w:r>
            <w:tab/>
          </w:r>
          <w:fldSimple w:instr="PAGEREF &quot;GOSTHeading242&quot; \h" w:dirty="true">
            <w:r>
              <w:t>—</w:t>
            </w:r>
          </w:fldSimple>
        </w:p>
        <w:p>
          <w:pPr>
            <w:pStyle w:val="31"/>
          </w:pPr>
          <w:hyperlink w:anchor="GOSTHeading243">
            <w:r>
              <w:t>2.2.1 Исходный процесс управления размещением</w:t>
            </w:r>
          </w:hyperlink>
          <w:r>
            <w:tab/>
          </w:r>
          <w:fldSimple w:instr="PAGEREF &quot;GOSTHeading243&quot; \h" w:dirty="true">
            <w:r>
              <w:t>—</w:t>
            </w:r>
          </w:fldSimple>
        </w:p>
        <w:p>
          <w:pPr>
            <w:pStyle w:val="31"/>
          </w:pPr>
          <w:hyperlink w:anchor="GOSTHeading244">
            <w:r>
              <w:t>2.2.2 Проектируемый процесс</w:t>
            </w:r>
          </w:hyperlink>
          <w:r>
            <w:tab/>
          </w:r>
          <w:fldSimple w:instr="PAGEREF &quot;GOSTHeading244&quot; \h" w:dirty="true">
            <w:r>
              <w:t>—</w:t>
            </w:r>
          </w:fldSimple>
        </w:p>
        <w:p>
          <w:pPr>
            <w:pStyle w:val="31"/>
          </w:pPr>
          <w:hyperlink w:anchor="GOSTHeading245">
            <w:r>
              <w:t>2.2.3 Сравнение процессов</w:t>
            </w:r>
          </w:hyperlink>
          <w:r>
            <w:tab/>
          </w:r>
          <w:fldSimple w:instr="PAGEREF &quot;GOSTHeading245&quot; \h" w:dirty="true">
            <w:r>
              <w:t>—</w:t>
            </w:r>
          </w:fldSimple>
        </w:p>
        <w:p>
          <w:pPr>
            <w:pStyle w:val="22"/>
          </w:pPr>
          <w:hyperlink w:anchor="GOSTHeading246">
            <w:r>
              <w:t>2.3 Архитектура системы</w:t>
            </w:r>
          </w:hyperlink>
          <w:r>
            <w:tab/>
          </w:r>
          <w:fldSimple w:instr="PAGEREF &quot;GOSTHeading246&quot; \h" w:dirty="true">
            <w:r>
              <w:t>—</w:t>
            </w:r>
          </w:fldSimple>
        </w:p>
        <w:p>
          <w:pPr>
            <w:pStyle w:val="31"/>
          </w:pPr>
          <w:hyperlink w:anchor="GOSTHeading247">
            <w:r>
              <w:t>2.3.1 Изменения компонентов OpenS3</w:t>
            </w:r>
          </w:hyperlink>
          <w:r>
            <w:tab/>
          </w:r>
          <w:fldSimple w:instr="PAGEREF &quot;GOSTHeading247&quot; \h" w:dirty="true">
            <w:r>
              <w:t>—</w:t>
            </w:r>
          </w:fldSimple>
        </w:p>
        <w:p>
          <w:pPr>
            <w:pStyle w:val="31"/>
          </w:pPr>
          <w:hyperlink w:anchor="GOSTHeading248">
            <w:r>
              <w:t>2.3.2 Компонентная модель</w:t>
            </w:r>
          </w:hyperlink>
          <w:r>
            <w:tab/>
          </w:r>
          <w:fldSimple w:instr="PAGEREF &quot;GOSTHeading248&quot; \h" w:dirty="true">
            <w:r>
              <w:t>—</w:t>
            </w:r>
          </w:fldSimple>
        </w:p>
        <w:p>
          <w:pPr>
            <w:pStyle w:val="31"/>
          </w:pPr>
          <w:hyperlink w:anchor="GOSTHeading249">
            <w:r>
              <w:t>2.3.3 Модель данных</w:t>
            </w:r>
          </w:hyperlink>
          <w:r>
            <w:tab/>
          </w:r>
          <w:fldSimple w:instr="PAGEREF &quot;GOSTHeading249&quot; \h" w:dirty="true">
            <w:r>
              <w:t>—</w:t>
            </w:r>
          </w:fldSimple>
        </w:p>
        <w:p>
          <w:pPr>
            <w:pStyle w:val="31"/>
          </w:pPr>
          <w:hyperlink w:anchor="GOSTHeading250">
            <w:r>
              <w:t>2.3.4 Анализ архитектуры</w:t>
            </w:r>
          </w:hyperlink>
          <w:r>
            <w:tab/>
          </w:r>
          <w:fldSimple w:instr="PAGEREF &quot;GOSTHeading250&quot; \h" w:dirty="true">
            <w:r>
              <w:t>—</w:t>
            </w:r>
          </w:fldSimple>
        </w:p>
        <w:p>
          <w:pPr>
            <w:pStyle w:val="31"/>
          </w:pPr>
          <w:hyperlink w:anchor="GOSTHeading251">
            <w:r>
              <w:t>2.3.5 Соответствие требованиям</w:t>
            </w:r>
          </w:hyperlink>
          <w:r>
            <w:tab/>
          </w:r>
          <w:fldSimple w:instr="PAGEREF &quot;GOSTHeading251&quot; \h" w:dirty="true">
            <w:r>
              <w:t>—</w:t>
            </w:r>
          </w:fldSimple>
        </w:p>
        <w:p>
          <w:pPr>
            <w:pStyle w:val="22"/>
          </w:pPr>
          <w:hyperlink w:anchor="GOSTHeading252">
            <w:r>
              <w:t>2.4 Обоснование инструментов реализации</w:t>
            </w:r>
          </w:hyperlink>
          <w:r>
            <w:tab/>
          </w:r>
          <w:fldSimple w:instr="PAGEREF &quot;GOSTHeading252&quot; \h" w:dirty="true">
            <w:r>
              <w:t>—</w:t>
            </w:r>
          </w:fldSimple>
        </w:p>
        <w:p>
          <w:pPr>
            <w:pStyle w:val="22"/>
          </w:pPr>
          <w:hyperlink w:anchor="GOSTHeading253">
            <w:r>
              <w:t>2.5 Выводы по аналитическому разделу</w:t>
            </w:r>
          </w:hyperlink>
          <w:r>
            <w:tab/>
          </w:r>
          <w:fldSimple w:instr="PAGEREF &quot;GOSTHeading253&quot; \h" w:dirty="true">
            <w:r>
              <w:t>—</w:t>
            </w:r>
          </w:fldSimple>
        </w:p>
        <w:p>
          <w:pPr>
            <w:pStyle w:val="10"/>
          </w:pPr>
          <w:hyperlink w:anchor="GOSTHeading254">
            <w:r>
              <w:t>3 ТЕХНОЛОГИЧЕСКИЙ РАЗДЕЛ</w:t>
            </w:r>
          </w:hyperlink>
          <w:r>
            <w:tab/>
          </w:r>
          <w:fldSimple w:instr="PAGEREF &quot;GOSTHeading254&quot; \h" w:dirty="true">
            <w:r>
              <w:t>—</w:t>
            </w:r>
          </w:fldSimple>
        </w:p>
        <w:p>
          <w:pPr>
            <w:pStyle w:val="22"/>
          </w:pPr>
          <w:hyperlink w:anchor="GOSTHeading255">
            <w:r>
              <w:t>3.1 Описание программной реализации</w:t>
            </w:r>
          </w:hyperlink>
          <w:r>
            <w:tab/>
          </w:r>
          <w:fldSimple w:instr="PAGEREF &quot;GOSTHeading255&quot; \h" w:dirty="true">
            <w:r>
              <w:t>—</w:t>
            </w:r>
          </w:fldSimple>
        </w:p>
        <w:p>
          <w:pPr>
            <w:pStyle w:val="31"/>
          </w:pPr>
          <w:hyperlink w:anchor="GOSTHeading256">
            <w:r>
              <w:t>3.1.1 Сбор истории обращений</w:t>
            </w:r>
          </w:hyperlink>
          <w:r>
            <w:tab/>
          </w:r>
          <w:fldSimple w:instr="PAGEREF &quot;GOSTHeading256&quot; \h" w:dirty="true">
            <w:r>
              <w:t>—</w:t>
            </w:r>
          </w:fldSimple>
        </w:p>
        <w:p>
          <w:pPr>
            <w:pStyle w:val="31"/>
          </w:pPr>
          <w:hyperlink w:anchor="GOSTHeading257">
            <w:r>
              <w:t>3.1.2 Планирование и исполнение переноса</w:t>
            </w:r>
          </w:hyperlink>
          <w:r>
            <w:tab/>
          </w:r>
          <w:fldSimple w:instr="PAGEREF &quot;GOSTHeading257&quot; \h" w:dirty="true">
            <w:r>
              <w:t>—</w:t>
            </w:r>
          </w:fldSimple>
        </w:p>
        <w:p>
          <w:pPr>
            <w:pStyle w:val="31"/>
          </w:pPr>
          <w:hyperlink w:anchor="GOSTHeading258">
            <w:r>
              <w:t>3.1.3 Управление и журналирование</w:t>
            </w:r>
          </w:hyperlink>
          <w:r>
            <w:tab/>
          </w:r>
          <w:fldSimple w:instr="PAGEREF &quot;GOSTHeading258&quot; \h" w:dirty="true">
            <w:r>
              <w:t>—</w:t>
            </w:r>
          </w:fldSimple>
        </w:p>
        <w:p>
          <w:pPr>
            <w:pStyle w:val="22"/>
          </w:pPr>
          <w:hyperlink w:anchor="GOSTHeading259">
            <w:r>
              <w:t>3.2 Подготовка данных и встраивание модели</w:t>
            </w:r>
          </w:hyperlink>
          <w:r>
            <w:tab/>
          </w:r>
          <w:fldSimple w:instr="PAGEREF &quot;GOSTHeading259&quot; \h" w:dirty="true">
            <w:r>
              <w:t>—</w:t>
            </w:r>
          </w:fldSimple>
        </w:p>
        <w:p>
          <w:pPr>
            <w:pStyle w:val="31"/>
          </w:pPr>
          <w:hyperlink w:anchor="GOSTHeading260">
            <w:r>
              <w:t>3.2.1 Источники и подготовка данных</w:t>
            </w:r>
          </w:hyperlink>
          <w:r>
            <w:tab/>
          </w:r>
          <w:fldSimple w:instr="PAGEREF &quot;GOSTHeading260&quot; \h" w:dirty="true">
            <w:r>
              <w:t>—</w:t>
            </w:r>
          </w:fldSimple>
        </w:p>
        <w:p>
          <w:pPr>
            <w:pStyle w:val="31"/>
          </w:pPr>
          <w:hyperlink w:anchor="GOSTHeading261">
            <w:r>
              <w:t>3.2.2 Признаки, метки и разделение выборки</w:t>
            </w:r>
          </w:hyperlink>
          <w:r>
            <w:tab/>
          </w:r>
          <w:fldSimple w:instr="PAGEREF &quot;GOSTHeading261&quot; \h" w:dirty="true">
            <w:r>
              <w:t>—</w:t>
            </w:r>
          </w:fldSimple>
        </w:p>
        <w:p>
          <w:pPr>
            <w:pStyle w:val="31"/>
          </w:pPr>
          <w:hyperlink w:anchor="GOSTHeading262">
            <w:r>
              <w:t>3.2.3 Обучение и ввод модели</w:t>
            </w:r>
          </w:hyperlink>
          <w:r>
            <w:tab/>
          </w:r>
          <w:fldSimple w:instr="PAGEREF &quot;GOSTHeading262&quot; \h" w:dirty="true">
            <w:r>
              <w:t>—</w:t>
            </w:r>
          </w:fldSimple>
        </w:p>
        <w:p>
          <w:pPr>
            <w:pStyle w:val="22"/>
          </w:pPr>
          <w:hyperlink w:anchor="GOSTHeading263">
            <w:r>
              <w:t>3.3 Тестирование программного обеспечения</w:t>
            </w:r>
          </w:hyperlink>
          <w:r>
            <w:tab/>
          </w:r>
          <w:fldSimple w:instr="PAGEREF &quot;GOSTHeading263&quot; \h" w:dirty="true">
            <w:r>
              <w:t>—</w:t>
            </w:r>
          </w:fldSimple>
        </w:p>
        <w:p>
          <w:pPr>
            <w:pStyle w:val="22"/>
          </w:pPr>
          <w:hyperlink w:anchor="GOSTHeading264">
            <w:r>
              <w:t>3.4 Оценка надёжности, качества и эффективности</w:t>
            </w:r>
          </w:hyperlink>
          <w:r>
            <w:tab/>
          </w:r>
          <w:fldSimple w:instr="PAGEREF &quot;GOSTHeading264&quot; \h" w:dirty="true">
            <w:r>
              <w:t>—</w:t>
            </w:r>
          </w:fldSimple>
        </w:p>
        <w:p>
          <w:pPr>
            <w:pStyle w:val="31"/>
          </w:pPr>
          <w:hyperlink w:anchor="GOSTHeading265">
            <w:r>
              <w:t>3.4.1 Условия сравнения</w:t>
            </w:r>
          </w:hyperlink>
          <w:r>
            <w:tab/>
          </w:r>
          <w:fldSimple w:instr="PAGEREF &quot;GOSTHeading265&quot; \h" w:dirty="true">
            <w:r>
              <w:t>—</w:t>
            </w:r>
          </w:fldSimple>
        </w:p>
        <w:p>
          <w:pPr>
            <w:pStyle w:val="31"/>
          </w:pPr>
          <w:hyperlink w:anchor="GOSTHeading266">
            <w:r>
              <w:t>3.4.2 Системные показатели</w:t>
            </w:r>
          </w:hyperlink>
          <w:r>
            <w:tab/>
          </w:r>
          <w:fldSimple w:instr="PAGEREF &quot;GOSTHeading266&quot; \h" w:dirty="true">
            <w:r>
              <w:t>—</w:t>
            </w:r>
          </w:fldSimple>
        </w:p>
        <w:p>
          <w:pPr>
            <w:pStyle w:val="31"/>
          </w:pPr>
          <w:hyperlink w:anchor="GOSTHeading267">
            <w:r>
              <w:t>3.4.3 Качество прогноза</w:t>
            </w:r>
          </w:hyperlink>
          <w:r>
            <w:tab/>
          </w:r>
          <w:fldSimple w:instr="PAGEREF &quot;GOSTHeading267&quot; \h" w:dirty="true">
            <w:r>
              <w:t>—</w:t>
            </w:r>
          </w:fldSimple>
        </w:p>
        <w:p>
          <w:pPr>
            <w:pStyle w:val="10"/>
          </w:pPr>
          <w:hyperlink w:anchor="GOSTHeading268">
            <w:r>
              <w:t>КОНЕЦ (ДАЛЬШЕ НЕЙРОСЛОП)</w:t>
            </w:r>
          </w:hyperlink>
          <w:r>
            <w:tab/>
          </w:r>
          <w:fldSimple w:instr="PAGEREF &quot;GOSTHeading268&quot; \h" w:dirty="true">
            <w:r>
              <w:t>—</w:t>
            </w:r>
          </w:fldSimple>
        </w:p>
        <w:p>
          <w:pPr>
            <w:pStyle w:val="31"/>
          </w:pPr>
          <w:hyperlink w:anchor="GOSTHeading269">
            <w:r>
              <w:t>3.0.1 Эффективность размещения</w:t>
            </w:r>
          </w:hyperlink>
          <w:r>
            <w:tab/>
          </w:r>
          <w:fldSimple w:instr="PAGEREF &quot;GOSTHeading269&quot; \h" w:dirty="true">
            <w:r>
              <w:t>—</w:t>
            </w:r>
          </w:fldSimple>
        </w:p>
        <w:p>
          <w:pPr>
            <w:pStyle w:val="22"/>
          </w:pPr>
          <w:hyperlink w:anchor="GOSTHeading270">
            <w:r>
              <w:t>3.1 Руководство администратора</w:t>
            </w:r>
          </w:hyperlink>
          <w:r>
            <w:tab/>
          </w:r>
          <w:fldSimple w:instr="PAGEREF &quot;GOSTHeading270&quot; \h" w:dirty="true">
            <w:r>
              <w:t>—</w:t>
            </w:r>
          </w:fldSimple>
        </w:p>
        <w:p>
          <w:pPr>
            <w:pStyle w:val="31"/>
          </w:pPr>
          <w:hyperlink w:anchor="GOSTHeading271">
            <w:r>
              <w:t>3.1.1 Настройка и подтверждение плана</w:t>
            </w:r>
          </w:hyperlink>
          <w:r>
            <w:tab/>
          </w:r>
          <w:fldSimple w:instr="PAGEREF &quot;GOSTHeading271&quot; \h" w:dirty="true">
            <w:r>
              <w:t>—</w:t>
            </w:r>
          </w:fldSimple>
        </w:p>
        <w:p>
          <w:pPr>
            <w:pStyle w:val="31"/>
          </w:pPr>
          <w:hyperlink w:anchor="GOSTHeading272">
            <w:r>
              <w:t>3.1.2 Контроль и обработка ошибок</w:t>
            </w:r>
          </w:hyperlink>
          <w:r>
            <w:tab/>
          </w:r>
          <w:fldSimple w:instr="PAGEREF &quot;GOSTHeading272&quot; \h" w:dirty="true">
            <w:r>
              <w:t>—</w:t>
            </w:r>
          </w:fldSimple>
        </w:p>
        <w:p>
          <w:pPr>
            <w:pStyle w:val="22"/>
          </w:pPr>
          <w:hyperlink w:anchor="GOSTHeading273">
            <w:r>
              <w:t>3.2 Выводы по технологическому разделу</w:t>
            </w:r>
          </w:hyperlink>
          <w:r>
            <w:tab/>
          </w:r>
          <w:fldSimple w:instr="PAGEREF &quot;GOSTHeading273&quot; \h" w:dirty="true">
            <w:r>
              <w:t>—</w:t>
            </w:r>
          </w:fldSimple>
        </w:p>
        <w:p>
          <w:pPr>
            <w:pStyle w:val="10"/>
          </w:pPr>
          <w:hyperlink w:anchor="GOSTHeading274">
            <w:r>
              <w:t>ЗАКЛЮЧЕНИЕ</w:t>
            </w:r>
          </w:hyperlink>
          <w:r>
            <w:tab/>
          </w:r>
          <w:fldSimple w:instr="PAGEREF &quot;GOSTHeading274&quot; \h" w:dirty="true">
            <w:r>
              <w:t>—</w:t>
            </w:r>
          </w:fldSimple>
        </w:p>
        <w:p>
          <w:pPr>
            <w:pStyle w:val="10"/>
          </w:pPr>
          <w:hyperlink w:anchor="GOSTHeading275">
            <w:r>
              <w:t>СПИСОК ИСПОЛЬЗОВАННЫХ ИСТОЧНИКОВ</w:t>
            </w:r>
          </w:hyperlink>
          <w:r>
            <w:tab/>
          </w:r>
          <w:fldSimple w:instr="PAGEREF &quot;GOSTHeading275&quot; \h" w:dirty="true">
            <w:r>
              <w:t>—</w:t>
            </w:r>
          </w:fldSimple>
        </w:p>
        <w:p>
          <w:pPr>
            <w:pStyle w:val="10"/>
          </w:pPr>
          <w:hyperlink w:anchor="GOSTHeading276">
            <w:r>
              <w:t>ПРИЛОЖЕНИЯ</w:t>
            </w:r>
          </w:hyperlink>
          <w:r>
            <w:tab/>
          </w:r>
          <w:fldSimple w:instr="PAGEREF &quot;GOSTHeading276&quot; \h" w:dirty="true">
            <w:r>
              <w:t>—</w:t>
            </w:r>
          </w:fldSimple>
        </w:p>
        <w:p>
          <w:pPr>
            <w:pStyle w:val="10"/>
          </w:pPr>
          <w:hyperlink w:anchor="GOSTHeading277">
            <w:r>
              <w:t>Приложение А</w:t>
            </w:r>
          </w:hyperlink>
          <w:r>
            <w:tab/>
          </w:r>
          <w:fldSimple w:instr="PAGEREF &quot;GOSTHeading277&quot; \h" w:dirty="true">
            <w:r>
              <w:t>—</w:t>
            </w:r>
          </w:fldSimple>
        </w:p>
        <w:p>
          <w:pPr>
            <w:spacing w:before="0" w:after="0" w:line="1" w:lineRule="exact"/>
          </w:pPr>
          <w:r>
            <w:fldChar w:fldCharType="end"/>
          </w:r>
        </w:p>
      </w:sdtContent>
    </w:sdt>
    <w:bookmarkStart w:id="25" w:name="введение"/>
    <w:p>
      <w:pPr>
        <w:pStyle w:val="GOSTStructuralHeading"/>
      </w:pPr>
      <w:bookmarkStart w:id="208" w:name="GOSTHeading208"/>
      <w:r>
        <w:t xml:space="preserve">ВВЕДЕНИЕ</w:t>
      </w:r>
      <w:bookmarkEnd w:id="208"/>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В системе рассматриваются горячий и холодный классы хранения, а параметры затрат задаёт администратор.</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209" w:name="GOSTHeading209"/>
      <w:r>
        <w:t xml:space="preserve">ЛИТЕРАТУРНЫЙ ОБЗОР</w:t>
      </w:r>
      <w:bookmarkEnd w:id="209"/>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 автоматическое распределение по уровням хранения.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холодным (Cold), промежуточным (Warm) и горячим (Hot) классами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210" w:name="GOSTHeading210"/>
      <w:r>
        <w:t xml:space="preserve">1 ИССЛЕДОВАТЕЛЬСКИЙ РАЗДЕЛ</w:t>
      </w:r>
      <w:bookmarkEnd w:id="210"/>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211" w:name="GOSTHeading211"/>
      <w:r>
        <w:t xml:space="preserve">1.1 Анализ предметной области</w:t>
      </w:r>
      <w:bookmarkEnd w:id="211"/>
    </w:p>
    <w:p>
      <w:pPr>
        <w:pStyle w:val="FirstParagraph"/>
      </w:pPr>
      <w:r>
        <w:t xml:space="preserve">Для выбора размещения необходимо определить единицу переноса, характеристики классов хранения и признаки востребованности. Анализ этих условий позволяет установить ограничения СППР и выбрать данные для её проверки.</w:t>
      </w:r>
    </w:p>
    <w:bookmarkStart w:id="27" w:name="предметная-область-и-участники-процесса"/>
    <w:p>
      <w:pPr>
        <w:pStyle w:val="30"/>
      </w:pPr>
      <w:bookmarkStart w:id="212" w:name="GOSTHeading212"/>
      <w:r>
        <w:t xml:space="preserve">1.1.1 Предметная область и участники процесса</w:t>
      </w:r>
      <w:bookmarkEnd w:id="212"/>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213" w:name="GOSTHeading213"/>
      <w:r>
        <w:t xml:space="preserve">1.1.2 Объектная модель и единица размещения</w:t>
      </w:r>
      <w:bookmarkEnd w:id="213"/>
    </w:p>
    <w:p>
      <w:pPr>
        <w:pStyle w:val="FirstParagraph"/>
      </w:pPr>
      <w:r>
        <w:t xml:space="preserve">Объект S3 состоит из содержимого и метаданных и определяется контейнером объектов — бакетом — и ключом, то есть именем объекта внутри него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214" w:name="GOSTHeading214"/>
      <w:r>
        <w:t xml:space="preserve">1.1.3 Классы хранения и характеристики ресурсов</w:t>
      </w:r>
      <w:bookmarkEnd w:id="214"/>
    </w:p>
    <w:p>
      <w:pPr>
        <w:pStyle w:val="FirstParagraph"/>
      </w:pPr>
      <w:r>
        <w:t xml:space="preserve">Класс хранения объединяет ресурсы с заданными ёмкостью, производительностью и условиями доступа. В работе быстрый горячий класс (HOT) предназначен для востребованных объектов, а более медленный и ёмкий холодный класс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215" w:name="GOSTHeading215"/>
      <w:r>
        <w:t xml:space="preserve">1.1.4 Востребованность и история обращений</w:t>
      </w:r>
      <w:bookmarkEnd w:id="215"/>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216" w:name="GOSTHeading216"/>
      <w:r>
        <w:t xml:space="preserve">1.1.5 Способы управления размещением</w:t>
      </w:r>
      <w:bookmarkEnd w:id="216"/>
    </w:p>
    <w:p>
      <w:pPr>
        <w:pStyle w:val="FirstParagraph"/>
      </w:pPr>
      <w:r>
        <w:t xml:space="preserve">При ручном размещении класс определяет администратор или приложение. Правила жизненного цикла автоматизируют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[50].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Прогнозирование также расходует ресурсы и может не давать выигрыша на непредсказуемой нагрузке.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217" w:name="GOSTHeading217"/>
      <w:r>
        <w:t xml:space="preserve">1.1.6 Ресурсные ограничения и затраты</w:t>
      </w:r>
      <w:bookmarkEnd w:id="217"/>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218" w:name="GOSTHeading218"/>
      <w:r>
        <w:t xml:space="preserve">1.1.7 Согласованность и безопасное перемещение</w:t>
      </w:r>
      <w:bookmarkEnd w:id="218"/>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219" w:name="GOSTHeading219"/>
      <w:r>
        <w:t xml:space="preserve">1.1.8 Источники данных и условия исследования</w:t>
      </w:r>
      <w:bookmarkEnd w:id="219"/>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3552"/>
        <w:gridCol w:w="2805"/>
        <w:gridCol w:w="3281"/>
      </w:tblGrid>
      <w:tr>
        <w:trPr>
          <w:tblHeader w:val="on"/>
          <w:cantSplit/>
        </w:trPr>
        <w:tc>
          <w:tcPr>
            <w:tcW w:w="3552"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2805"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28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 трассы сети доставки содержимого [19], [20]</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220" w:name="GOSTHeading220"/>
      <w:r>
        <w:t xml:space="preserve">1.2 Анализ существующих решений</w:t>
      </w:r>
      <w:bookmarkEnd w:id="220"/>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221" w:name="GOSTHeading221"/>
      <w:r>
        <w:t xml:space="preserve">1.2.1 Анализ критериев</w:t>
      </w:r>
      <w:bookmarkEnd w:id="221"/>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222" w:name="GOSTHeading222"/>
      <w:r>
        <w:t xml:space="preserve">1.2.2 Обзор аналогов</w:t>
      </w:r>
      <w:bookmarkEnd w:id="222"/>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223" w:name="GOSTHeading223"/>
      <w:r>
        <w:t xml:space="preserve">1.2.3 Сопоставление аналогов</w:t>
      </w:r>
      <w:bookmarkEnd w:id="223"/>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224" w:name="GOSTHeading224"/>
      <w:r>
        <w:t xml:space="preserve">1.3 Требования к разрабатываемой системе</w:t>
      </w:r>
      <w:bookmarkEnd w:id="224"/>
    </w:p>
    <w:p>
      <w:pPr>
        <w:pStyle w:val="FirstParagraph"/>
      </w:pPr>
      <w:r>
        <w:t xml:space="preserve">Требования к СППР следуют из выявленных ограничений: прогноз должен учитывать неполную историю, план — доступные ресурсы, а перенос — сохранять содержимое версии. Ниже эти условия уточняются до проверяемых функций и критериев приёмки.</w:t>
      </w:r>
    </w:p>
    <w:bookmarkStart w:id="43" w:name="X8598c0664c0a28e1ff66ecf15bcb872afa60c4f"/>
    <w:p>
      <w:pPr>
        <w:pStyle w:val="30"/>
      </w:pPr>
      <w:bookmarkStart w:id="225" w:name="GOSTHeading225"/>
      <w:r>
        <w:t xml:space="preserve">1.3.1 Назначение и границы разрабатываемого расширения</w:t>
      </w:r>
      <w:bookmarkEnd w:id="225"/>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226" w:name="GOSTHeading226"/>
      <w:r>
        <w:t xml:space="preserve">1.3.2 Требования к выполняемым функциям</w:t>
      </w:r>
      <w:bookmarkEnd w:id="226"/>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227" w:name="GOSTHeading227"/>
      <w:r>
        <w:t xml:space="preserve">1.3.3 Требования к надёжности и сохранности данных</w:t>
      </w:r>
      <w:bookmarkEnd w:id="227"/>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228" w:name="GOSTHeading228"/>
      <w:r>
        <w:t xml:space="preserve">1.3.4 Требования к доступу и интерфейсу администратора</w:t>
      </w:r>
      <w:bookmarkEnd w:id="228"/>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229" w:name="GOSTHeading229"/>
      <w:r>
        <w:t xml:space="preserve">1.3.5 Требования к ресурсам, совместимости и контролю выполнения</w:t>
      </w:r>
      <w:bookmarkEnd w:id="229"/>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система отклоняет запуск действия и сообщает причину.</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26"/>
        <w:gridCol w:w="7012"/>
      </w:tblGrid>
      <w:tr>
        <w:trPr>
          <w:tblHeader w:val="on"/>
          <w:cantSplit/>
        </w:trPr>
        <w:tc>
          <w:tcPr>
            <w:tcW w:w="2626"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7012"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 значения, которое не превышают задержки 95 % запросов, — составляет не более 5 % относительно режима без расширения. Условие проверяется без обучения и при обновлении модели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230" w:name="GOSTHeading230"/>
      <w:r>
        <w:t xml:space="preserve">1.3.6 Требования к жизненному циклу модели</w:t>
      </w:r>
      <w:bookmarkEnd w:id="230"/>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231" w:name="GOSTHeading231"/>
      <w:r>
        <w:t xml:space="preserve">1.3.7 Требования к проверке эффективности и минимальному результату</w:t>
      </w:r>
      <w:bookmarkEnd w:id="231"/>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232" w:name="GOSTHeading232"/>
      <w:r>
        <w:t xml:space="preserve">1.4 Выводы по исследовательскому разделу</w:t>
      </w:r>
      <w:bookmarkEnd w:id="232"/>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5" w:name="аналитический-раздел"/>
    <w:p>
      <w:pPr>
        <w:pStyle w:val="1"/>
      </w:pPr>
      <w:bookmarkStart w:id="233" w:name="GOSTHeading233"/>
      <w:r>
        <w:t xml:space="preserve">2 АНАЛИТИЧЕСКИЙ РАЗДЕЛ</w:t>
      </w:r>
      <w:bookmarkEnd w:id="233"/>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6" w:name="X84bd9294f1307ff8601e5cfa6da9c74af29fe47"/>
    <w:p>
      <w:pPr>
        <w:pStyle w:val="21"/>
      </w:pPr>
      <w:bookmarkStart w:id="234" w:name="GOSTHeading234"/>
      <w:r>
        <w:t xml:space="preserve">2.1 Математическое и алгоритмическое обеспечение</w:t>
      </w:r>
      <w:bookmarkEnd w:id="234"/>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235" w:name="GOSTHeading235"/>
      <w:r>
        <w:t xml:space="preserve">2.1.1 Постановка задачи размещения</w:t>
      </w:r>
      <w:bookmarkEnd w:id="235"/>
    </w:p>
    <w:p>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n</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Число объектов в множестве</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(2.8)</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236" w:name="GOSTHeading236"/>
      <w:r>
        <w:t xml:space="preserve">2.1.2 Модель прогнозирования востребованности</w:t>
      </w:r>
      <w:bookmarkEnd w:id="236"/>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Преобразование истории в прогноз показано на Рисунке 2.1 в нотации схемы данных по ГОСТ 19.701-90 [49] (разделы 2.1, 3.1–3.3). Параллелограммы обозначают данные, прямоугольники – операции обработки, сплошные стрелки – потоки данных.</w:t>
      </w:r>
    </w:p>
    <w:bookmarkStart w:id="60" w:name="gost-fig:forecast_model"/>
    <w:p>
      <w:pPr>
        <w:pStyle w:val="CaptionedFigure"/>
        <w:keepNext w:val="1"/>
      </w:pPr>
      <w:r>
        <w:drawing>
          <wp:inline>
            <wp:extent cx="5219999" cy="5834381"/>
            <wp:effectExtent b="0" l="0" r="0" t="0"/>
            <wp:docPr descr="Схема данных прогнозирования востребованности по ГОСТ 19.701-90"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219999" cy="5834381"/>
                    </a:xfrm>
                    <a:prstGeom prst="rect">
                      <a:avLst/>
                    </a:prstGeom>
                    <a:noFill/>
                    <a:ln w="9525">
                      <a:noFill/>
                      <a:headEnd/>
                      <a:tailEnd/>
                    </a:ln>
                  </pic:spPr>
                </pic:pic>
              </a:graphicData>
            </a:graphic>
          </wp:inline>
        </w:drawing>
      </w:r>
    </w:p>
    <w:p>
      <w:pPr>
        <w:pStyle w:val="ImageCaption"/>
      </w:pPr>
      <w:r>
        <w:t xml:space="preserve">Рисунок 2.1 – Схема данных прогнозирования востребованности по ГОСТ 19.701-90</w:t>
      </w:r>
    </w:p>
    <w:bookmarkEnd w:id="60"/>
    <w:p>
      <w:pPr>
        <w:pStyle w:val="a2"/>
      </w:pPr>
      <w:r>
        <w:t xml:space="preserve">История до момента</w:t>
      </w:r>
      <w:r>
        <w:t xml:space="preserve"> </w:t>
      </w:r>
      <m:oMath>
        <m:r>
          <m:t>T</m:t>
        </m:r>
      </m:oMath>
      <w:r>
        <w:t xml:space="preserve"> </w:t>
      </w:r>
      <w:r>
        <w:t xml:space="preserve">преобразуется в признаки</w:t>
      </w:r>
      <w:r>
        <w:t xml:space="preserve"> </w:t>
      </w:r>
      <m:oMath>
        <m:sSub>
          <m:e>
            <m:r>
              <m:t>x</m:t>
            </m:r>
          </m:e>
          <m:sub>
            <m:r>
              <m:t>i</m:t>
            </m:r>
          </m:sub>
        </m:sSub>
        <m:r>
          <m:rPr>
            <m:sty m:val="p"/>
          </m:rPr>
          <m:t>(</m:t>
        </m:r>
        <m:r>
          <m:t>T</m:t>
        </m:r>
        <m:r>
          <m:rPr>
            <m:sty m:val="p"/>
          </m:rPr>
          <m:t>)</m:t>
        </m:r>
      </m:oMath>
      <w:r>
        <w:t xml:space="preserve"> </w:t>
      </w:r>
      <w:r>
        <w:t xml:space="preserve">из Таблицы 2.2. Они поступают в обе модели, а их выходы объединяются в прогноз числа чтений; вместе с размером объекта</w:t>
      </w:r>
      <w:r>
        <w:t xml:space="preserve"> </w:t>
      </w:r>
      <m:oMath>
        <m:sSub>
          <m:e>
            <m:r>
              <m:t>s</m:t>
            </m:r>
          </m:e>
          <m:sub>
            <m:r>
              <m:t>i</m:t>
            </m:r>
          </m:sub>
        </m:sSub>
      </m:oMath>
      <w:r>
        <w:t xml:space="preserve"> </w:t>
      </w:r>
      <w:r>
        <w:t xml:space="preserve">и средней читаемой долей</w:t>
      </w:r>
      <w:r>
        <w:t xml:space="preserve"> </w:t>
      </w:r>
      <m:oMath>
        <m:sSub>
          <m:e>
            <m:r>
              <m:t>r</m:t>
            </m:r>
          </m:e>
          <m:sub>
            <m:r>
              <m:t>i</m:t>
            </m:r>
          </m:sub>
        </m:sSub>
      </m:oMath>
      <w:r>
        <w:t xml:space="preserve"> </w:t>
      </w:r>
      <w:r>
        <w:t xml:space="preserve">он определяет прогноз объёма</w:t>
      </w:r>
      <w:r>
        <w:t xml:space="preserve"> </w:t>
      </w:r>
      <m:oMath>
        <m:sSub>
          <m:e>
            <m:acc>
              <m:accPr>
                <m:chr m:val="̂"/>
              </m:accPr>
              <m:e>
                <m:r>
                  <m:t>D</m:t>
                </m:r>
              </m:e>
            </m:acc>
          </m:e>
          <m:sub>
            <m:r>
              <m:t>i</m:t>
            </m:r>
          </m:sub>
        </m:sSub>
      </m:oMath>
      <w:r>
        <w:t xml:space="preserve">. Эти величины передаются планировщику.</w:t>
      </w:r>
    </w:p>
    <w:p>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w:t>
      </w:r>
      <w:r>
        <w:t xml:space="preserve"> </w:t>
      </w:r>
      <w:r>
        <w:rPr>
          <w:rStyle w:val="VerbatimChar"/>
        </w:rPr>
        <w:t xml:space="preserve">binary</w:t>
      </w:r>
      <w:r>
        <w:t xml:space="preserve">, для регрессора –</w:t>
      </w:r>
      <w:r>
        <w:t xml:space="preserve"> </w:t>
      </w:r>
      <w:r>
        <w:rPr>
          <w:rStyle w:val="VerbatimChar"/>
        </w:rPr>
        <w:t xml:space="preserve">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w:t>
      </w:r>
      <w:r>
        <w:t xml:space="preserve"> </w:t>
      </w:r>
      <m:oMath>
        <m:sSub>
          <m:e>
            <m:r>
              <m:t>y</m:t>
            </m:r>
          </m:e>
          <m:sub>
            <m:r>
              <m:t>i</m:t>
            </m:r>
          </m:sub>
        </m:sSub>
        <m:r>
          <m:rPr>
            <m:sty m:val="p"/>
          </m:rPr>
          <m:t>=</m:t>
        </m:r>
        <m:sSub>
          <m:e>
            <m:r>
              <m:t>N</m:t>
            </m:r>
          </m:e>
          <m:sub>
            <m:r>
              <m:t>i</m:t>
            </m:r>
          </m:sub>
        </m:sSub>
        <m:r>
          <m:rPr>
            <m:sty m:val="p"/>
          </m:rPr>
          <m:t>−</m:t>
        </m:r>
        <m:r>
          <m:t>1</m:t>
        </m:r>
      </m:oMath>
      <w:r>
        <w:t xml:space="preserve">, то есть число чтений сверх первого. Условное число чтений восстанавливается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sSub>
          <m:e>
            <m:acc>
              <m:accPr>
                <m:chr m:val="̂"/>
              </m:accPr>
              <m:e>
                <m:r>
                  <m:t>y</m:t>
                </m:r>
              </m:e>
            </m:acc>
          </m:e>
          <m:sub>
            <m:r>
              <m:t>i</m:t>
            </m:r>
          </m:sub>
        </m:sSub>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при возникшем спросе;</w:t>
      </w:r>
    </w:p>
    <w:p>
      <w:pPr>
        <w:pStyle w:val="Where"/>
      </w:pPr>
      <w:r>
        <w:tab/>
      </w:r>
      <m:oMath>
        <m:sSub>
          <m:e>
            <m:acc>
              <m:accPr>
                <m:chr m:val="̂"/>
              </m:accPr>
              <m:e>
                <m:r>
                  <m:t>y</m:t>
                </m:r>
              </m:e>
            </m:acc>
          </m:e>
          <m:sub>
            <m:r>
              <m:t>i</m:t>
            </m:r>
          </m:sub>
        </m:sSub>
      </m:oMath>
      <w:r>
        <w:t xml:space="preserve"> </w:t>
      </w:r>
      <w:r>
        <w:t xml:space="preserve">– неотрицательный прогноз регрессора для числа чтений сверх первого.</w:t>
      </w:r>
    </w:p>
    <w:p>
      <w:pPr>
        <w:pStyle w:val="a2"/>
      </w:pPr>
      <w:r>
        <w:t xml:space="preserve">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r>
              <m:t>p</m:t>
            </m:r>
          </m:e>
          <m:sub>
            <m:r>
              <m:t>i</m:t>
            </m:r>
          </m:sub>
        </m:sSub>
      </m:oMath>
      <w:r>
        <w:t xml:space="preserve"> </w:t>
      </w:r>
      <w:r>
        <w:t xml:space="preserve">– прогноз вероятности хотя бы одного чтения объекта</w:t>
      </w:r>
      <w:r>
        <w:t xml:space="preserve"> </w:t>
      </w:r>
      <m:oMath>
        <m:r>
          <m:t>i</m:t>
        </m:r>
      </m:oMath>
      <w:r>
        <w:t xml:space="preserve"> </w:t>
      </w:r>
      <w:r>
        <w:t xml:space="preserve">за горизонт.</w:t>
      </w:r>
    </w:p>
    <w:p>
      <w:pPr>
        <w:pStyle w:val="a2"/>
      </w:pPr>
      <w:r>
        <w:t xml:space="preserve">Для сравнения используются базовые оценки из раздела 1.1.5 пояснительной записки: частота, возраст, время с последнего чтения и EWMA [50]. Последнее сглаживает частоту, уменьшая вес старых наблюдений. Частота и EWMA пересчитываются в ожидаемое число чтений за</w:t>
      </w:r>
      <w:r>
        <w:t xml:space="preserve"> </w:t>
      </w:r>
      <m:oMath>
        <m:r>
          <m:t>H</m:t>
        </m:r>
      </m:oMath>
      <w:r>
        <w:t xml:space="preserve">, а возраст и давность преобразуются монотонной функцией, подобранной на периоде обучения. Базовые оценки используют тот же интерфейс прогноза, планировщик и исполнитель; EWMA также обеспечивает работу без пригодной модели по требованию F-12 из Таблицы 1.4. Так сравнение отделяет вклад прогноза от алгоритма размещения.</w:t>
      </w:r>
    </w:p>
    <w:p>
      <w:pPr>
        <w:pStyle w:val="a2"/>
      </w:pPr>
      <w:r>
        <w:t xml:space="preserve">Бустинг деревьев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bookmarkEnd w:id="61"/>
    <w:bookmarkStart w:id="63" w:name="X5cb85bb2864257b50580b8dfa11fbf34fed6abe"/>
    <w:p>
      <w:pPr>
        <w:pStyle w:val="30"/>
      </w:pPr>
      <w:bookmarkStart w:id="237" w:name="GOSTHeading237"/>
      <w:r>
        <w:t xml:space="preserve">2.1.3 Обработка данных и формирование обучающих примеров</w:t>
      </w:r>
      <w:bookmarkEnd w:id="237"/>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w:t>
      </w:r>
      <w:r>
        <w:t xml:space="preserve"> </w:t>
      </w:r>
      <m:oMath>
        <m:r>
          <m:t>T</m:t>
        </m:r>
      </m:oMath>
      <w:r>
        <w:t xml:space="preserve"> </w:t>
      </w:r>
      <w:r>
        <w:t xml:space="preserve">признаки используют только события строго раньше</w:t>
      </w:r>
      <w:r>
        <w:t xml:space="preserve"> </w:t>
      </w:r>
      <m:oMath>
        <m:r>
          <m:t>T</m:t>
        </m:r>
      </m:oMath>
      <w:r>
        <w:t xml:space="preserve">, а метка</w:t>
      </w:r>
      <w:r>
        <w:t xml:space="preserve"> </w:t>
      </w:r>
      <m:oMath>
        <m:sSub>
          <m:e>
            <m:r>
              <m:t>N</m:t>
            </m:r>
          </m:e>
          <m:sub>
            <m:r>
              <m:t>i</m:t>
            </m:r>
          </m:sub>
        </m:sSub>
        <m:r>
          <m:rPr>
            <m:sty m:val="p"/>
          </m:rPr>
          <m:t>(</m:t>
        </m:r>
        <m:r>
          <m:t>T</m:t>
        </m:r>
        <m:r>
          <m:rPr>
            <m:sty m:val="p"/>
          </m:rPr>
          <m:t>)</m:t>
        </m:r>
      </m:oMath>
      <w:r>
        <w:t xml:space="preserve"> </w:t>
      </w:r>
      <w:r>
        <w:t xml:space="preserve">равна числу клиентских чтений на следующем интервале</w:t>
      </w:r>
      <w:r>
        <w:t xml:space="preserve"> </w:t>
      </w:r>
      <m:oMath>
        <m:r>
          <m:rPr>
            <m:sty m:val="p"/>
          </m:rPr>
          <m:t>[</m:t>
        </m:r>
        <m:r>
          <m:t>T</m:t>
        </m:r>
        <m:r>
          <m:rPr>
            <m:sty m:val="p"/>
          </m:rPr>
          <m:t>,</m:t>
        </m:r>
        <m:r>
          <m:t>T</m:t>
        </m:r>
        <m:r>
          <m:rPr>
            <m:sty m:val="p"/>
          </m:rPr>
          <m:t>+</m:t>
        </m:r>
        <m:r>
          <m:t>H</m:t>
        </m:r>
        <m:r>
          <m:rPr>
            <m:sty m:val="p"/>
          </m:rPr>
          <m:t>)</m:t>
        </m:r>
      </m:oMath>
      <w:r>
        <w:t xml:space="preserve">. Будущие события используются только для метки, чтобы исключить утечку данных [35], [36].</w:t>
      </w:r>
    </w:p>
    <w:p>
      <w:pPr>
        <w:pStyle w:val="a2"/>
      </w:pPr>
      <w:r>
        <w:t xml:space="preserve">Из-за задержек доставки в момент обучения</w:t>
      </w:r>
      <w:r>
        <w:t xml:space="preserve"> </w:t>
      </w:r>
      <m:oMath>
        <m:sSup>
          <m:e>
            <m:r>
              <m:t>T</m:t>
            </m:r>
          </m:e>
          <m:sup>
            <m:r>
              <m:rPr>
                <m:sty m:val="p"/>
              </m:rPr>
              <m:t>′</m:t>
            </m:r>
          </m:sup>
        </m:sSup>
      </m:oMath>
      <w:r>
        <w:t xml:space="preserve"> </w:t>
      </w:r>
      <w:r>
        <w:t xml:space="preserve">история полна лишь до границы</w:t>
      </w:r>
      <w:r>
        <w:t xml:space="preserve"> </w:t>
      </w:r>
      <m:oMath>
        <m:r>
          <m:t>W</m:t>
        </m:r>
        <m:r>
          <m:rPr>
            <m:sty m:val="p"/>
          </m:rPr>
          <m:t>(</m:t>
        </m:r>
        <m:sSup>
          <m:e>
            <m:r>
              <m:t>T</m:t>
            </m:r>
          </m:e>
          <m:sup>
            <m:r>
              <m:rPr>
                <m:sty m:val="p"/>
              </m:rPr>
              <m:t>′</m:t>
            </m:r>
          </m:sup>
        </m:sSup>
        <m:r>
          <m:rPr>
            <m:sty m:val="p"/>
          </m:rPr>
          <m:t>)</m:t>
        </m:r>
      </m:oMath>
      <w:r>
        <w:t xml:space="preserve">.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238" w:name="GOSTHeading238"/>
      <w:r>
        <w:t xml:space="preserve">2.1.4 Обучение, проверка и ввод модели в работу</w:t>
      </w:r>
      <w:bookmarkEnd w:id="238"/>
    </w:p>
    <w:p>
      <w:pPr>
        <w:pStyle w:val="FirstParagraph"/>
      </w:pPr>
      <w:r>
        <w:t xml:space="preserve">Основным источником данных для обучения выбрана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pPr>
        <w:pStyle w:val="a2"/>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239" w:name="GOSTHeading239"/>
      <w:r>
        <w:t xml:space="preserve">2.1.5 Алгоритм формирования плана размещения</w:t>
      </w:r>
      <w:bookmarkEnd w:id="239"/>
    </w:p>
    <w:p>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t>n</m:t>
        </m:r>
        <m:r>
          <m:rPr>
            <m:sty m:val="p"/>
          </m:rPr>
          <m:t>log</m:t>
        </m:r>
        <m:r>
          <m:t>n</m:t>
        </m:r>
        <m:r>
          <m:rPr>
            <m:sty m:val="p"/>
          </m:rPr>
          <m:t>)</m:t>
        </m:r>
      </m:oMath>
      <w:r>
        <w:t xml:space="preserve"> </w:t>
      </w:r>
      <w:r>
        <w:t xml:space="preserve">определяется сортировкой, где</w:t>
      </w:r>
      <w:r>
        <w:t xml:space="preserve"> </w:t>
      </w:r>
      <m:oMath>
        <m:r>
          <m:t>n</m:t>
        </m:r>
      </m:oMath>
      <w:r>
        <w:t xml:space="preserve"> </w:t>
      </w:r>
      <w:r>
        <w:t xml:space="preserve">– число объектов в множестве</w:t>
      </w:r>
      <w:r>
        <w:t xml:space="preserve"> </w:t>
      </w:r>
      <m:oMath>
        <m:r>
          <m:t>I</m:t>
        </m:r>
      </m:oMath>
      <w:r>
        <w:t xml:space="preserve"> </w:t>
      </w:r>
      <w:r>
        <w:t xml:space="preserve">из Таблицы 2.1.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240" w:name="GOSTHeading240"/>
      <w:r>
        <w:t xml:space="preserve">2.1.6 Объяснение рекомендаций</w:t>
      </w:r>
      <w:bookmarkEnd w:id="240"/>
    </w:p>
    <w:p>
      <w:pPr>
        <w:pStyle w:val="FirstParagraph"/>
      </w:pPr>
      <w:r>
        <w:t xml:space="preserve">Объяснение помогает администратору — лицу, принимающему решение (далее ЛПР), — оценить последствия применения плана перед подтверждением по требованию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5" w:name="протокол-безопасного-переноса"/>
    <w:p>
      <w:pPr>
        <w:pStyle w:val="30"/>
      </w:pPr>
      <w:bookmarkStart w:id="241" w:name="GOSTHeading241"/>
      <w:r>
        <w:t xml:space="preserve">2.1.7 Протокол безопасного переноса</w:t>
      </w:r>
      <w:bookmarkEnd w:id="241"/>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 [51].</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[42].</w:t>
      </w:r>
    </w:p>
    <w:bookmarkStart w:id="74" w:name="gost-fig:migration_states"/>
    <w:p>
      <w:pPr>
        <w:pStyle w:val="CaptionedFigure"/>
        <w:keepNext w:val="1"/>
      </w:pPr>
      <w:r>
        <w:drawing>
          <wp:inline>
            <wp:extent cx="5039999" cy="5877031"/>
            <wp:effectExtent b="0" l="0" r="0" t="0"/>
            <wp:docPr descr="Диаграмма состояний миграции версии" title="" id="72" name="Picture"/>
            <a:graphic>
              <a:graphicData uri="http://schemas.openxmlformats.org/drawingml/2006/picture">
                <pic:pic>
                  <pic:nvPicPr>
                    <pic:cNvPr descr="images/migration_states.png" id="73" name="Picture"/>
                    <pic:cNvPicPr>
                      <a:picLocks noChangeArrowheads="1" noChangeAspect="1"/>
                    </pic:cNvPicPr>
                  </pic:nvPicPr>
                  <pic:blipFill>
                    <a:blip r:embed="rId71"/>
                    <a:stretch>
                      <a:fillRect/>
                    </a:stretch>
                  </pic:blipFill>
                  <pic:spPr bwMode="auto">
                    <a:xfrm>
                      <a:off x="0" y="0"/>
                      <a:ext cx="5039999" cy="5877031"/>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4"/>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5"/>
    <w:bookmarkEnd w:id="76"/>
    <w:bookmarkStart w:id="89" w:name="модели-процессов"/>
    <w:p>
      <w:pPr>
        <w:pStyle w:val="21"/>
      </w:pPr>
      <w:bookmarkStart w:id="242" w:name="GOSTHeading242"/>
      <w:r>
        <w:t xml:space="preserve">2.2 Модели процессов</w:t>
      </w:r>
      <w:bookmarkEnd w:id="242"/>
    </w:p>
    <w:p>
      <w:pPr>
        <w:pStyle w:val="FirstParagraph"/>
      </w:pPr>
      <w:r>
        <w:t xml:space="preserve">Распределение действий между исполнителями показано для исходного процесса («как есть», AS-IS) и проектируемого процесса («как должно быть», TO-BE). Они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1" w:name="исходный-процесс-управления-размещением"/>
    <w:p>
      <w:pPr>
        <w:pStyle w:val="30"/>
      </w:pPr>
      <w:bookmarkStart w:id="243" w:name="GOSTHeading243"/>
      <w:r>
        <w:t xml:space="preserve">2.2.1 Исходный процесс управления размещением</w:t>
      </w:r>
      <w:bookmarkEnd w:id="243"/>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bookmarkStart w:id="80" w:name="gost-fig:bpmn_asis"/>
    <w:p>
      <w:pPr>
        <w:pStyle w:val="CaptionedFigure"/>
        <w:keepNext w:val="1"/>
      </w:pPr>
      <w:r>
        <w:drawing>
          <wp:inline>
            <wp:extent cx="6083999" cy="1718543"/>
            <wp:effectExtent b="0" l="0" r="0" t="0"/>
            <wp:docPr descr="Модель исходного процесса управления размещением AS-IS" title="" id="78" name="Picture"/>
            <a:graphic>
              <a:graphicData uri="http://schemas.openxmlformats.org/drawingml/2006/picture">
                <pic:pic>
                  <pic:nvPicPr>
                    <pic:cNvPr descr="images/bpmn_asis_h.png" id="79" name="Picture"/>
                    <pic:cNvPicPr>
                      <a:picLocks noChangeArrowheads="1" noChangeAspect="1"/>
                    </pic:cNvPicPr>
                  </pic:nvPicPr>
                  <pic:blipFill>
                    <a:blip r:embed="rId77"/>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0"/>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81"/>
    <w:bookmarkStart w:id="86" w:name="проектируемый-процесс"/>
    <w:p>
      <w:pPr>
        <w:pStyle w:val="30"/>
      </w:pPr>
      <w:bookmarkStart w:id="244" w:name="GOSTHeading244"/>
      <w:r>
        <w:t xml:space="preserve">2.2.2 Проектируемый процесс</w:t>
      </w:r>
      <w:bookmarkEnd w:id="244"/>
    </w:p>
    <w:p>
      <w:pPr>
        <w:pStyle w:val="FirstParagraph"/>
      </w:pPr>
      <w:r>
        <w:t xml:space="preserve">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5"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83" name="Picture"/>
            <a:graphic>
              <a:graphicData uri="http://schemas.openxmlformats.org/drawingml/2006/picture">
                <pic:pic>
                  <pic:nvPicPr>
                    <pic:cNvPr descr="images/bpmn_tobe_h.png" id="84" name="Picture"/>
                    <pic:cNvPicPr>
                      <a:picLocks noChangeArrowheads="1" noChangeAspect="1"/>
                    </pic:cNvPicPr>
                  </pic:nvPicPr>
                  <pic:blipFill>
                    <a:blip r:embed="rId82"/>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5"/>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клиентских чтений. События должен публиковать шлюз OpenS3 [7] после доработки по разделу 2.3.1 пояснительной записки; подготовка данных описана в разделе 2.1.3.</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6"/>
    <w:bookmarkStart w:id="88" w:name="сравнение-процессов"/>
    <w:p>
      <w:pPr>
        <w:pStyle w:val="30"/>
      </w:pPr>
      <w:bookmarkStart w:id="245" w:name="GOSTHeading245"/>
      <w:r>
        <w:t xml:space="preserve">2.2.3 Сравнение процессов</w:t>
      </w:r>
      <w:bookmarkEnd w:id="245"/>
    </w:p>
    <w:p>
      <w:pPr>
        <w:pStyle w:val="FirstParagraph"/>
      </w:pPr>
      <w:r>
        <w:t xml:space="preserve">Изменения сведены в Таблице 2.3. Процессы не измерялись, поэтому сравнение качественное.</w:t>
      </w:r>
    </w:p>
    <w:bookmarkStart w:id="87"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7"/>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8"/>
    <w:bookmarkEnd w:id="89"/>
    <w:bookmarkStart w:id="102" w:name="архитектура-системы"/>
    <w:p>
      <w:pPr>
        <w:pStyle w:val="21"/>
      </w:pPr>
      <w:bookmarkStart w:id="246" w:name="GOSTHeading246"/>
      <w:r>
        <w:t xml:space="preserve">2.3 Архитектура системы</w:t>
      </w:r>
      <w:bookmarkEnd w:id="246"/>
    </w:p>
    <w:p>
      <w:pPr>
        <w:pStyle w:val="FirstParagraph"/>
      </w:pPr>
      <w:r>
        <w:t xml:space="preserve">Расчёт рекомендаций отделяется от клиентского чтения, а переносы выполняет отдельный исполнитель в процессе СППР. Подраздел определяет ответственность компонентов OpenS3 и СППР, хранение их данных и согласование состояния с компонентом метаданных.</w:t>
      </w:r>
    </w:p>
    <w:bookmarkStart w:id="90" w:name="изменения-компонентов-opens3"/>
    <w:p>
      <w:pPr>
        <w:pStyle w:val="30"/>
      </w:pPr>
      <w:bookmarkStart w:id="247" w:name="GOSTHeading247"/>
      <w:r>
        <w:t xml:space="preserve">2.3.1 Изменения компонентов OpenS3</w:t>
      </w:r>
      <w:bookmarkEnd w:id="247"/>
    </w:p>
    <w:p>
      <w:pPr>
        <w:pStyle w:val="FirstParagraph"/>
      </w:pPr>
      <w:r>
        <w:t xml:space="preserve">Для СППР в рассмотренной версии OpenS3 [7] изменяются три компонента. Компонент метаданных (Metadata) дополняется классами и расположением версий с условным переключением CAS и учётом временных копий. Компонент хранения (Storage) получает необязательный идентификатор сохраняемой копии при записи и второй экземпляр на отдельном томе. Шлюз (Gateway) выбирает экземпляр хранения по классу, публикует события и обеспечивает диапазонное чтение. Компоненты аутентификации и авторизации (Auth и AuthZ) сохраняют свои функции. Новый ключ записывается в COLD, что исключает переполнение HOT вне плана, но новый популярный объект читается из COLD до ближайшего плана; перезапись версии, находящейся в HOT, остаётся в HOT, если новая версия известного размера помещается в класс.</w:t>
      </w:r>
    </w:p>
    <w:bookmarkEnd w:id="90"/>
    <w:bookmarkStart w:id="95" w:name="компонентная-модель"/>
    <w:p>
      <w:pPr>
        <w:pStyle w:val="30"/>
      </w:pPr>
      <w:bookmarkStart w:id="248" w:name="GOSTHeading248"/>
      <w:r>
        <w:t xml:space="preserve">2.3.2 Компонентная модель</w:t>
      </w:r>
      <w:bookmarkEnd w:id="248"/>
    </w:p>
    <w:p>
      <w:pPr>
        <w:pStyle w:val="FirstParagraph"/>
      </w:pPr>
      <w:r>
        <w:t xml:space="preserve">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p>
      <w:pPr>
        <w:pStyle w:val="a2"/>
      </w:pPr>
      <w:r>
        <w:t xml:space="preserve">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линий без точки не являются соединениями. Компоненты, изменяемые для интеграции, отмечены звёздочкой.</w:t>
      </w:r>
    </w:p>
    <w:p>
      <w:pPr>
        <w:pStyle w:val="a2"/>
      </w:pPr>
      <w:r>
        <w:t xml:space="preserve">Клиентское чтение проходит через компоненты шлюза, метаданных и хранения, а приём событий работает асинхронно через Kafka. Административный API проверяет полномочия через компоненты аутентификации и авторизации и сохраняет команды в базе СППР.</w:t>
      </w:r>
    </w:p>
    <w:bookmarkStart w:id="94" w:name="gost-fig:components"/>
    <w:p>
      <w:pPr>
        <w:pStyle w:val="CaptionedFigure"/>
        <w:keepNext w:val="1"/>
      </w:pPr>
      <w:r>
        <w:drawing>
          <wp:inline>
            <wp:extent cx="6083999" cy="4678265"/>
            <wp:effectExtent b="0" l="0" r="0" t="0"/>
            <wp:docPr descr="Диаграмма компонентов системы в нотации UML" title="" id="92" name="Picture"/>
            <a:graphic>
              <a:graphicData uri="http://schemas.openxmlformats.org/drawingml/2006/picture">
                <pic:pic>
                  <pic:nvPicPr>
                    <pic:cNvPr descr="images/components.png" id="93" name="Picture"/>
                    <pic:cNvPicPr>
                      <a:picLocks noChangeArrowheads="1" noChangeAspect="1"/>
                    </pic:cNvPicPr>
                  </pic:nvPicPr>
                  <pic:blipFill>
                    <a:blip r:embed="rId91"/>
                    <a:stretch>
                      <a:fillRect/>
                    </a:stretch>
                  </pic:blipFill>
                  <pic:spPr bwMode="auto">
                    <a:xfrm>
                      <a:off x="0" y="0"/>
                      <a:ext cx="6083999" cy="46782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 в нотации UML</w:t>
      </w:r>
    </w:p>
    <w:bookmarkEnd w:id="94"/>
    <w:p>
      <w:pPr>
        <w:pStyle w:val="a2"/>
      </w:pPr>
      <w:r>
        <w:t xml:space="preserve">Исполнитель, работающий в процессе СППР отдельно от расчёта плана, получает подтверждённые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bookmarkEnd w:id="95"/>
    <w:bookmarkStart w:id="97" w:name="модель-данных"/>
    <w:p>
      <w:pPr>
        <w:pStyle w:val="30"/>
      </w:pPr>
      <w:bookmarkStart w:id="249" w:name="GOSTHeading249"/>
      <w:r>
        <w:t xml:space="preserve">2.3.3 Модель данных</w:t>
      </w:r>
      <w:bookmarkEnd w:id="249"/>
    </w:p>
    <w:p>
      <w:pPr>
        <w:pStyle w:val="FirstParagraph"/>
      </w:pPr>
      <w:r>
        <w:t xml:space="preserve">Назначение таблиц приведено в Таблице 2.4, а поля и связи показаны на Рисунке А.1 в Приложении А. Таблица</w:t>
      </w:r>
      <w:r>
        <w:t xml:space="preserve"> </w:t>
      </w:r>
      <w:r>
        <w:rPr>
          <w:i/>
          <w:iCs/>
        </w:rPr>
        <w:t xml:space="preserve">versions</w:t>
      </w:r>
      <w:r>
        <w:t xml:space="preserve"> </w:t>
      </w:r>
      <w:r>
        <w:t xml:space="preserve">существует в компоненте метаданных;</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добавляются в его базу. Остальные таблицы относятся к базе СППР.</w:t>
      </w:r>
    </w:p>
    <w:bookmarkStart w:id="96" w:name="gost-tbl:data_tables"/>
    <w:p>
      <w:pPr>
        <w:pStyle w:val="TableCaption"/>
      </w:pPr>
      <w:r>
        <w:t xml:space="preserve">Таблица 2.4 – Назначение таблиц модели данных</w:t>
      </w:r>
    </w:p>
    <w:tbl>
      <w:tblPr>
        <w:tblStyle w:val="Table"/>
        <w:tblW w:type="dxa" w:w="9560"/>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Назначение таблиц модели данных"/>
      </w:tblPr>
      <w:tblGrid>
        <w:gridCol w:w="2788"/>
        <w:gridCol w:w="6772"/>
      </w:tblGrid>
      <w:tr>
        <w:trPr>
          <w:tblHeader w:val="on"/>
          <w:cantSplit/>
        </w:trPr>
        <w:tc>
          <w:tcPr>
            <w:tcW w:w="27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Таблица</w:t>
            </w:r>
          </w:p>
        </w:tc>
        <w:tc>
          <w:tcPr>
            <w:tcW w:w="6772"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Существующий каталог версий объектов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storage_classes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Классы хранения, ёмкость и адреса экземпляров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version_placements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Действующее расположение и поколение записи версии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placement_copies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Временные копии и состояние их очистки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access_events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События клиентских обращений и технических операций</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activity_buckets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Агрегаты активности по временным интервалам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ingest_state</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Позиция приёма событий, граница полноты и пропуски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training_slices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 метки обучающих примеров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models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Версии моделей, правила признаков и результаты проверок</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Ревизии планов, горизонт и состояние данных</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Предлагаемые переносы, прогнозы и объяснения</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recommendation_deps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Зависимости между действиями плана</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admin_commands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Решения администратора и результаты их обработки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migrations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Состояния, попытки и ошибки исполнения переносов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placement_settings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Параметры размещения, заданные администратором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transfer_locks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Запреты переноса объектов и их основания</w:t>
            </w:r>
          </w:p>
        </w:tc>
      </w:tr>
    </w:tbl>
    <w:bookmarkEnd w:id="96"/>
    <w:p>
      <w:pPr>
        <w:pStyle w:val="a2"/>
        <w:spacing w:before="120"/>
      </w:pPr>
      <w:r>
        <w:t xml:space="preserve">Таблица</w:t>
      </w:r>
      <w:r>
        <w:t xml:space="preserve"> </w:t>
      </w:r>
      <w:r>
        <w:rPr>
          <w:i/>
          <w:iCs/>
        </w:rPr>
        <w:t xml:space="preserve">version_placements</w:t>
      </w:r>
      <w:r>
        <w:t xml:space="preserve"> </w:t>
      </w:r>
      <w:r>
        <w:t xml:space="preserve">хранит одну действующую запись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bookmarkEnd w:id="97"/>
    <w:bookmarkStart w:id="99" w:name="анализ-архитектуры"/>
    <w:p>
      <w:pPr>
        <w:pStyle w:val="30"/>
      </w:pPr>
      <w:bookmarkStart w:id="250" w:name="GOSTHeading250"/>
      <w:r>
        <w:t xml:space="preserve">2.3.4 Анализ архитектуры</w:t>
      </w:r>
      <w:bookmarkEnd w:id="250"/>
    </w:p>
    <w:p>
      <w:pPr>
        <w:pStyle w:val="FirstParagraph"/>
      </w:pPr>
      <w:r>
        <w:t xml:space="preserve">Узкие места, точки отказа и принятые решения сведены в Таблице 2.5.</w:t>
      </w:r>
    </w:p>
    <w:bookmarkStart w:id="98" w:name="gost-tbl:arch_analysis"/>
    <w:p>
      <w:pPr>
        <w:pStyle w:val="TableCaption"/>
      </w:pPr>
      <w:r>
        <w:t xml:space="preserve">Таблица 2.5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300"/>
        <w:gridCol w:w="2704"/>
        <w:gridCol w:w="4634"/>
      </w:tblGrid>
      <w:tr>
        <w:trPr>
          <w:tblHeader w:val="on"/>
          <w:cantSplit/>
        </w:trPr>
        <w:tc>
          <w:tcPr>
            <w:tcW w:w="23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0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63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Шлюз и компонент метаданных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административный API, исполнитель перепроверяет условия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Хранение COLD</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как источник истины, CAS</w:t>
            </w:r>
          </w:p>
        </w:tc>
      </w:tr>
    </w:tbl>
    <w:bookmarkEnd w:id="98"/>
    <w:p>
      <w:pPr>
        <w:pStyle w:val="a2"/>
        <w:spacing w:before="120"/>
      </w:pPr>
      <w:r>
        <w:t xml:space="preserve">Узким местом остаётся применение плана: если спрос меняется быстрее, чем позволяет бюджет копирования</w:t>
      </w:r>
      <w:r>
        <w:t xml:space="preserve"> </w:t>
      </w:r>
      <m:oMath>
        <m:r>
          <m:t>B</m:t>
        </m:r>
      </m:oMath>
      <w:r>
        <w:t xml:space="preserve"> </w:t>
      </w:r>
      <w:r>
        <w:t xml:space="preserve">в МиБ за цикл (Таблица 2.1), даже точный прогноз не уменьшит задержку. Эта граница проверяется прогонами с разными значениями бюджета.</w:t>
      </w:r>
    </w:p>
    <w:bookmarkEnd w:id="99"/>
    <w:bookmarkStart w:id="101" w:name="соответствие-требованиям"/>
    <w:p>
      <w:pPr>
        <w:pStyle w:val="30"/>
      </w:pPr>
      <w:bookmarkStart w:id="251" w:name="GOSTHeading251"/>
      <w:r>
        <w:t xml:space="preserve">2.3.5 Соответствие требованиям</w:t>
      </w:r>
      <w:bookmarkEnd w:id="251"/>
    </w:p>
    <w:p>
      <w:pPr>
        <w:pStyle w:val="FirstParagraph"/>
      </w:pPr>
      <w:r>
        <w:t xml:space="preserve">Связь функциональных требований из Таблицы 1.4 с проектом приведена в Таблице 2.6.</w:t>
      </w:r>
    </w:p>
    <w:bookmarkStart w:id="100" w:name="gost-tbl:traceability"/>
    <w:p>
      <w:pPr>
        <w:pStyle w:val="TableCaption"/>
      </w:pPr>
      <w:r>
        <w:t xml:space="preserve">Таблица 2.6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Шлюз и приём событий: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классы, расположение, занятость с копиями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моделями и обучение: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Планировщик: выигрыш (2.4) при ограничениях (2.5) и (2.6),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Объяснение рекомендаций: величины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Административный API и исполнитель: ревизии плана, отмена и пауза (Рисунок 2.5)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Исполнитель и компонент метаданных: повторная проверка, проверка копии до CAS, восстановление (Рисунок 2.3)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EWMA при непригодной модели, единый планировщик для сравнения</w:t>
            </w:r>
          </w:p>
        </w:tc>
      </w:tr>
    </w:tbl>
    <w:bookmarkEnd w:id="100"/>
    <w:p>
      <w:pPr>
        <w:pStyle w:val="a2"/>
        <w:spacing w:before="120"/>
      </w:pPr>
      <w:r>
        <w:t xml:space="preserve">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bookmarkEnd w:id="101"/>
    <w:bookmarkEnd w:id="102"/>
    <w:bookmarkStart w:id="103" w:name="обоснование-инструментов-реализации"/>
    <w:p>
      <w:pPr>
        <w:pStyle w:val="21"/>
      </w:pPr>
      <w:bookmarkStart w:id="252" w:name="GOSTHeading252"/>
      <w:r>
        <w:t xml:space="preserve">2.4 Обоснование инструментов реализации</w:t>
      </w:r>
      <w:bookmarkEnd w:id="252"/>
    </w:p>
    <w:p>
      <w:pPr>
        <w:pStyle w:val="FirstParagraph"/>
      </w:pPr>
      <w:r>
        <w:t xml:space="preserve">Для реализации сервиса СППР и исполнителя переносов выбран Go. Сервис должен одновременно принимать события, обслуживать команды администратора и выполнять сетевые операции переноса. Go предоставляет горутины — независимо выполняемые задачи — и каналы для их взаимодействия, что позволяет разделить эти процессы внутри одного приложения [56]. Альтернативой является Python, также поддерживающий конкурентную обработку, однако Go сочетает эти средства со статической проверкой типов и компиляцией программы в исполняемый файл. Это упрощает проверку контрактов между модулями и развёртывание основной части сервиса без интерпретатора Python.</w:t>
      </w:r>
    </w:p>
    <w:p>
      <w:pPr>
        <w:pStyle w:val="a2"/>
      </w:pPr>
      <w:r>
        <w:t xml:space="preserve">Для подготовки данных и обучения модели выбран Python. Альтернативой является выполнение этих операций на Go, но Python предоставляет готовые средства обучения LightGBM, разделения выборок и расчёта метрик качества [32], [35], [36]. Это позволяет сравнивать модели и менять параметры эксперимента без самостоятельной реализации обучающих алгоритмов. Поэтому Python используется там, где важны средства анализа данных, а применение готовой модели отделено от обучения.</w:t>
      </w:r>
    </w:p>
    <w:p>
      <w:pPr>
        <w:pStyle w:val="a2"/>
      </w:pPr>
      <w:r>
        <w:t xml:space="preserve">Для обучения выбрана библиотека LightGBM; альтернативами являются XGBoost и CatBoost, также поддерживающие прогнозирование числа событий [52], [53]. Для СППР существенны поддержка двоичной классификации и пуассоновской регрессии, а также гистограммное построение деревьев: числовые признаки группируются по интервалам, что уменьшает объём данных для поиска разделений [32], [44]. Эти свойства позволяют реализовать обе части прогноза востребованности и контролировать затраты на обучение. Дополнительным преимуществом является возможность применять экспортированную модель непосредственно в Go через библиотеку leaves [45].</w:t>
      </w:r>
    </w:p>
    <w:p>
      <w:pPr>
        <w:pStyle w:val="a2"/>
      </w:pPr>
      <w:r>
        <w:t xml:space="preserve">Для хранения истории, команд и состояний переносов выбрана система управления базами данных (СУБД) PostgreSQL. Альтернатива — MySQL с механизмом хранения InnoDB, также поддерживающий транзакции и блокировки строк [54]. Для СППР преимуществами PostgreSQL являются средства согласованной обработки повторных записей и получения результата изменения в одном запросе [57]. Вместе с транзакциями и блокировками они упрощают однократный учёт событий и согласованное обновление команд и переносов при параллельной работе компонентов [46].</w:t>
      </w:r>
    </w:p>
    <w:p>
      <w:pPr>
        <w:pStyle w:val="a2"/>
      </w:pPr>
      <w:r>
        <w:t xml:space="preserve">Для передачи событий обращений выбрана платформа обмена сообщениями Kafka. Альтернативой являются обычные очереди RabbitMQ, ориентированные на доставку сообщения и его удаление после подтверждения [55]. Для истории обращений важна модель журнала Kafka: получение события не удаляет его, а обработчик сохраняет свою позицию и может вернуться к доступным записям [58]. Разбиение журнала на разделы позволяет распределять обработку, сохраняя порядок внутри каждого раздела. Поэтому Kafka подходит для накопления потока обращений, возобновления работы после остановки и повторной обработки в пределах срока хранения.</w:t>
      </w:r>
    </w:p>
    <w:bookmarkEnd w:id="103"/>
    <w:bookmarkStart w:id="104" w:name="выводы-по-аналитическому-разделу"/>
    <w:p>
      <w:pPr>
        <w:pStyle w:val="21"/>
      </w:pPr>
      <w:bookmarkStart w:id="253" w:name="GOSTHeading253"/>
      <w:r>
        <w:t xml:space="preserve">2.5 Выводы по аналитическому разделу</w:t>
      </w:r>
      <w:bookmarkEnd w:id="253"/>
    </w:p>
    <w:p>
      <w:pPr>
        <w:pStyle w:val="FirstParagraph"/>
      </w:pPr>
      <w:r>
        <w:t xml:space="preserve">Математическое и алгоритмическое обеспечение связывает прогноз числа чтений с ожидаемым уменьшением задержки. Планировщик решает вариант задачи о ранце с ограничениями ёмкости, бюджета и закреплениями; базовые оценки используют тот же алгоритм. Полную обучающую выборку предстоит подготовить, а пригодность двухэтапной модели и эвристики для объектов разного размера – проверить экспериментом.</w:t>
      </w:r>
    </w:p>
    <w:p>
      <w:pPr>
        <w:pStyle w:val="a2"/>
      </w:pPr>
      <w:r>
        <w:t xml:space="preserve">Сопоставление AS-IS и TO-BE определило обязанности исполнителей: системе передаются расчёт спроса, выбор размещения и проверка переносов, администратору остаются ограничения, подтверждение и контроль. Ожидание решения входит в цикл проверки эффективности. Сравнение качественное и не подтверждает измеренного сокращения затрат.</w:t>
      </w:r>
    </w:p>
    <w:p>
      <w:pPr>
        <w:pStyle w:val="a2"/>
      </w:pPr>
      <w:r>
        <w:t xml:space="preserve">Архитектура отделяет расчёт рекомендаций от чтения и исполнения переносов. Модель данных разделяет действующее расположение в компоненте метаданных и журнал управления в базе СППР. Без общей транзакции согласование обеспечивают поколение записи, CAS и повторная проверка. Основные ограничения – единственные экземпляры сервиса и исполнителя, конкуренция за ресурсы и бюджет миграций.</w:t>
      </w:r>
    </w:p>
    <w:p>
      <w:pPr>
        <w:pStyle w:val="a2"/>
      </w:pPr>
      <w:r>
        <w:t xml:space="preserve">Инструменты выбраны по требованиям к модели и совместимости с OpenS3 с учётом альтернатив и ограничений. В технологическом разделе предстоит реализовать компоненты, подготовить данные, проверить совпадение прогнозов Python и Go, подобрать параметры и сравнить политики по задержке чтения при одинаковых ресурсах.</w:t>
      </w:r>
    </w:p>
    <w:bookmarkEnd w:id="104"/>
    <w:bookmarkEnd w:id="105"/>
    <w:bookmarkStart w:id="125" w:name="технологический-раздел"/>
    <w:p>
      <w:pPr>
        <w:pStyle w:val="1"/>
      </w:pPr>
      <w:bookmarkStart w:id="254" w:name="GOSTHeading254"/>
      <w:r>
        <w:t xml:space="preserve">3 ТЕХНОЛОГИЧЕСКИЙ РАЗДЕЛ</w:t>
      </w:r>
      <w:bookmarkEnd w:id="254"/>
    </w:p>
    <w:p>
      <w:pPr>
        <w:pStyle w:val="FirstParagraph"/>
      </w:pPr>
      <w:r>
        <w:t xml:space="preserve">В разделе показаны основные компоненты реализации, подготовка модели, проверки требований и работа администратора.</w:t>
      </w:r>
    </w:p>
    <w:bookmarkStart w:id="110" w:name="описание-программной-реализации"/>
    <w:p>
      <w:pPr>
        <w:pStyle w:val="21"/>
      </w:pPr>
      <w:bookmarkStart w:id="255" w:name="GOSTHeading255"/>
      <w:r>
        <w:t xml:space="preserve">3.1 Описание программной реализации</w:t>
      </w:r>
      <w:bookmarkEnd w:id="255"/>
    </w:p>
    <w:p>
      <w:pPr>
        <w:pStyle w:val="FirstParagraph"/>
      </w:pPr>
      <w:r>
        <w:t xml:space="preserve">Шлюз Gateway обслуживает клиентские операции, Metadata хранит расположение версий, Storage предоставляет быстрое (HOT) и ёмкое (COLD) хранение. Сервис СППР собирает историю, рассчитывает рекомендации и исполняет подтверждённые переносы. Пакет “sppr_ml” обучает модель на Python; сервис на Go вычисляет прогноз. Обучение выполняется в контейнере СППР в общей ресурсной квоте.</w:t>
      </w:r>
    </w:p>
    <w:bookmarkStart w:id="106" w:name="сбор-истории-обращений"/>
    <w:p>
      <w:pPr>
        <w:pStyle w:val="30"/>
      </w:pPr>
      <w:bookmarkStart w:id="256" w:name="GOSTHeading256"/>
      <w:r>
        <w:t xml:space="preserve">3.1.1 Сбор истории обращений</w:t>
      </w:r>
      <w:bookmarkEnd w:id="256"/>
    </w:p>
    <w:p>
      <w:pPr>
        <w:pStyle w:val="FirstParagraph"/>
      </w:pPr>
      <w:r>
        <w:t xml:space="preserve">История обращений формируется на стороне шлюза: когда клиентское чтение начинается, метод</w:t>
      </w:r>
      <w:r>
        <w:t xml:space="preserve"> </w:t>
      </w:r>
      <w:r>
        <w:rPr>
          <w:i/>
          <w:iCs/>
        </w:rPr>
        <w:t xml:space="preserve">accessProducerService.ProduceObjectRead</w:t>
      </w:r>
      <w:r>
        <w:t xml:space="preserve"> </w:t>
      </w:r>
      <w:r>
        <w:t xml:space="preserve">создаёт событие для последующей оценки спроса. Такое обращение учитывается и при обрыве передачи, поскольку клиент уже запросил данные. Так в событии сохраняется запрошенный объём, а не фактически переданное число байтов. Запросы только метаданных (метод HEAD) и технические копирования в историю спроса не включаются.</w:t>
      </w:r>
    </w:p>
    <w:p>
      <w:pPr>
        <w:pStyle w:val="a2"/>
      </w:pPr>
      <w:r>
        <w:t xml:space="preserve">Далее событие поступает в СППР, где метод</w:t>
      </w:r>
      <w:r>
        <w:t xml:space="preserve"> </w:t>
      </w:r>
      <w:r>
        <w:rPr>
          <w:i/>
          <w:iCs/>
        </w:rPr>
        <w:t xml:space="preserve">ingestor.Ingest</w:t>
      </w:r>
      <w:r>
        <w:t xml:space="preserve"> </w:t>
      </w:r>
      <w:r>
        <w:t xml:space="preserve">проверяет его корректность, а</w:t>
      </w:r>
      <w:r>
        <w:t xml:space="preserve"> </w:t>
      </w:r>
      <w:r>
        <w:rPr>
          <w:i/>
          <w:iCs/>
        </w:rPr>
        <w:t xml:space="preserve">repo.Store</w:t>
      </w:r>
      <w:r>
        <w:t xml:space="preserve"> </w:t>
      </w:r>
      <w:r>
        <w:t xml:space="preserve">в одной транзакции сохраняет запись и обновляет сводные данные. Помимо защиты от повторов, система контролирует полноту истории: по последовательным номерам событий и служебным сообщениям выявляются пропуски, а метод</w:t>
      </w:r>
      <w:r>
        <w:t xml:space="preserve"> </w:t>
      </w:r>
      <w:r>
        <w:rPr>
          <w:i/>
          <w:iCs/>
        </w:rPr>
        <w:t xml:space="preserve">repo.Coverage</w:t>
      </w:r>
      <w:r>
        <w:t xml:space="preserve"> </w:t>
      </w:r>
      <w:r>
        <w:t xml:space="preserve">определяет границу, до которой данные считаются полными. Для прогноза используется только история до этой границы. Если её полнота или актуальность нарушены, формирование прогнозных рекомендаций приостанавливается, чтобы неполные данные не стали основой решения о размещении (Рисунок 2.1).</w:t>
      </w:r>
    </w:p>
    <w:bookmarkEnd w:id="106"/>
    <w:bookmarkStart w:id="107" w:name="планирование-и-исполнение-переноса"/>
    <w:p>
      <w:pPr>
        <w:pStyle w:val="30"/>
      </w:pPr>
      <w:bookmarkStart w:id="257" w:name="GOSTHeading257"/>
      <w:r>
        <w:t xml:space="preserve">3.1.2 Планирование и исполнение переноса</w:t>
      </w:r>
      <w:bookmarkEnd w:id="257"/>
    </w:p>
    <w:p>
      <w:pPr>
        <w:pStyle w:val="FirstParagraph"/>
      </w:pPr>
      <w:r>
        <w:t xml:space="preserve">На основе прогноза востребованности функция</w:t>
      </w:r>
      <w:r>
        <w:t xml:space="preserve"> </w:t>
      </w:r>
      <w:r>
        <w:rPr>
          <w:i/>
          <w:iCs/>
        </w:rPr>
        <w:t xml:space="preserve">planner.Build</w:t>
      </w:r>
      <w:r>
        <w:t xml:space="preserve"> </w:t>
      </w:r>
      <w:r>
        <w:t xml:space="preserve">формирует план размещения по алгоритму на Рисунке 2.2. При выборе переносов учитываются доступная ёмкость, место для временных копий, бюджет и закрепления объектов. Каждая рекомендация сопровождается объяснением, которое связывает прогноз с ожидаемым выигрышем и затратами, а при отказе указывает его причину. Если перед переносом в горячий класс HOT необходимо освободить место, планировщик связывает действия зависимостью, задающей порядок их выполнения. Такой жадный выбор позволяет получить допустимый план.</w:t>
      </w:r>
    </w:p>
    <w:p>
      <w:pPr>
        <w:pStyle w:val="a2"/>
      </w:pPr>
      <w:r>
        <w:t xml:space="preserve">После подтверждения администратором план передаётся исполнителю</w:t>
      </w:r>
      <w:r>
        <w:t xml:space="preserve"> </w:t>
      </w:r>
      <w:r>
        <w:rPr>
          <w:i/>
          <w:iCs/>
        </w:rPr>
        <w:t xml:space="preserve">executor</w:t>
      </w:r>
      <w:r>
        <w:t xml:space="preserve">, который выполняет переносы по протоколу на Рисунке 2.3. Сначала метод</w:t>
      </w:r>
      <w:r>
        <w:t xml:space="preserve"> </w:t>
      </w:r>
      <w:r>
        <w:rPr>
          <w:i/>
          <w:iCs/>
        </w:rPr>
        <w:t xml:space="preserve">placementService.ReserveCopy</w:t>
      </w:r>
      <w:r>
        <w:t xml:space="preserve"> </w:t>
      </w:r>
      <w:r>
        <w:t xml:space="preserve">проверяет версию объекта и резервирует место для копии. После копирования проверяются её размер и контрольная сумма, а затем метод</w:t>
      </w:r>
      <w:r>
        <w:t xml:space="preserve"> </w:t>
      </w:r>
      <w:r>
        <w:rPr>
          <w:i/>
          <w:iCs/>
        </w:rPr>
        <w:t xml:space="preserve">SwitchPlacement</w:t>
      </w:r>
      <w:r>
        <w:t xml:space="preserve"> </w:t>
      </w:r>
      <w:r>
        <w:t xml:space="preserve">меняет действующее расположение, причём переключение допускается, если поколение записи расположения за это время не изменилось. При конфликте или повреждении копии исходное расположение остаётся действующим.</w:t>
      </w:r>
    </w:p>
    <w:p>
      <w:pPr>
        <w:pStyle w:val="a2"/>
      </w:pPr>
      <w:r>
        <w:t xml:space="preserve">Для восстановления после сбоя состояние переноса сохраняется до выполнения внешнего действия. Благодаря этому после перезапуска исполнитель может продолжить ту же операцию. Исходная копия удаляется с задержкой, чтобы уже начатые чтения успели завершиться, а очистку ненужных копий выполняет функция</w:t>
      </w:r>
      <w:r>
        <w:t xml:space="preserve"> </w:t>
      </w:r>
      <w:r>
        <w:rPr>
          <w:i/>
          <w:iCs/>
        </w:rPr>
        <w:t xml:space="preserve">cleanup.Step</w:t>
      </w:r>
      <w:r>
        <w:t xml:space="preserve">. До удаления эти копии учитываются в занятой ёмкости, но бюджет расходуется и на неуспешные попытки переноса.</w:t>
      </w:r>
    </w:p>
    <w:bookmarkEnd w:id="107"/>
    <w:bookmarkStart w:id="109" w:name="управление-и-журналирование"/>
    <w:p>
      <w:pPr>
        <w:pStyle w:val="30"/>
      </w:pPr>
      <w:bookmarkStart w:id="258" w:name="GOSTHeading258"/>
      <w:r>
        <w:t xml:space="preserve">3.1.3 Управление и журналирование</w:t>
      </w:r>
      <w:bookmarkEnd w:id="258"/>
    </w:p>
    <w:p>
      <w:pPr>
        <w:pStyle w:val="FirstParagraph"/>
      </w:pPr>
      <w:r>
        <w:t xml:space="preserve">Административная панель</w:t>
      </w:r>
      <w:r>
        <w:t xml:space="preserve"> </w:t>
      </w:r>
      <w:r>
        <w:rPr>
          <w:rStyle w:val="VerbatimChar"/>
        </w:rPr>
        <w:t xml:space="preserve">/admin</w:t>
      </w:r>
      <w:r>
        <w:t xml:space="preserve"> </w:t>
      </w:r>
      <w:r>
        <w:t xml:space="preserve">позволяет проверить состояние системы, рассмотреть рекомендации, подтвердить или отклонить план и проследить выполнение переносов. Команды из веб-форм обрабатывает метод</w:t>
      </w:r>
      <w:r>
        <w:t xml:space="preserve"> </w:t>
      </w:r>
      <w:r>
        <w:rPr>
          <w:i/>
          <w:iCs/>
        </w:rPr>
        <w:t xml:space="preserve">plannerService.Execute</w:t>
      </w:r>
      <w:r>
        <w:t xml:space="preserve">, доступный также через программный интерфейс (API). При подтверждении система проверяет актуальность плана и наличие действий, которые должны предшествовать выбранным переносам. Рекомендация, команда и результат переноса связаны в журнале, поэтому администратор может проследить путь от предложенного решения до его исполнения (Рисунок А.1). При этом принятие команды ещё не означает завершения переноса, а повторная отправка с тем же идентификатором возвращает сохранённый результат. Панель и API используют HTTP — протокол передачи гипертекста, в котором запросы GET получают данные, а POST отправляют команды. Основные операции приведены в Таблице 3.1.</w:t>
      </w:r>
    </w:p>
    <w:bookmarkStart w:id="108" w:name="gost-tbl:admin_api"/>
    <w:p>
      <w:pPr>
        <w:pStyle w:val="TableCaption"/>
      </w:pPr>
      <w:r>
        <w:t xml:space="preserve">Таблица 3.1 – Основные операции управления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 – Основные операции управления"/>
      </w:tblPr>
      <w:tblGrid>
        <w:gridCol w:w="3760"/>
        <w:gridCol w:w="5878"/>
      </w:tblGrid>
      <w:tr>
        <w:trPr>
          <w:tblHeader w:val="on"/>
          <w:cantSplit/>
        </w:trPr>
        <w:tc>
          <w:tcPr>
            <w:tcW w:w="3760"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c>
          <w:tcPr>
            <w:tcW w:w="5878" w:type="dxa"/>
          </w:tcPr>
          <w:p>
            <w:pPr>
              <w:pStyle w:val="Compact"/>
              <w:keepNext w:val="0"/>
              <w:pageBreakBefore w:val="0"/>
              <w:suppressAutoHyphens w:val="1"/>
              <w:spacing w:before="0" w:after="0" w:line="240" w:lineRule="auto"/>
              <w:ind w:firstLine="0" w:left="0" w:right="0"/>
              <w:jc w:val="center"/>
            </w:pPr>
            <w:r>
              <w:rPr>
                <w:b w:val="1"/>
                <w:sz w:val="24"/>
                <w:szCs w:val="24"/>
              </w:rPr>
              <w:t xml:space="preserve">Запрос программного интерфейса</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Состояние истории, модели и ресурсов</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/api/planner/status</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Расчёт и рассмотрение плана</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/api/planner/plans/recompute</w:t>
            </w:r>
            <w:r>
              <w:rPr>
                <w:sz w:val="24"/>
                <w:szCs w:val="24"/>
              </w:rPr>
              <w:t xml:space="preserve">,</w:t>
            </w:r>
            <w:r>
              <w:rPr>
                <w:sz w:val="24"/>
                <w:szCs w:val="24"/>
              </w:rPr>
              <w:t xml:space="preserve"> </w:t>
            </w:r>
            <w:r>
              <w:rPr>
                <w:rStyle w:val="VerbatimChar"/>
                <w:sz w:val="24"/>
                <w:szCs w:val="24"/>
              </w:rPr>
              <w:t xml:space="preserve">GET /api/planner/plans</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Подтверждение или отклонение</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/api/planner/plans/{id}/confirm</w:t>
            </w:r>
            <w:r>
              <w:rPr>
                <w:sz w:val="24"/>
                <w:szCs w:val="24"/>
              </w:rPr>
              <w:t xml:space="preserve">,</w:t>
            </w:r>
            <w:r>
              <w:rPr>
                <w:sz w:val="24"/>
                <w:szCs w:val="24"/>
              </w:rPr>
              <w:t xml:space="preserve"> </w:t>
            </w:r>
            <w:r>
              <w:rPr>
                <w:rStyle w:val="VerbatimChar"/>
                <w:sz w:val="24"/>
                <w:szCs w:val="24"/>
              </w:rPr>
              <w:t xml:space="preserve">.../reject</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Отмена, пауза и продолжение</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/api/planner/commands/cancel-pending</w:t>
            </w:r>
            <w:r>
              <w:rPr>
                <w:sz w:val="24"/>
                <w:szCs w:val="24"/>
              </w:rPr>
              <w:t xml:space="preserve">,</w:t>
            </w:r>
            <w:r>
              <w:rPr>
                <w:sz w:val="24"/>
                <w:szCs w:val="24"/>
              </w:rPr>
              <w:t xml:space="preserve"> </w:t>
            </w:r>
            <w:r>
              <w:rPr>
                <w:rStyle w:val="VerbatimChar"/>
                <w:sz w:val="24"/>
                <w:szCs w:val="24"/>
              </w:rPr>
              <w:t xml:space="preserve">.../pause</w:t>
            </w:r>
            <w:r>
              <w:rPr>
                <w:sz w:val="24"/>
                <w:szCs w:val="24"/>
              </w:rPr>
              <w:t xml:space="preserve">,</w:t>
            </w:r>
            <w:r>
              <w:rPr>
                <w:sz w:val="24"/>
                <w:szCs w:val="24"/>
              </w:rPr>
              <w:t xml:space="preserve"> </w:t>
            </w:r>
            <w:r>
              <w:rPr>
                <w:rStyle w:val="VerbatimChar"/>
                <w:sz w:val="24"/>
                <w:szCs w:val="24"/>
              </w:rPr>
              <w:t xml:space="preserve">.../resume</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 модели</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/api/planner/model/retrain</w:t>
            </w:r>
          </w:p>
        </w:tc>
      </w:tr>
    </w:tbl>
    <w:bookmarkEnd w:id="108"/>
    <w:bookmarkEnd w:id="109"/>
    <w:bookmarkEnd w:id="110"/>
    <w:bookmarkStart w:id="115" w:name="подготовка-данных-и-встраивание-модели"/>
    <w:p>
      <w:pPr>
        <w:pStyle w:val="21"/>
        <w:spacing w:before="480"/>
      </w:pPr>
      <w:bookmarkStart w:id="259" w:name="GOSTHeading259"/>
      <w:r>
        <w:t xml:space="preserve">3.2 Подготовка данных и встраивание модели</w:t>
      </w:r>
      <w:bookmarkEnd w:id="259"/>
    </w:p>
    <w:p>
      <w:pPr>
        <w:pStyle w:val="FirstParagraph"/>
      </w:pPr>
      <w:r>
        <w:t xml:space="preserve">Подготовка данных соответствует Рисунку 2.1: история, признаки и метки, обучение, проверка, ввод модели в эксплуатацию. Источники определены в Таблице 1.2.</w:t>
      </w:r>
    </w:p>
    <w:bookmarkStart w:id="112" w:name="источники-и-подготовка-данных"/>
    <w:p>
      <w:pPr>
        <w:pStyle w:val="30"/>
      </w:pPr>
      <w:bookmarkStart w:id="260" w:name="GOSTHeading260"/>
      <w:r>
        <w:t xml:space="preserve">3.2.1 Источники и подготовка данных</w:t>
      </w:r>
      <w:bookmarkEnd w:id="260"/>
    </w:p>
    <w:p>
      <w:pPr>
        <w:pStyle w:val="FirstParagraph"/>
      </w:pPr>
      <w:r>
        <w:t xml:space="preserve">Структура</w:t>
      </w:r>
      <w:r>
        <w:t xml:space="preserve"> </w:t>
      </w:r>
      <w:r>
        <w:rPr>
          <w:i/>
          <w:iCs/>
        </w:rPr>
        <w:t xml:space="preserve">Generator</w:t>
      </w:r>
      <w:r>
        <w:t xml:space="preserve"> </w:t>
      </w:r>
      <w:r>
        <w:t xml:space="preserve">формирует историю с известным каталогом для шести сценариев: стабильного, снижающегося, периодического, всплескового и равномерного спроса, а также смены востребованного набора.</w:t>
      </w:r>
    </w:p>
    <w:p>
      <w:pPr>
        <w:pStyle w:val="a2"/>
      </w:pPr>
      <w:r>
        <w:t xml:space="preserve">Основной профиль: 10 000 объектов по 1 МиБ, 20 чтений/с и семь суток истории. Первые двое суток отведены обучению, третьи — настройке, последние четверо — итоговому тесту. Горизонт прогноза равен часу, шаг срезов — 15 мин. Состав сохраняемых данных и способ их организации приведены в Таблице 3.2. Сравнение повторяется для десяти начальных значений генератора случайных чисел.</w:t>
      </w:r>
    </w:p>
    <w:bookmarkStart w:id="111" w:name="gost-tbl:dataset_artifacts"/>
    <w:p>
      <w:pPr>
        <w:pStyle w:val="TableCaption"/>
      </w:pPr>
      <w:r>
        <w:t xml:space="preserve">Таблица 3.2 – Результаты подготовки выборки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2 – Результаты подготовки выборки"/>
      </w:tblPr>
      <w:tblGrid>
        <w:gridCol w:w="3036"/>
        <w:gridCol w:w="6602"/>
      </w:tblGrid>
      <w:tr>
        <w:trPr>
          <w:tblHeader w:val="on"/>
          <w:cantSplit/>
        </w:trPr>
        <w:tc>
          <w:tcPr>
            <w:tcW w:w="3036" w:type="dxa"/>
          </w:tcPr>
          <w:p>
            <w:pPr>
              <w:pStyle w:val="Compact"/>
              <w:keepNext w:val="0"/>
              <w:pageBreakBefore w:val="0"/>
              <w:suppressAutoHyphens w:val="1"/>
              <w:spacing w:before="0" w:after="0" w:line="240" w:lineRule="auto"/>
              <w:ind w:firstLine="0" w:left="0" w:right="0"/>
              <w:jc w:val="center"/>
            </w:pPr>
            <w:r>
              <w:rPr>
                <w:b w:val="1"/>
                <w:sz w:val="24"/>
                <w:szCs w:val="24"/>
              </w:rPr>
              <w:t xml:space="preserve">Сохраняемые данные</w:t>
            </w:r>
          </w:p>
        </w:tc>
        <w:tc>
          <w:tcPr>
            <w:tcW w:w="6602" w:type="dxa"/>
          </w:tcPr>
          <w:p>
            <w:pPr>
              <w:pStyle w:val="Compact"/>
              <w:keepNext w:val="0"/>
              <w:pageBreakBefore w:val="0"/>
              <w:suppressAutoHyphens w:val="1"/>
              <w:spacing w:before="0" w:after="0" w:line="240" w:lineRule="auto"/>
              <w:ind w:firstLine="0" w:left="0" w:right="0"/>
              <w:jc w:val="center"/>
            </w:pPr>
            <w:r>
              <w:rPr>
                <w:b w:val="1"/>
                <w:sz w:val="24"/>
                <w:szCs w:val="24"/>
              </w:rPr>
              <w:t xml:space="preserve">Способ сохранения и назначение</w:t>
            </w:r>
          </w:p>
        </w:tc>
      </w:tr>
      <w:tr>
        <w:trPr>
          <w:cantSplit/>
        </w:trPr>
        <w:tc>
          <w:tcPr>
            <w:tcW w:w="3036" w:type="dxa"/>
          </w:tcPr>
          <w:p>
            <w:pPr>
              <w:pStyle w:val="Compact"/>
              <w:keepNext w:val="0"/>
              <w:pageBreakBefore w:val="0"/>
              <w:suppressAutoHyphens w:val="1"/>
              <w:spacing w:before="0" w:after="0" w:line="240" w:lineRule="auto"/>
              <w:ind w:firstLine="0" w:left="0" w:right="0"/>
              <w:jc w:val="left"/>
            </w:pPr>
            <w:r>
              <w:rPr>
                <w:sz w:val="24"/>
                <w:szCs w:val="24"/>
              </w:rPr>
              <w:t xml:space="preserve">Каталог объектов и история обращений</w:t>
            </w:r>
          </w:p>
        </w:tc>
        <w:tc>
          <w:tcPr>
            <w:tcW w:w="6602"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 последовательность событий сохранялись раздельно в структурированном текстовом виде. Каждое событие представлялось отдельной записью для последовательного чтения истории</w:t>
            </w:r>
          </w:p>
        </w:tc>
      </w:tr>
      <w:tr>
        <w:trPr>
          <w:cantSplit/>
        </w:trPr>
        <w:tc>
          <w:tcPr>
            <w:tcW w:w="3036" w:type="dxa"/>
          </w:tcPr>
          <w:p>
            <w:pPr>
              <w:pStyle w:val="Compact"/>
              <w:keepNext w:val="0"/>
              <w:pageBreakBefore w:val="0"/>
              <w:suppressAutoHyphens w:val="1"/>
              <w:spacing w:before="0" w:after="0" w:line="240" w:lineRule="auto"/>
              <w:ind w:firstLine="0" w:left="0" w:right="0"/>
              <w:jc w:val="left"/>
            </w:pPr>
            <w:r>
              <w:rPr>
                <w:sz w:val="24"/>
                <w:szCs w:val="24"/>
              </w:rPr>
              <w:t xml:space="preserve">Признаки, целевые метки и сведения об исключённых строках</w:t>
            </w:r>
          </w:p>
        </w:tc>
        <w:tc>
          <w:tcPr>
            <w:tcW w:w="6602"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Подготовленные примеры сохранялись отдельно для периодов обучения, настройки и итоговой проверки. Сведения об исключённых строках позволяли проверить состав выборки</w:t>
            </w:r>
          </w:p>
        </w:tc>
      </w:tr>
      <w:tr>
        <w:trPr>
          <w:cantSplit/>
        </w:trPr>
        <w:tc>
          <w:tcPr>
            <w:tcW w:w="3036" w:type="dxa"/>
          </w:tcPr>
          <w:p>
            <w:pPr>
              <w:pStyle w:val="Compact"/>
              <w:keepNext w:val="0"/>
              <w:pageBreakBefore w:val="0"/>
              <w:suppressAutoHyphens w:val="1"/>
              <w:spacing w:before="0" w:after="0" w:line="240" w:lineRule="auto"/>
              <w:ind w:firstLine="0" w:left="0" w:right="0"/>
              <w:jc w:val="left"/>
            </w:pPr>
            <w:r>
              <w:rPr>
                <w:sz w:val="24"/>
                <w:szCs w:val="24"/>
              </w:rPr>
              <w:t xml:space="preserve">Параметры подготовки и сведения о целостности</w:t>
            </w:r>
          </w:p>
        </w:tc>
        <w:tc>
          <w:tcPr>
            <w:tcW w:w="6602" w:type="dxa"/>
          </w:tcPr>
          <w:p>
            <w:pPr>
              <w:pStyle w:val="Compact"/>
              <w:keepNext w:val="0"/>
              <w:pageBreakBefore w:val="0"/>
              <w:suppressAutoHyphens w:val="1"/>
              <w:spacing w:before="0" w:after="0" w:line="240" w:lineRule="auto"/>
              <w:ind w:firstLine="0" w:left="0" w:right="0"/>
              <w:jc w:val="both"/>
            </w:pPr>
            <w:r>
              <w:rPr>
                <w:sz w:val="24"/>
                <w:szCs w:val="24"/>
              </w:rPr>
              <w:t xml:space="preserve">Вместе с набором сохранялись конфигурация, временные границы и версии правил обработки. Для проверки неизменности данных рассчитывались контрольные суммы по алгоритму SHA-256</w:t>
            </w:r>
          </w:p>
        </w:tc>
      </w:tr>
    </w:tbl>
    <w:bookmarkEnd w:id="111"/>
    <w:p>
      <w:pPr>
        <w:pStyle w:val="a2"/>
        <w:spacing w:before="120"/>
      </w:pPr>
      <w:r>
        <w:t xml:space="preserve">Дополнительно прогноз оценён на открытых трассах Meta CDN, IBM Cloud Object Storage (COS) и IBM Docker Registry, приведённых командой</w:t>
      </w:r>
      <w:r>
        <w:t xml:space="preserve"> </w:t>
      </w:r>
      <w:r>
        <w:rPr>
          <w:i/>
          <w:iCs/>
        </w:rPr>
        <w:t xml:space="preserve">trace-convert</w:t>
      </w:r>
      <w:r>
        <w:t xml:space="preserve"> </w:t>
      </w:r>
      <w:r>
        <w:t xml:space="preserve">к общему формату. Восстановление каталога COS из обращений может раскрывать будущие сведения, поэтому трассы используются для оценки прогноза с контролем утечки, а сохранность переносов проверяется на стенде.</w:t>
      </w:r>
    </w:p>
    <w:bookmarkEnd w:id="112"/>
    <w:bookmarkStart w:id="113" w:name="признаки-метки-и-разделение-выборки"/>
    <w:p>
      <w:pPr>
        <w:pStyle w:val="30"/>
      </w:pPr>
      <w:bookmarkStart w:id="261" w:name="GOSTHeading261"/>
      <w:r>
        <w:t xml:space="preserve">3.2.2 Признаки, метки и разделение выборки</w:t>
      </w:r>
      <w:bookmarkEnd w:id="261"/>
    </w:p>
    <w:p>
      <w:pPr>
        <w:pStyle w:val="FirstParagraph"/>
      </w:pPr>
      <w:r>
        <w:t xml:space="preserve">Метод</w:t>
      </w:r>
      <w:r>
        <w:t xml:space="preserve"> </w:t>
      </w:r>
      <w:r>
        <w:rPr>
          <w:i/>
          <w:iCs/>
        </w:rPr>
        <w:t xml:space="preserve">builder.Build</w:t>
      </w:r>
      <w:r>
        <w:t xml:space="preserve"> </w:t>
      </w:r>
      <w:r>
        <w:t xml:space="preserve">рассчитывает 17 признаков из Таблицы 2.2 за предшествующие 24 ч. Одинаковый расчёт используется при обучении, в сервисе и симуляторе. Таким образом, класс хранения и задержка чтения исключены, а неизвестная дата последнего чтения задаётся специальным отсутствующим значением. Функция</w:t>
      </w:r>
      <w:r>
        <w:t xml:space="preserve"> </w:t>
      </w:r>
      <w:r>
        <w:rPr>
          <w:i/>
          <w:iCs/>
        </w:rPr>
        <w:t xml:space="preserve">dataset.Rows</w:t>
      </w:r>
      <w:r>
        <w:t xml:space="preserve"> </w:t>
      </w:r>
      <w:r>
        <w:t xml:space="preserve">фиксирует признаки до расчёта метки на интервале</w:t>
      </w:r>
      <w:r>
        <w:t xml:space="preserve"> </w:t>
      </w:r>
      <m:oMath>
        <m:r>
          <m:rPr>
            <m:sty m:val="p"/>
          </m:rPr>
          <m:t>[</m:t>
        </m:r>
        <m:r>
          <m:t>T</m:t>
        </m:r>
        <m:r>
          <m:rPr>
            <m:sty m:val="p"/>
          </m:rPr>
          <m:t>,</m:t>
        </m:r>
        <m:r>
          <m:t>T</m:t>
        </m:r>
        <m:r>
          <m:rPr>
            <m:sty m:val="p"/>
          </m:rPr>
          <m:t>+</m:t>
        </m:r>
        <m:r>
          <m:t>H</m:t>
        </m:r>
        <m:r>
          <m:rPr>
            <m:sty m:val="p"/>
          </m:rPr>
          <m:t>)</m:t>
        </m:r>
      </m:oMath>
      <w:r>
        <w:t xml:space="preserve">. Метод</w:t>
      </w:r>
      <w:r>
        <w:t xml:space="preserve"> </w:t>
      </w:r>
      <w:r>
        <w:rPr>
          <w:i/>
          <w:iCs/>
        </w:rPr>
        <w:t xml:space="preserve">Periods.Split</w:t>
      </w:r>
      <w:r>
        <w:t xml:space="preserve"> </w:t>
      </w:r>
      <w:r>
        <w:t xml:space="preserve">исключает метки, пересекающие границы периодов. При выгрузке из текущего каталога ранее удалённые версии недоступны.</w:t>
      </w:r>
    </w:p>
    <w:bookmarkEnd w:id="113"/>
    <w:bookmarkStart w:id="114" w:name="обучение-и-ввод-модели"/>
    <w:p>
      <w:pPr>
        <w:pStyle w:val="30"/>
      </w:pPr>
      <w:bookmarkStart w:id="262" w:name="GOSTHeading262"/>
      <w:r>
        <w:t xml:space="preserve">3.2.3 Обучение и ввод модели</w:t>
      </w:r>
      <w:bookmarkEnd w:id="262"/>
    </w:p>
    <w:p>
      <w:pPr>
        <w:pStyle w:val="FirstParagraph"/>
      </w:pPr>
      <w:r>
        <w:t xml:space="preserve">Обучение двухэтапной модели выполняет функция</w:t>
      </w:r>
      <w:r>
        <w:t xml:space="preserve"> </w:t>
      </w:r>
      <w:r>
        <w:rPr>
          <w:i/>
          <w:iCs/>
        </w:rPr>
        <w:t xml:space="preserve">sppr_ml.model.fit</w:t>
      </w:r>
      <w:r>
        <w:t xml:space="preserve">: классификатор LightGBM использует все допустимые примеры для оценки вероятности чтения, а регрессор обучается на примерах с чтениями и прогнозирует их число сверх первого. Результаты объединяются по формулам (2.7) и (2.8). Для выбора параметров на периоде настройки сравнивались 24 варианта по покрытию будущих чтений, в результате чего выбраны 15 листьев, скорость обучения 0,03, не менее 20 строк в листе и коэффициент регуляризации 1. Число деревьев определяется на последних 8 ч обучающего периода, после чего модель повторно обучается на всём этом периоде.</w:t>
      </w:r>
    </w:p>
    <w:p>
      <w:pPr>
        <w:pStyle w:val="a2"/>
      </w:pPr>
      <w:r>
        <w:t xml:space="preserve">Для передачи обученной модели в работающий сервис функция</w:t>
      </w:r>
      <w:r>
        <w:t xml:space="preserve"> </w:t>
      </w:r>
      <w:r>
        <w:rPr>
          <w:i/>
          <w:iCs/>
        </w:rPr>
        <w:t xml:space="preserve">sppr_ml.export.write</w:t>
      </w:r>
      <w:r>
        <w:t xml:space="preserve"> </w:t>
      </w:r>
      <w:r>
        <w:t xml:space="preserve">сохраняет её вместе с описанием комплекта и контрольными прогнозами, а загрузчик</w:t>
      </w:r>
      <w:r>
        <w:t xml:space="preserve"> </w:t>
      </w:r>
      <w:r>
        <w:rPr>
          <w:i/>
          <w:iCs/>
        </w:rPr>
        <w:t xml:space="preserve">lgbm.Load</w:t>
      </w:r>
      <w:r>
        <w:t xml:space="preserve"> </w:t>
      </w:r>
      <w:r>
        <w:t xml:space="preserve">проверяет целостность данных, совместимость признаков и совпадение результатов Python и Go с относительным допуском</w:t>
      </w:r>
      <w:r>
        <w:t xml:space="preserve"> </w:t>
      </w:r>
      <m:oMath>
        <m:sSup>
          <m:e>
            <m:r>
              <m:t>10</m:t>
            </m:r>
          </m:e>
          <m:sup>
            <m:r>
              <m:rPr>
                <m:sty m:val="p"/>
              </m:rPr>
              <m:t>−</m:t>
            </m:r>
            <m:r>
              <m:t>9</m:t>
            </m:r>
          </m:sup>
        </m:sSup>
      </m:oMath>
      <w:r>
        <w:t xml:space="preserve">. Только после успешной проверки структура</w:t>
      </w:r>
      <w:r>
        <w:t xml:space="preserve"> </w:t>
      </w:r>
      <w:r>
        <w:rPr>
          <w:i/>
          <w:iCs/>
        </w:rPr>
        <w:t xml:space="preserve">Manager</w:t>
      </w:r>
      <w:r>
        <w:t xml:space="preserve"> </w:t>
      </w:r>
      <w:r>
        <w:t xml:space="preserve">активирует модель и записывает её версию, а несовместимый комплект отклоняется. Обновление выполняется раз в сутки, причём ошибка обучения не приводит к замене предыдущей пригодной модели. Если такой модели нет или её возраст превышает 72 ч, прогноз рассчитывается с помощью экспоненциально взвешенного скользящего среднего (EWMA). В пределах одного расчёта плана версия модели остаётся неизменной, а при неполной истории формирование прогнозных рекомендаций приостанавливается независимо от выбранного метода.</w:t>
      </w:r>
    </w:p>
    <w:bookmarkEnd w:id="114"/>
    <w:bookmarkEnd w:id="115"/>
    <w:bookmarkStart w:id="117" w:name="тестирование-программного-обеспечения"/>
    <w:p>
      <w:pPr>
        <w:pStyle w:val="21"/>
      </w:pPr>
      <w:bookmarkStart w:id="263" w:name="GOSTHeading263"/>
      <w:r>
        <w:t xml:space="preserve">3.3 Тестирование программного обеспечения</w:t>
      </w:r>
      <w:bookmarkEnd w:id="263"/>
    </w:p>
    <w:p>
      <w:pPr>
        <w:pStyle w:val="FirstParagraph"/>
      </w:pPr>
      <w:r>
        <w:t xml:space="preserve">Разработка велась через тестирование (англ. Test-Driven Development, TDD): проверки ожидаемого поведения создавались до его реализации. Они охватывают сбор истории, подготовку данных, прогнозирование, планирование и исполнение переносов. Успешно пройдены 189 тестовых функций Go и 71 тест Python.</w:t>
      </w:r>
    </w:p>
    <w:p>
      <w:pPr>
        <w:pStyle w:val="a2"/>
      </w:pPr>
      <w:r>
        <w:t xml:space="preserve">На стенде с PostgreSQL, компонентами метаданных и хранения проверен полный цикл обновления модели, подтверждения плана и переноса с последующим чтением, включая повтор команды и восстановление после перезапуска. Для проверки отказов моделировались повреждение копии, обрыв передачи и потеря ответа. Основные сценарии проверок приведены в Таблице 3.3.</w:t>
      </w:r>
    </w:p>
    <w:bookmarkStart w:id="116" w:name="gost-tbl:data_test_cases"/>
    <w:p>
      <w:pPr>
        <w:pStyle w:val="TableCaption"/>
      </w:pPr>
      <w:r>
        <w:t xml:space="preserve">Таблица 3.3 – Основные проверки СППР</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3 – Основные проверки СППР"/>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Требования</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Проверяемое поведение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 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В историю спроса включаются клиентские чтения, а технические копирования исключаются.</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рассчитываются по прошлой истории, а метки — по будущим чтениям. Неполная история отличается от нулевого спроса.</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 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 учитывает ограничения ресурсов, а объяснения соответствуют расчёту рекомендаций.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 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Администратор подтверждает план и повторно отправляет ту же команду. Повтор не создаёт вторую операцию.</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 F-09</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Объект переносится между классами хранения, после чего его содержимое проверяется чтением.</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F-09, 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При сбое исходные данные сохраняются, а после перезапуска исполнитель продолжает работу.</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 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Новая модель вводится после проверки, а ошибка обучения не заменяет действующую модель. При отсутствии пригодной модели используется базовый прогноз.</w:t>
            </w:r>
          </w:p>
        </w:tc>
      </w:tr>
    </w:tbl>
    <w:bookmarkEnd w:id="116"/>
    <w:p>
      <w:pPr>
        <w:pStyle w:val="a2"/>
        <w:spacing w:before="120"/>
      </w:pPr>
      <w:r>
        <w:rPr>
          <w:highlight w:val="yellow"/>
        </w:rPr>
        <w:t xml:space="preserve">Полная проверка передачи событий и сохранности данных при отказах требует завершения</w:t>
      </w:r>
      <w:r>
        <w:t xml:space="preserve">.</w:t>
      </w:r>
    </w:p>
    <w:bookmarkEnd w:id="117"/>
    <w:bookmarkStart w:id="124" w:name="X759af35c9299631592eb12b28630520288f3b17"/>
    <w:p>
      <w:pPr>
        <w:pStyle w:val="21"/>
      </w:pPr>
      <w:bookmarkStart w:id="264" w:name="GOSTHeading264"/>
      <w:r>
        <w:t xml:space="preserve">3.4 Оценка надёжности, качества и эффективности</w:t>
      </w:r>
      <w:bookmarkEnd w:id="264"/>
    </w:p>
    <w:p>
      <w:pPr>
        <w:pStyle w:val="FirstParagraph"/>
      </w:pPr>
      <w:r>
        <w:t xml:space="preserve">Качество прогноза показывает точность оценки спроса. Эффект размещения проверяется отдельно по задержке клиентских чтений; сохранность и соблюдение ресурсов оцениваются независимо от выигрыша.</w:t>
      </w:r>
    </w:p>
    <w:bookmarkStart w:id="118" w:name="условия-сравнения"/>
    <w:p>
      <w:pPr>
        <w:pStyle w:val="30"/>
      </w:pPr>
      <w:bookmarkStart w:id="265" w:name="GOSTHeading265"/>
      <w:r>
        <w:t xml:space="preserve">3.4.1 Условия сравнения</w:t>
      </w:r>
      <w:bookmarkEnd w:id="265"/>
    </w:p>
    <w:p>
      <w:pPr>
        <w:pStyle w:val="FirstParagraph"/>
      </w:pPr>
      <w:r>
        <w:t xml:space="preserve">Сравниваются возраст, давность, частота, EWMA и модель с общим планировщиком. Для 10 000 объектов по 1 МиБ заданы HOT 1 ГиБ, COLD 12 ГиБ и допустимая занятость 90 %. Цикл — 300 с, бюджеты — 64, 256 и 512 МиБ; переносы последовательные, интервал — 60 мин. Подтверждение поступает через 5 с. Начальное размещение — COLD.</w:t>
      </w:r>
    </w:p>
    <w:p>
      <w:pPr>
        <w:pStyle w:val="a2"/>
      </w:pPr>
      <w:r>
        <w:t xml:space="preserve">Основная серия содержит 900 вариантов: 6 сценариев, 10 начальных значений, 3 бюджета и 5 политик. Модель обновляется ежесуточно по прошлой истории. Доверительные интервалы 95 % построены по десяти парным прогонам с 10 000 повторными выборками; отдельные запросы независимыми наблюдениями не считаются. Результаты:</w:t>
      </w:r>
      <w:r>
        <w:t xml:space="preserve"> </w:t>
      </w:r>
      <w:r>
        <w:rPr>
          <w:rStyle w:val="VerbatimChar"/>
        </w:rPr>
        <w:t xml:space="preserve">build/stage11/experiment-main-report.md</w:t>
      </w:r>
      <w:r>
        <w:t xml:space="preserve">.</w:t>
      </w:r>
    </w:p>
    <w:bookmarkEnd w:id="118"/>
    <w:bookmarkStart w:id="120" w:name="системные-показатели"/>
    <w:p>
      <w:pPr>
        <w:pStyle w:val="30"/>
      </w:pPr>
      <w:bookmarkStart w:id="266" w:name="GOSTHeading266"/>
      <w:r>
        <w:t xml:space="preserve">3.4.2 Системные показатели</w:t>
      </w:r>
      <w:bookmarkEnd w:id="266"/>
    </w:p>
    <w:p>
      <w:pPr>
        <w:pStyle w:val="FirstParagraph"/>
      </w:pPr>
      <w:r>
        <w:t xml:space="preserve">Таблица 3.4 сопоставляет измерения с требованиями; p95 обозначает 95-й процентиль: 95 % наблюдений не превышают указанного значения. Полная приёмка надёжности требует завершения проверки сохранности при отказах, указанной в Таблице 3.3.</w:t>
      </w:r>
    </w:p>
    <w:bookmarkStart w:id="119" w:name="gost-tbl:technology_acceptance"/>
    <w:p>
      <w:pPr>
        <w:pStyle w:val="TableCaption"/>
      </w:pPr>
      <w:r>
        <w:t xml:space="preserve">Таблица 3.4 – Системные показатели и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4 – Системные показатели и требования"/>
      </w:tblPr>
      <w:tblGrid>
        <w:gridCol w:w="2712"/>
        <w:gridCol w:w="3429"/>
        <w:gridCol w:w="3497"/>
      </w:tblGrid>
      <w:tr>
        <w:trPr>
          <w:tblHeader w:val="on"/>
          <w:cantSplit/>
        </w:trPr>
        <w:tc>
          <w:tcPr>
            <w:tcW w:w="271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342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3497"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Результат</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Сохранность и восстановление</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Нет потерь. Состояние доступно за 60 с</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 10,40–10,46 с</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Полный расчёт плана</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с</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До 246 мс</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Память плана</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512 МиБ</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Go — 276–278 МиБ</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Общие ресурсы</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2 ядра, 2 ГиБ</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До 1,94 ядра и 824 МиБ</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Первоначальная подготовка</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мин в квоте</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19,9 мин, до 1,59 ГиБ</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300 с</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41,0–48,5 с</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средней задержки и её 95-го перцентиля (p95) не более 5 %</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снижение на 14,3–14,4 %. p95: рост на 1,2–1,8 мс</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Страница рекомендаций и команда</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95-й процентиль (p95) не более 2 с</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Страница — 4,9 мс. Команда — 2,4 мс</w:t>
            </w:r>
          </w:p>
        </w:tc>
      </w:tr>
    </w:tbl>
    <w:bookmarkEnd w:id="119"/>
    <w:p>
      <w:pPr>
        <w:pStyle w:val="a2"/>
        <w:spacing w:before="120"/>
      </w:pPr>
      <w:r>
        <w:t xml:space="preserve">На стенде проверены 100 запросов первой страницы и 100 команд продолжения со скоростью 2 запроса/с при 10 000 объектов.</w:t>
      </w:r>
    </w:p>
    <w:p>
      <w:pPr>
        <w:pStyle w:val="a2"/>
      </w:pPr>
      <w:r>
        <w:t xml:space="preserve">Влияние на чтение измерено при постоянной нагрузке 20 чтений/с на 10 000 объектов, размещённых в COLD, с приостановленными переносами. Для каждого из трёх режимов — без СППР, СППР без обучения и СППР с обучением — выполнялись прогрев 3 мин и измерение 15 мин; в каждом режиме завершено 18 000 чтений без ошибок (</w:t>
      </w:r>
      <w:r>
        <w:rPr>
          <w:rStyle w:val="VerbatimChar"/>
        </w:rPr>
        <w:t xml:space="preserve">build/stage11/overhead-short-report.md</w:t>
      </w:r>
      <w:r>
        <w:t xml:space="preserve">). Средняя задержка составила 11,18, 9,58 и 9,58 мс, p95 — 13,02, 14,20 и 14,81 мс. СППР в квоте 2 ядра и 2 ГиБ использовала без обучения в среднем 3 % ядра и до 31 МиБ памяти, при обучении — 27 % ядра и до 824 МиБ.</w:t>
      </w:r>
    </w:p>
    <w:p>
      <w:pPr>
        <w:pStyle w:val="a2"/>
      </w:pPr>
      <w:r>
        <w:t xml:space="preserve">Измерения выполнены на компьютере Apple M4 (10 ядер, 16 ГБ памяти, macOS 27.0.1) в Docker Desktop 29.6.1 (виртуальная машина: 10 ядер, 7,75 ГиБ) с Docker Compose 5.3.0; сервисы собраны Go 1.24.1, обучение выполнялось LightGBM 4.7.0.</w:t>
      </w:r>
    </w:p>
    <w:bookmarkEnd w:id="120"/>
    <w:bookmarkStart w:id="123" w:name="качество-прогноза"/>
    <w:p>
      <w:pPr>
        <w:pStyle w:val="30"/>
      </w:pPr>
      <w:bookmarkStart w:id="267" w:name="GOSTHeading267"/>
      <w:r>
        <w:t xml:space="preserve">3.4.3 Качество прогноза</w:t>
      </w:r>
      <w:bookmarkEnd w:id="267"/>
    </w:p>
    <w:p>
      <w:pPr>
        <w:pStyle w:val="FirstParagraph"/>
      </w:pPr>
      <w:r>
        <w:t xml:space="preserve">Покрытие</w:t>
      </w:r>
      <w:r>
        <w:t xml:space="preserve"> </w:t>
      </w:r>
      <m:oMath>
        <m:sSub>
          <m:e>
            <m:r>
              <m:rPr>
                <m:sty m:val="p"/>
              </m:rPr>
              <m:t>C</m:t>
            </m:r>
            <m:r>
              <m:rPr>
                <m:sty m:val="p"/>
              </m:rPr>
              <m:t>o</m:t>
            </m:r>
            <m:r>
              <m:rPr>
                <m:sty m:val="p"/>
              </m:rPr>
              <m:t>v</m:t>
            </m:r>
          </m:e>
          <m:sub>
            <m:r>
              <m:t>K</m:t>
            </m:r>
          </m:sub>
        </m:sSub>
      </m:oMath>
      <w:r>
        <w:t xml:space="preserve"> </w:t>
      </w:r>
      <w:r>
        <w:t xml:space="preserve">— доля будущих чтений выбранных K объектов. Для трасс K равно 9,21 % каталога. Таблица 3.5 содержит результаты периода настройки из</w:t>
      </w:r>
      <w:r>
        <w:t xml:space="preserve"> </w:t>
      </w:r>
      <w:r>
        <w:rPr>
          <w:rStyle w:val="VerbatimChar"/>
        </w:rPr>
        <w:t xml:space="preserve">docs/ml-report.md</w:t>
      </w:r>
      <w:r>
        <w:t xml:space="preserve">, Таблица 3.6 — итогового теста.</w:t>
      </w:r>
    </w:p>
    <w:bookmarkStart w:id="121" w:name="gost-tbl:ml_validation"/>
    <w:p>
      <w:pPr>
        <w:pStyle w:val="TableCaption"/>
      </w:pPr>
      <w:r>
        <w:t xml:space="preserve">Таблица 3.5 – Покрытие чтений на периоде настройки</w:t>
      </w:r>
    </w:p>
    <w:tbl>
      <w:tblPr>
        <w:tblStyle w:val="Table"/>
        <w:tblW w:type="dxa" w:w="8312"/>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5 – Покрытие чтений на периоде настройки"/>
      </w:tblPr>
      <w:tblGrid>
        <w:gridCol w:w="2507"/>
        <w:gridCol w:w="1259"/>
        <w:gridCol w:w="3062"/>
        <w:gridCol w:w="1484"/>
      </w:tblGrid>
      <w:tr>
        <w:trPr>
          <w:tblHeader w:val="on"/>
          <w:cantSplit/>
        </w:trPr>
        <w:tc>
          <w:tcPr>
            <w:tcW w:w="2507"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25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3062"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148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Meta CDN</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0,670</w:t>
            </w:r>
          </w:p>
        </w:tc>
        <w:tc>
          <w:tcPr>
            <w:tcW w:w="3062"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0,531</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+0,139</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0,960</w:t>
            </w:r>
          </w:p>
        </w:tc>
        <w:tc>
          <w:tcPr>
            <w:tcW w:w="3062"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0,866</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+0,094</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IBM COS</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0,880</w:t>
            </w:r>
          </w:p>
        </w:tc>
        <w:tc>
          <w:tcPr>
            <w:tcW w:w="3062"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0,851</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+0,029</w:t>
            </w:r>
          </w:p>
        </w:tc>
      </w:tr>
    </w:tbl>
    <w:bookmarkEnd w:id="121"/>
    <w:p>
      <w:pPr>
        <w:pStyle w:val="a2"/>
        <w:spacing w:before="120"/>
      </w:pPr>
      <w:r>
        <w:t xml:space="preserve">Итоговый тест выполнен после подбора параметров: для каждой трассы вариант выбран сеткой из 24 вариантов на периоде настройки, затем тестовый период — последние 4/7 наблюдаемого интервала — открыт один раз. Лучшая базовая оценка выбрана по покрытию на тестовом периоде. Результаты приведены в Таблице 3.6 (</w:t>
      </w:r>
      <w:r>
        <w:rPr>
          <w:rStyle w:val="VerbatimChar"/>
        </w:rPr>
        <w:t xml:space="preserve">build/stage11/trace-test-report.md</w:t>
      </w:r>
      <w:r>
        <w:t xml:space="preserve">).</w:t>
      </w:r>
    </w:p>
    <w:bookmarkStart w:id="122" w:name="gost-tbl:ml_test"/>
    <w:p>
      <w:pPr>
        <w:pStyle w:val="TableCaption"/>
      </w:pPr>
      <w:r>
        <w:t xml:space="preserve">Таблица 3.6 – Покрытие чтений на итоговом тесте трасс</w:t>
      </w:r>
    </w:p>
    <w:tbl>
      <w:tblPr>
        <w:tblStyle w:val="Table"/>
        <w:tblW w:type="dxa" w:w="9374"/>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6 – Покрытие чтений на итоговом тесте трасс"/>
      </w:tblPr>
      <w:tblGrid>
        <w:gridCol w:w="2507"/>
        <w:gridCol w:w="1259"/>
        <w:gridCol w:w="4124"/>
        <w:gridCol w:w="1484"/>
      </w:tblGrid>
      <w:tr>
        <w:trPr>
          <w:tblHeader w:val="on"/>
          <w:cantSplit/>
        </w:trPr>
        <w:tc>
          <w:tcPr>
            <w:tcW w:w="2507"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25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4124"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 на тесте</w:t>
            </w:r>
          </w:p>
        </w:tc>
        <w:tc>
          <w:tcPr>
            <w:tcW w:w="148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Meta CDN</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0,702</w:t>
            </w:r>
          </w:p>
        </w:tc>
        <w:tc>
          <w:tcPr>
            <w:tcW w:w="4124" w:type="dxa"/>
          </w:tcPr>
          <w:p>
            <w:pPr>
              <w:pStyle w:val="Compact"/>
              <w:keepNext w:val="0"/>
              <w:pageBreakBefore w:val="0"/>
              <w:suppressAutoHyphens w:val="1"/>
              <w:spacing w:before="0" w:after="0" w:line="240" w:lineRule="auto"/>
              <w:ind w:firstLine="0" w:left="0" w:right="0"/>
              <w:jc w:val="both"/>
            </w:pPr>
            <w:r>
              <w:rPr>
                <w:sz w:val="24"/>
                <w:szCs w:val="24"/>
              </w:rPr>
              <w:t xml:space="preserve">EWMA: 0,642</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+0,060</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0,820</w:t>
            </w:r>
          </w:p>
        </w:tc>
        <w:tc>
          <w:tcPr>
            <w:tcW w:w="4124"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0,739</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+0,081</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IBM COS 000</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0,878</w:t>
            </w:r>
          </w:p>
        </w:tc>
        <w:tc>
          <w:tcPr>
            <w:tcW w:w="4124"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0,874</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+0,004</w:t>
            </w:r>
          </w:p>
        </w:tc>
      </w:tr>
    </w:tbl>
    <w:bookmarkEnd w:id="122"/>
    <w:bookmarkEnd w:id="123"/>
    <w:bookmarkEnd w:id="124"/>
    <w:bookmarkEnd w:id="125"/>
    <w:bookmarkStart w:id="135" w:name="конец-дальше-нейрослоп"/>
    <w:p>
      <w:pPr>
        <w:pStyle w:val="GOSTStructuralHeading"/>
        <w:spacing w:before="120"/>
      </w:pPr>
      <w:bookmarkStart w:id="268" w:name="GOSTHeading268"/>
      <w:r>
        <w:t xml:space="preserve">КОНЕЦ (ДАЛЬШЕ НЕЙРОСЛОП)</w:t>
      </w:r>
      <w:bookmarkEnd w:id="268"/>
    </w:p>
    <w:p>
      <w:pPr>
        <w:pStyle w:val="FirstParagraph"/>
      </w:pPr>
      <w:r>
        <w:t xml:space="preserve">Для стабильного синтетического теста получены результаты Таблицы 1, усреднённые по десяти начальным значениям генератора (</w:t>
      </w:r>
      <w:r>
        <w:rPr>
          <w:rStyle w:val="VerbatimChar"/>
        </w:rPr>
        <w:t xml:space="preserve">build/stage11/forecast-quality/stable-*/evaluate.json</w:t>
      </w:r>
      <w:r>
        <w:t xml:space="preserve">). Для EWMA вероятность чтения задана преобразованием</w:t>
      </w:r>
      <w:r>
        <w:t xml:space="preserve"> </w:t>
      </w:r>
      <m:oMath>
        <m:r>
          <m:t>1</m:t>
        </m:r>
        <m:r>
          <m:rPr>
            <m:sty m:val="p"/>
          </m:rPr>
          <m:t>−</m:t>
        </m:r>
        <m:sSup>
          <m:e>
            <m:r>
              <m:t>e</m:t>
            </m:r>
          </m:e>
          <m:sup>
            <m:r>
              <m:rPr>
                <m:sty m:val="p"/>
              </m:rPr>
              <m:t>−</m:t>
            </m:r>
            <m:sSub>
              <m:e>
                <m:acc>
                  <m:accPr>
                    <m:chr m:val="̂"/>
                  </m:accPr>
                  <m:e>
                    <m:r>
                      <m:t>N</m:t>
                    </m:r>
                  </m:e>
                </m:acc>
              </m:e>
              <m:sub>
                <m:r>
                  <m:t>i</m:t>
                </m:r>
              </m:sub>
            </m:sSub>
          </m:sup>
        </m:sSup>
      </m:oMath>
      <w:r>
        <w:t xml:space="preserve"> </w:t>
      </w:r>
      <w:r>
        <w:t xml:space="preserve">до итоговой оценки.</w:t>
      </w:r>
    </w:p>
    <w:bookmarkStart w:id="126" w:name="gost-tbl:forecast_quality"/>
    <w:p>
      <w:pPr>
        <w:pStyle w:val="TableCaption"/>
      </w:pPr>
      <w:r>
        <w:t xml:space="preserve">Таблица 1 – Качество прогноза на стабильном итоговом тесте</w:t>
      </w:r>
    </w:p>
    <w:tbl>
      <w:tblPr>
        <w:tblStyle w:val="Table"/>
        <w:tblW w:type="dxa" w:w="8405"/>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 – Качество прогноза на стабильном итоговом тесте"/>
      </w:tblPr>
      <w:tblGrid>
        <w:gridCol w:w="5932"/>
        <w:gridCol w:w="1259"/>
        <w:gridCol w:w="1214"/>
      </w:tblGrid>
      <w:tr>
        <w:trPr>
          <w:tblHeader w:val="on"/>
          <w:cantSplit/>
        </w:trPr>
        <w:tc>
          <w:tcPr>
            <w:tcW w:w="593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125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1214"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Площадь под кривой точности и полноты (PR-AUC)</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0,8460</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0,8461</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оценка Брайера</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0,1628</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0,1955</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Средняя абсолютная ошибка, чтений за час</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1,497</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1,702</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Покрытие чтений первыми 921 объектом</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r>
    </w:tbl>
    <w:bookmarkEnd w:id="126"/>
    <w:p>
      <w:pPr>
        <w:pStyle w:val="a2"/>
        <w:spacing w:before="120"/>
      </w:pPr>
      <w:r>
        <w:t xml:space="preserve">Модель точнее оценивает вероятность и число чтений, но покрытие совпадает с EWMA. Улучшение численного прогноза в этом сценарии не улучшило ранжирование, поэтому полезность проверяется по результатам размещения.</w:t>
      </w:r>
    </w:p>
    <w:bookmarkStart w:id="129" w:name="эффективность-размещения"/>
    <w:p>
      <w:pPr>
        <w:pStyle w:val="30"/>
      </w:pPr>
      <w:bookmarkStart w:id="269" w:name="GOSTHeading269"/>
      <w:r>
        <w:t xml:space="preserve">3.0.1 Эффективность размещения</w:t>
      </w:r>
      <w:bookmarkEnd w:id="269"/>
    </w:p>
    <w:p>
      <w:pPr>
        <w:pStyle w:val="FirstParagraph"/>
      </w:pPr>
      <w:r>
        <w:t xml:space="preserve">Критерий преимущества из Раздела 1.3.7 требует нижней границы уменьшения среднего не менее 5 % относительно каждой базовой политики при ухудшении 95-го перцентиля задержки (p95) не более чем на 5 %. Таблица 3.1 показывает основной бюджет; нижняя граница — наименьшая среди четырёх сравнений.</w:t>
      </w:r>
    </w:p>
    <w:bookmarkStart w:id="127" w:name="gost-tbl:policy_results"/>
    <w:p>
      <w:pPr>
        <w:pStyle w:val="TableCaption"/>
      </w:pPr>
      <w:r>
        <w:t xml:space="preserve">Таблица 3.1 – Симуляция при бюджете 256 МиБ за цикл</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 – Симуляция при бюджете 256 МиБ за цикл"/>
      </w:tblPr>
      <w:tblGrid>
        <w:gridCol w:w="2867"/>
        <w:gridCol w:w="3470"/>
        <w:gridCol w:w="3301"/>
      </w:tblGrid>
      <w:tr>
        <w:trPr>
          <w:tblHeader w:val="on"/>
          <w:cantSplit/>
        </w:trPr>
        <w:tc>
          <w:tcPr>
            <w:tcW w:w="2867"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3470"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модели, мс</w:t>
            </w:r>
          </w:p>
        </w:tc>
        <w:tc>
          <w:tcPr>
            <w:tcW w:w="3301"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17,3688</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37,0553</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−0,03</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27,3185</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37,2316</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−0,06</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bl>
    <w:bookmarkEnd w:id="127"/>
    <w:p>
      <w:pPr>
        <w:pStyle w:val="a2"/>
        <w:spacing w:before="120"/>
      </w:pPr>
      <w:r>
        <w:t xml:space="preserve">Во всех вариантах 95-й процентиль задержки (p95) равен 40 мс. Критерий не выполнен ни в одном сценарии и бюджете. Наибольшее уменьшение относительно EWMA — 3,91 % с интервалом [3,88; 3,95] % при смене набора. В том же случае выигрыш относительно возраста, давности и частоты равен 52,46 %, 45,53 % и 37,75 %. Преимущество над простыми эвристиками не обеспечивает требуемого преимущества над каждой базовой политикой.</w:t>
      </w:r>
    </w:p>
    <w:bookmarkStart w:id="128" w:name="gost-tbl:budget_effect"/>
    <w:p>
      <w:pPr>
        <w:pStyle w:val="TableCaption"/>
      </w:pPr>
      <w:r>
        <w:t xml:space="preserve">Таблица 3.2 – Влияние бюджета при смене набора</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2 – Влияние бюджета при смене набора"/>
      </w:tblPr>
      <w:tblGrid>
        <w:gridCol w:w="2687"/>
        <w:gridCol w:w="3568"/>
        <w:gridCol w:w="3383"/>
      </w:tblGrid>
      <w:tr>
        <w:trPr>
          <w:tblHeader w:val="on"/>
          <w:cantSplit/>
        </w:trPr>
        <w:tc>
          <w:tcPr>
            <w:tcW w:w="2687" w:type="dxa"/>
          </w:tcPr>
          <w:p>
            <w:pPr>
              <w:pStyle w:val="Compact"/>
              <w:keepNext w:val="0"/>
              <w:pageBreakBefore w:val="0"/>
              <w:suppressAutoHyphens w:val="1"/>
              <w:spacing w:before="0" w:after="0" w:line="240" w:lineRule="auto"/>
              <w:ind w:firstLine="0" w:left="0" w:right="0"/>
              <w:jc w:val="center"/>
            </w:pPr>
            <w:r>
              <w:rPr>
                <w:b w:val="1"/>
                <w:sz w:val="24"/>
                <w:szCs w:val="24"/>
              </w:rPr>
              <w:t xml:space="preserve">Бюджет, МиБ за цикл</w:t>
            </w:r>
          </w:p>
        </w:tc>
        <w:tc>
          <w:tcPr>
            <w:tcW w:w="3568"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модели, мс</w:t>
            </w:r>
          </w:p>
        </w:tc>
        <w:tc>
          <w:tcPr>
            <w:tcW w:w="3383"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64</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18,3552</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3,75</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256</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512</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17,6708</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3,65</w:t>
            </w:r>
          </w:p>
        </w:tc>
      </w:tr>
    </w:tbl>
    <w:bookmarkEnd w:id="128"/>
    <w:p>
      <w:pPr>
        <w:pStyle w:val="a2"/>
        <w:spacing w:before="120"/>
      </w:pPr>
      <w:r>
        <w:t xml:space="preserve">На контейнерном стенде Docker Compose выполнено сравнение модели и EWMA в реальном контуре OpenS3: по двухчасовому прогону на политику при смене набора на 40-й и 80-й минутах, бюджете 256 МиБ и 20 чтениях/с (</w:t>
      </w:r>
      <w:r>
        <w:rPr>
          <w:rStyle w:val="VerbatimChar"/>
        </w:rPr>
        <w:t xml:space="preserve">build/stage11/stand-main-report.md</w:t>
      </w:r>
      <w:r>
        <w:t xml:space="preserve">). Модель загружалась как фиксированный комплект, обученный на первых двух сутках синтетической истории. В каждом прогоне завершено 144 000 чтений без ошибок. Средняя задержка модели — 7,87 мс, EWMA — 10,02 мс (−21,5 %); p95 — 11,62 и 13,21 мс (−12,0 %), p99 — 17,14 и 23,14 мс; медианы близки (7,41 и 7,22 мс). Выигрыш сосредоточен в хвосте распределения и по направлению согласуется с симуляцией.</w:t>
      </w:r>
    </w:p>
    <w:bookmarkEnd w:id="129"/>
    <w:bookmarkStart w:id="133" w:name="руководство-администратора"/>
    <w:p>
      <w:pPr>
        <w:pStyle w:val="21"/>
      </w:pPr>
      <w:bookmarkStart w:id="270" w:name="GOSTHeading270"/>
      <w:r>
        <w:t xml:space="preserve">3.1 Руководство администратора</w:t>
      </w:r>
      <w:bookmarkEnd w:id="270"/>
    </w:p>
    <w:p>
      <w:pPr>
        <w:pStyle w:val="FirstParagraph"/>
      </w:pPr>
      <w:r>
        <w:t xml:space="preserve">Панель локального развёртывания открывается по адресу</w:t>
      </w:r>
      <w:r>
        <w:t xml:space="preserve"> </w:t>
      </w:r>
      <w:r>
        <w:rPr>
          <w:rStyle w:val="VerbatimChar"/>
        </w:rPr>
        <w:t xml:space="preserve">http://localhost:8086/admin</w:t>
      </w:r>
      <w:r>
        <w:t xml:space="preserve">. Требуются вход через Auth и полномочие ADMIN для</w:t>
      </w:r>
      <w:r>
        <w:t xml:space="preserve"> </w:t>
      </w:r>
      <w:r>
        <w:rPr>
          <w:rStyle w:val="VerbatimChar"/>
        </w:rPr>
        <w:t xml:space="preserve">system:placement</w:t>
      </w:r>
      <w:r>
        <w:t xml:space="preserve">. Перед расчётом администратор проверяет полноту истории, возраст модели, занятость классов и остаток бюджета.</w:t>
      </w:r>
    </w:p>
    <w:bookmarkStart w:id="130" w:name="настройка-и-подтверждение-плана"/>
    <w:p>
      <w:pPr>
        <w:pStyle w:val="30"/>
      </w:pPr>
      <w:bookmarkStart w:id="271" w:name="GOSTHeading271"/>
      <w:r>
        <w:t xml:space="preserve">3.1.1 Настройка и подтверждение плана</w:t>
      </w:r>
      <w:bookmarkEnd w:id="271"/>
    </w:p>
    <w:p>
      <w:pPr>
        <w:pStyle w:val="FirstParagraph"/>
      </w:pPr>
      <w:r>
        <w:t xml:space="preserve">На странице «Настройки» задаются допустимая загрузка классов, бюджет, интервал переносов и закрепления. Для основного профиля: 90 %, 256 МиБ за 300 с и 60 мин соответственно. После сохранения нажимается «Рассчитать план».</w:t>
      </w:r>
    </w:p>
    <w:p>
      <w:pPr>
        <w:pStyle w:val="a2"/>
      </w:pPr>
      <w:r>
        <w:t xml:space="preserve">Рассмотрение плана выполняется в следующем порядке:</w:t>
      </w:r>
    </w:p>
    <w:p>
      <w:pPr>
        <w:pStyle w:val="Compact"/>
        <w:numPr>
          <w:ilvl w:val="0"/>
          <w:numId w:val="1004"/>
        </w:numPr>
        <w:tabs>
          <w:tab w:val="num" w:pos="1276"/>
        </w:tabs>
        <w:spacing w:before="0" w:after="0" w:line="360" w:lineRule="auto"/>
        <w:ind w:left="1276" w:hanging="567"/>
      </w:pPr>
      <w:r>
        <w:t xml:space="preserve">На странице «Рекомендации» открыть последнюю ревизию и проверить её время, горизонт, метод и статус. При неполной истории восстановить её сбор до подтверждения.</w:t>
      </w:r>
    </w:p>
    <w:p>
      <w:pPr>
        <w:pStyle w:val="Compact"/>
        <w:numPr>
          <w:ilvl w:val="0"/>
          <w:numId w:val="1004"/>
        </w:numPr>
        <w:tabs>
          <w:tab w:val="num" w:pos="1276"/>
        </w:tabs>
        <w:spacing w:before="0" w:after="0" w:line="360" w:lineRule="auto"/>
        <w:ind w:left="1276" w:hanging="567"/>
      </w:pPr>
      <w:r>
        <w:t xml:space="preserve">Открыть карточку рекомендации: сопоставить прогноз, ожидаемый выигрыш, затраты и ресурсы. Для входа в заполненный HOT проверить обязательные предшественники, освобождающие место.</w:t>
      </w:r>
    </w:p>
    <w:p>
      <w:pPr>
        <w:pStyle w:val="Compact"/>
        <w:numPr>
          <w:ilvl w:val="0"/>
          <w:numId w:val="1004"/>
        </w:numPr>
        <w:tabs>
          <w:tab w:val="num" w:pos="1276"/>
        </w:tabs>
        <w:spacing w:before="0" w:after="0" w:line="360" w:lineRule="auto"/>
        <w:ind w:left="1276" w:hanging="567"/>
      </w:pPr>
      <w:r>
        <w:t xml:space="preserve">Нажать «Подтвердить весь план» либо выбрать допустимый набор на текущей странице. При отказе из-за зависимостей добавить перечисленные действия.</w:t>
      </w:r>
    </w:p>
    <w:p>
      <w:pPr>
        <w:pStyle w:val="Compact"/>
        <w:numPr>
          <w:ilvl w:val="0"/>
          <w:numId w:val="1004"/>
        </w:numPr>
        <w:tabs>
          <w:tab w:val="num" w:pos="1276"/>
        </w:tabs>
        <w:spacing w:before="0" w:after="0" w:line="360" w:lineRule="auto"/>
        <w:ind w:left="1276" w:hanging="567"/>
      </w:pPr>
      <w:r>
        <w:t xml:space="preserve">На странице «Результат команды» сохранить идентификатор и перейти к действиям. Принятая команда ещё не означает завершённый перенос. Результат проверяется на странице «Миграции» по журналу; ожидаемый эффект остаётся в карточке рекомендации.</w:t>
      </w:r>
    </w:p>
    <w:bookmarkEnd w:id="130"/>
    <w:bookmarkStart w:id="132" w:name="контроль-и-обработка-ошибок"/>
    <w:p>
      <w:pPr>
        <w:pStyle w:val="30"/>
      </w:pPr>
      <w:bookmarkStart w:id="272" w:name="GOSTHeading272"/>
      <w:r>
        <w:t xml:space="preserve">3.1.2 Контроль и обработка ошибок</w:t>
      </w:r>
      <w:bookmarkEnd w:id="272"/>
    </w:p>
    <w:p>
      <w:pPr>
        <w:pStyle w:val="FirstParagraph"/>
      </w:pPr>
      <w:r>
        <w:t xml:space="preserve">Кнопка «Приостановить» прекращает новые переносы; начатые операции и очистка продолжаются. «Отменить ожидающие действия плана» отменяет не начатые переносы с зависимыми действиями. После сетевого сбоя проверяется прежняя команда; повтор выполняется с тем же идентификатором. Остальные действия приведены в Таблице 3.3.</w:t>
      </w:r>
    </w:p>
    <w:bookmarkStart w:id="131" w:name="gost-tbl:admin_exceptions"/>
    <w:p>
      <w:pPr>
        <w:pStyle w:val="TableCaption"/>
      </w:pPr>
      <w:r>
        <w:t xml:space="preserve">Таблица 3.3 – Действия при отказах и блокировках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3 – Действия при отказах и блокировках"/>
      </w:tblPr>
      <w:tblGrid>
        <w:gridCol w:w="4096"/>
        <w:gridCol w:w="5542"/>
      </w:tblGrid>
      <w:tr>
        <w:trPr>
          <w:tblHeader w:val="on"/>
          <w:cantSplit/>
        </w:trPr>
        <w:tc>
          <w:tcPr>
            <w:tcW w:w="4096" w:type="dxa"/>
          </w:tcPr>
          <w:p>
            <w:pPr>
              <w:pStyle w:val="Compact"/>
              <w:keepNext w:val="0"/>
              <w:pageBreakBefore w:val="0"/>
              <w:suppressAutoHyphens w:val="1"/>
              <w:spacing w:before="0" w:after="0" w:line="240" w:lineRule="auto"/>
              <w:ind w:firstLine="0" w:left="0" w:right="0"/>
              <w:jc w:val="center"/>
            </w:pPr>
            <w:r>
              <w:rPr>
                <w:b w:val="1"/>
                <w:sz w:val="24"/>
                <w:szCs w:val="24"/>
              </w:rPr>
              <w:t xml:space="preserve">Ситуация</w:t>
            </w:r>
          </w:p>
        </w:tc>
        <w:tc>
          <w:tcPr>
            <w:tcW w:w="5542"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администратора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Устаревший план или неполные зависимости</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последнюю ревизию и включить необходимые предшественники</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Отказ в доступе</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вход и проверить полномочия администратора и службы доступа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Неполная история или устаревшая модель</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Gateway и Kafka; для модели — журнал и переобучение</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Недостаток места или бюджета</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временные копии и лимиты; дождаться очистки или нового окна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Повреждение копии, устаревшее действие или отказ очистки</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журнал и Storage; устаревшее действие рассмотреть в следующем плане</w:t>
            </w:r>
          </w:p>
        </w:tc>
      </w:tr>
    </w:tbl>
    <w:bookmarkEnd w:id="131"/>
    <w:bookmarkEnd w:id="132"/>
    <w:bookmarkEnd w:id="133"/>
    <w:bookmarkStart w:id="134" w:name="выводы-по-технологическому-разделу"/>
    <w:p>
      <w:pPr>
        <w:pStyle w:val="21"/>
        <w:spacing w:before="480"/>
      </w:pPr>
      <w:bookmarkStart w:id="273" w:name="GOSTHeading273"/>
      <w:r>
        <w:t xml:space="preserve">3.2 Выводы по технологическому разделу</w:t>
      </w:r>
      <w:bookmarkEnd w:id="273"/>
    </w:p>
    <w:p>
      <w:pPr>
        <w:pStyle w:val="FirstParagraph"/>
      </w:pPr>
      <w:r>
        <w:t xml:space="preserve">Реализован цикл от истории чтений до подтверждённого переноса с объяснением и журналом. Модульные проверки и сквозной сценарий обновления модели пройдены; F-01 выполнено частично, полная приёмка сохранности и ресурсов требует дополнительных протоколов. Для бюджета повторных попыток выявлено ограничение реализации.</w:t>
      </w:r>
    </w:p>
    <w:p>
      <w:pPr>
        <w:pStyle w:val="a2"/>
      </w:pPr>
      <w:r>
        <w:t xml:space="preserve">Основная симуляционная серия воспроизводима, но заданное преимущество над каждой базовой политикой не подтверждено. Наибольший выигрыш относительно EWMA составляет 3,91 %, ниже порога 5 %. На стенде при смене набора модель снизила среднюю задержку относительно EWMA на 21,5 % и p95 на 12,0 %. Расчёт плана, обновление модели и восстановление укладываются в требования с большим запасом; средняя задержка чтения при работе СППР не выросла, p95 увеличился на 1–2 мс. На итоговом тесте реальных трасс модель превзошла лучшую базовую оценку по покрытию чтений на Meta CDN (+0,060) и Docker Registry (+0,081).</w:t>
      </w:r>
    </w:p>
    <w:bookmarkEnd w:id="134"/>
    <w:bookmarkEnd w:id="135"/>
    <w:bookmarkStart w:id="136" w:name="заключение"/>
    <w:p>
      <w:pPr>
        <w:pStyle w:val="GOSTStructuralHeading"/>
      </w:pPr>
      <w:bookmarkStart w:id="274" w:name="GOSTHeading274"/>
      <w:r>
        <w:t xml:space="preserve">ЗАКЛЮЧЕНИЕ</w:t>
      </w:r>
      <w:bookmarkEnd w:id="274"/>
    </w:p>
    <w:p>
      <w:pPr>
        <w:pStyle w:val="FirstParagraph"/>
      </w:pPr>
      <w:r>
        <w:t xml:space="preserve">Разработана СППР размещения версий объектов между HOT и COLD в OpenS3. Она связывает историю обращений, прогноз востребованности, выбор допустимого плана и подтверждённое администратором исполнение. Получены следующие результаты по задачам, поставленным во введении:</w:t>
      </w:r>
    </w:p>
    <w:p>
      <w:pPr>
        <w:pStyle w:val="Compact"/>
        <w:numPr>
          <w:ilvl w:val="0"/>
          <w:numId w:val="1005"/>
        </w:numPr>
        <w:tabs>
          <w:tab w:val="num" w:pos="1276"/>
        </w:tabs>
        <w:spacing w:before="0" w:after="0" w:line="360" w:lineRule="auto"/>
        <w:ind w:left="1276" w:hanging="567"/>
      </w:pPr>
      <w:r>
        <w:t xml:space="preserve">Проанализированы методы управления классами хранения и аналоги, формализованы критерий задержки, ёмкость классов, бюджет переносов и условия сохранности версий.</w:t>
      </w:r>
    </w:p>
    <w:p>
      <w:pPr>
        <w:pStyle w:val="Compact"/>
        <w:numPr>
          <w:ilvl w:val="0"/>
          <w:numId w:val="1005"/>
        </w:numPr>
        <w:tabs>
          <w:tab w:val="num" w:pos="1276"/>
        </w:tabs>
        <w:spacing w:before="0" w:after="0" w:line="360" w:lineRule="auto"/>
        <w:ind w:left="1276" w:hanging="567"/>
      </w:pPr>
      <w:r>
        <w:t xml:space="preserve">Спроектированы модель прогноза, алгоритм совместного выбора размещения, процессы работы администратора и взаимодействие СППР с компонентами OpenS3.</w:t>
      </w:r>
    </w:p>
    <w:p>
      <w:pPr>
        <w:pStyle w:val="Compact"/>
        <w:numPr>
          <w:ilvl w:val="0"/>
          <w:numId w:val="1005"/>
        </w:numPr>
        <w:tabs>
          <w:tab w:val="num" w:pos="1276"/>
        </w:tabs>
        <w:spacing w:before="0" w:after="0" w:line="360" w:lineRule="auto"/>
        <w:ind w:left="1276" w:hanging="567"/>
      </w:pPr>
      <w:r>
        <w:t xml:space="preserve">Реализованы сбор истории, дедупликация, контроль полноты, признаки и метки с разделением по времени. Ограничение сбора состоит в отсутствии результата неуспешных клиентских операций.</w:t>
      </w:r>
    </w:p>
    <w:p>
      <w:pPr>
        <w:pStyle w:val="Compact"/>
        <w:numPr>
          <w:ilvl w:val="0"/>
          <w:numId w:val="1005"/>
        </w:numPr>
        <w:tabs>
          <w:tab w:val="num" w:pos="1276"/>
        </w:tabs>
        <w:spacing w:before="0" w:after="0" w:line="360" w:lineRule="auto"/>
        <w:ind w:left="1276" w:hanging="567"/>
      </w:pPr>
      <w:r>
        <w:t xml:space="preserve">Обучена двухэтапная модель LightGBM, выполнено сравнение с базовыми оценками, реализованы проверка совместимости, обновление и переход на EWMA при отсутствии пригодной модели.</w:t>
      </w:r>
    </w:p>
    <w:p>
      <w:pPr>
        <w:pStyle w:val="Compact"/>
        <w:numPr>
          <w:ilvl w:val="0"/>
          <w:numId w:val="1005"/>
        </w:numPr>
        <w:tabs>
          <w:tab w:val="num" w:pos="1276"/>
        </w:tabs>
        <w:spacing w:before="0" w:after="0" w:line="360" w:lineRule="auto"/>
        <w:ind w:left="1276" w:hanging="567"/>
      </w:pPr>
      <w:r>
        <w:t xml:space="preserve">Реализованы планировщик с ограничениями, объяснения, административный API и веб-интерфейс подтверждения и контроля действий.</w:t>
      </w:r>
    </w:p>
    <w:p>
      <w:pPr>
        <w:pStyle w:val="Compact"/>
        <w:numPr>
          <w:ilvl w:val="0"/>
          <w:numId w:val="1005"/>
        </w:numPr>
        <w:tabs>
          <w:tab w:val="num" w:pos="1276"/>
        </w:tabs>
        <w:spacing w:before="0" w:after="0" w:line="360" w:lineRule="auto"/>
        <w:ind w:left="1276" w:hanging="567"/>
      </w:pPr>
      <w:r>
        <w:t xml:space="preserve">СППР интегрирована с OpenS3, реализован протокол переноса версий и выполнены модульные проверки и сквозной сценарий обновления с переносом, чтением и перезапуском. Восстановление после перезапуска заняло 10,4 с при требовании 60 с;</w:t>
      </w:r>
      <w:r>
        <w:t xml:space="preserve"> </w:t>
      </w:r>
      <w:r>
        <w:rPr>
          <w:highlight w:val="yellow"/>
        </w:rPr>
        <w:t xml:space="preserve">полная проверка сохранности при одиночных отказах</w:t>
      </w:r>
      <w:r>
        <w:t xml:space="preserve">.</w:t>
      </w:r>
    </w:p>
    <w:p>
      <w:pPr>
        <w:pStyle w:val="Compact"/>
        <w:numPr>
          <w:ilvl w:val="0"/>
          <w:numId w:val="1005"/>
        </w:numPr>
        <w:tabs>
          <w:tab w:val="num" w:pos="1276"/>
        </w:tabs>
        <w:spacing w:before="0" w:after="0" w:line="360" w:lineRule="auto"/>
        <w:ind w:left="1276" w:hanging="567"/>
      </w:pPr>
      <w:r>
        <w:t xml:space="preserve">Завершено сравнение пяти политик в симуляции на шести сценариях, десяти начальных значениях генератора и трёх бюджетах. Установлены границы выигрыша; на итоговом тесте реальных трасс при подборе параметров только на периоде настройки модель подтвердила преимущество в покрытии чтений на Meta CDN и Docker Registry.</w:t>
      </w:r>
    </w:p>
    <w:p>
      <w:pPr>
        <w:pStyle w:val="FirstParagraph"/>
      </w:pPr>
      <w:r>
        <w:t xml:space="preserve">Практическая значимость состоит в возможности рассматривать прогноз и обоснование плана до переноса конкретной версии, контролировать зависимости освобождения HOT и прослеживать исполнение по журналу. Общие правила подготовки данных и планирования позволяют воспроизводимо сравнивать машинное обучение с эвристиками. Математическая модель, протокол переноса и разделение прогноза, выбора и исполнения могут использоваться при проектировании управления классами хранения с другими моделями спроса.</w:t>
      </w:r>
    </w:p>
    <w:p>
      <w:pPr>
        <w:pStyle w:val="a2"/>
      </w:pPr>
      <w:r>
        <w:t xml:space="preserve">Результаты не подтверждают безусловного преимущества машинного обучения. В сценарии смены набора при бюджете 256 МиБ средняя задержка уменьшилась на 52,46 % относительно возраста, на 45,53 % относительно давности и на 37,75 % относительно частоты. Относительно EWMA выигрыш составил 3,91 % с 95-процентным интервалом [3,88; 3,95] %. Ни один сценарий и бюджет не выполнил заранее заданный критерий нижней границы не менее 5 % против каждой базовой политики при допустимом p95. На стабильной синтетической нагрузке улучшение оценки Брайера и средней абсолютной ошибки сопровождается практически одинаковым ранжированием, поэтому точность численной оценки сама по себе не обеспечивает лучшего использования HOT.</w:t>
      </w:r>
    </w:p>
    <w:p>
      <w:pPr>
        <w:pStyle w:val="a2"/>
      </w:pPr>
      <w:r>
        <w:t xml:space="preserve">На итоговом тестовом периоде реальных трасс, после подбора параметров только на периоде настройки, модель обеспечила большее покрытие будущих чтений, чем лучшая базовая оценка: 0,702 против 0,642 на Meta CDN и 0,820 против 0,739 на IBM Docker Registry. На IBM Cloud Object Storage (далее IBM COS), набор 000, модель превзошла EWMA и частоту, а отличие от давности статистически не значимо. Это подтверждает пользу прогноза для разреженного реального спроса. На контейнерном стенде при смене набора модель снизила среднюю задержку чтения относительно EWMA на 21,5 % и p95 на 12,0 %. При работе СППР средняя задержка чтения не выросла, p95 увеличился на 1–2 мс; обучение и экспорт модели заняли 41–49 с в квоте 2 ядра и 2 ГиБ.</w:t>
      </w:r>
    </w:p>
    <w:p>
      <w:pPr>
        <w:pStyle w:val="a2"/>
      </w:pPr>
      <w:r>
        <w:t xml:space="preserve">Дальнейшая работа включает симуляцию задержек на реальных трассах с проверкой допущений о каталоге и размерах, завершение ресурсной приёмки и расширение стендовых испытаний. Отдельное направление – предобученная общая модель с последующей адаптацией к истории конкретного хранилища. Её переносимость требуется проверять на ранее не использованных источниках: наблюдавшееся завышение вероятности спроса при переносе модели с синтетического профиля показывает необходимость такой проверки. Дальнейшее внедрение требует подтверждения сохранности и накладных расходов в условиях целевого развёртывания.</w:t>
      </w:r>
    </w:p>
    <w:bookmarkEnd w:id="136"/>
    <w:bookmarkStart w:id="201" w:name="список-использованных-источников"/>
    <w:p>
      <w:pPr>
        <w:pStyle w:val="GOSTStructuralHeading"/>
      </w:pPr>
      <w:bookmarkStart w:id="275" w:name="GOSTHeading275"/>
      <w:r>
        <w:t xml:space="preserve">СПИСОК ИСПОЛЬЗОВАННЫХ ИСТОЧНИКОВ</w:t>
      </w:r>
      <w:bookmarkEnd w:id="275"/>
    </w:p>
    <w:p>
      <w:pPr>
        <w:numPr>
          <w:ilvl w:val="0"/>
          <w:numId w:val="1006"/>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37">
        <w:r>
          <w:rPr>
            <w:rStyle w:val="af4"/>
          </w:rPr>
          <w:t xml:space="preserve">10.1145/3803857</w:t>
        </w:r>
      </w:hyperlink>
      <w:r>
        <w:t xml:space="preserve">.</w:t>
      </w:r>
    </w:p>
    <w:p>
      <w:pPr>
        <w:numPr>
          <w:ilvl w:val="0"/>
          <w:numId w:val="1006"/>
        </w:numPr>
        <w:spacing w:before="0" w:after="0" w:line="360" w:lineRule="auto"/>
        <w:ind w:left="0" w:firstLine="709"/>
      </w:pPr>
      <w:r>
        <w:t xml:space="preserve">Amazon Web Services. Amazon S3 User Guide [Электронный ресурс]. URL:</w:t>
      </w:r>
      <w:r>
        <w:t xml:space="preserve"> </w:t>
      </w:r>
      <w:hyperlink r:id="rId138">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39">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40">
        <w:r>
          <w:rPr>
            <w:rStyle w:val="af4"/>
          </w:rPr>
          <w:t xml:space="preserve">https://​docs.​aws.​amazon.​com/​AmazonS3/​latest/​userguide/​intelligent-​tiering-​overview.​html</w:t>
        </w:r>
      </w:hyperlink>
      <w:r>
        <w:t xml:space="preserve"> </w:t>
      </w:r>
      <w:r>
        <w:t xml:space="preserve">(How S3 Intelligent-Tiering works) (дата обращения: 09.10.2026).</w:t>
      </w:r>
    </w:p>
    <w:p>
      <w:pPr>
        <w:numPr>
          <w:ilvl w:val="0"/>
          <w:numId w:val="1006"/>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41">
        <w:r>
          <w:rPr>
            <w:rStyle w:val="af4"/>
          </w:rPr>
          <w:t xml:space="preserve">10.1016/j.comcom.2026.108437</w:t>
        </w:r>
      </w:hyperlink>
      <w:r>
        <w:t xml:space="preserve">.</w:t>
      </w:r>
    </w:p>
    <w:p>
      <w:pPr>
        <w:numPr>
          <w:ilvl w:val="0"/>
          <w:numId w:val="1006"/>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42">
        <w:r>
          <w:rPr>
            <w:rStyle w:val="af4"/>
          </w:rPr>
          <w:t xml:space="preserve">10.​17586/​2226-​1494-​2023-​23-​6-​1171-​1177</w:t>
        </w:r>
      </w:hyperlink>
      <w:r>
        <w:t xml:space="preserve">.</w:t>
      </w:r>
    </w:p>
    <w:p>
      <w:pPr>
        <w:numPr>
          <w:ilvl w:val="0"/>
          <w:numId w:val="1006"/>
        </w:numPr>
        <w:spacing w:before="0" w:after="0" w:line="360" w:lineRule="auto"/>
        <w:ind w:left="0" w:firstLine="709"/>
      </w:pPr>
      <w:r>
        <w:t xml:space="preserve">Amazon Web Services. Naming Amazon S3 objects [Электронный ресурс]. URL:</w:t>
      </w:r>
      <w:r>
        <w:t xml:space="preserve"> </w:t>
      </w:r>
      <w:hyperlink r:id="rId143">
        <w:r>
          <w:rPr>
            <w:rStyle w:val="af4"/>
          </w:rPr>
          <w:t xml:space="preserve">https://​docs.​aws.​amazon.​com/​AmazonS3/​latest/​userguide/​object-​keys.​html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44">
        <w:r>
          <w:rPr>
            <w:rStyle w:val="af4"/>
          </w:rPr>
          <w:t xml:space="preserve">https://​docs.​aws.​amazon.​com/​AmazonS3/​latest/​userguide/​Versioning.​html</w:t>
        </w:r>
      </w:hyperlink>
      <w:r>
        <w:t xml:space="preserve"> </w:t>
      </w:r>
      <w:r>
        <w:t xml:space="preserve">(дата обращения: 01.10.2026).</w:t>
      </w:r>
    </w:p>
    <w:p>
      <w:pPr>
        <w:numPr>
          <w:ilvl w:val="0"/>
          <w:numId w:val="1006"/>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45">
        <w:r>
          <w:rPr>
            <w:rStyle w:val="af4"/>
          </w:rPr>
          <w:t xml:space="preserve">https://​github.​com/​alesplll/​opens3-​rebac/​tree/​ac858c748b5d3af96f0440864f4b299e7b617d76</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Transitioning objects using Amazon S3 Lifecycle [Электронный ресурс]. URL:</w:t>
      </w:r>
      <w:r>
        <w:t xml:space="preserve"> </w:t>
      </w:r>
      <w:hyperlink r:id="rId146">
        <w:r>
          <w:rPr>
            <w:rStyle w:val="af4"/>
          </w:rPr>
          <w:t xml:space="preserve">https://​docs.​aws.​amazon.​com/​AmazonS3/​latest/​userguide/​lifecycle-​transition-​general-​considerations.​html</w:t>
        </w:r>
      </w:hyperlink>
      <w:r>
        <w:t xml:space="preserve"> </w:t>
      </w:r>
      <w:r>
        <w:t xml:space="preserve">(дата обращения: 01.10.2026).</w:t>
      </w:r>
    </w:p>
    <w:p>
      <w:pPr>
        <w:numPr>
          <w:ilvl w:val="0"/>
          <w:numId w:val="1006"/>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47">
        <w:r>
          <w:rPr>
            <w:rStyle w:val="af4"/>
          </w:rPr>
          <w:t xml:space="preserve">https://​docs.​ceph.​com/​en/​squid/​radosgw/​placement/​</w:t>
        </w:r>
      </w:hyperlink>
      <w:r>
        <w:t xml:space="preserve"> </w:t>
      </w:r>
      <w:r>
        <w:t xml:space="preserve">(дата обращения: 01.10.2026).</w:t>
      </w:r>
    </w:p>
    <w:p>
      <w:pPr>
        <w:numPr>
          <w:ilvl w:val="0"/>
          <w:numId w:val="1006"/>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48">
        <w:r>
          <w:rPr>
            <w:rStyle w:val="af4"/>
          </w:rPr>
          <w:t xml:space="preserve">https://​docs.​ceph.​com/​en/​squid/​rados/​operations/​crush-​map-​edits/​</w:t>
        </w:r>
      </w:hyperlink>
      <w:r>
        <w:t xml:space="preserve"> </w:t>
      </w:r>
      <w:r>
        <w:t xml:space="preserve">(дата обращения: 01.10.2026).</w:t>
      </w:r>
    </w:p>
    <w:p>
      <w:pPr>
        <w:numPr>
          <w:ilvl w:val="0"/>
          <w:numId w:val="1006"/>
        </w:numPr>
        <w:spacing w:before="0" w:after="0" w:line="360" w:lineRule="auto"/>
        <w:ind w:left="0" w:firstLine="709"/>
      </w:pPr>
      <w:r>
        <w:t xml:space="preserve">MinIO. Object Lifecycle Management. AIStor Documentation [Электронный ресурс]. URL:</w:t>
      </w:r>
      <w:r>
        <w:t xml:space="preserve"> </w:t>
      </w:r>
      <w:hyperlink r:id="rId149">
        <w:r>
          <w:rPr>
            <w:rStyle w:val="af4"/>
          </w:rPr>
          <w:t xml:space="preserve">https://​docs.​min.​io/​aistor/​administration/​object-​lifecycle-​management/​</w:t>
        </w:r>
      </w:hyperlink>
      <w:r>
        <w:t xml:space="preserve"> </w:t>
      </w:r>
      <w:r>
        <w:t xml:space="preserve">(дата обращения: 01.10.2026).</w:t>
      </w:r>
    </w:p>
    <w:p>
      <w:pPr>
        <w:numPr>
          <w:ilvl w:val="0"/>
          <w:numId w:val="1006"/>
        </w:numPr>
        <w:spacing w:before="0" w:after="0" w:line="360" w:lineRule="auto"/>
        <w:ind w:left="0" w:firstLine="709"/>
      </w:pPr>
      <w:r>
        <w:t xml:space="preserve">MinIO. Object Tiering. AIStor Documentation [Электронный ресурс]. URL:</w:t>
      </w:r>
      <w:r>
        <w:t xml:space="preserve"> </w:t>
      </w:r>
      <w:hyperlink r:id="rId150">
        <w:r>
          <w:rPr>
            <w:rStyle w:val="af4"/>
          </w:rPr>
          <w:t xml:space="preserve">https://​docs.​min.​io/​aistor/​administration/​object-​lifecycle-​management/​object-​tiering/​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GetObject. Amazon S3 API Reference [Электронный ресурс]. URL:</w:t>
      </w:r>
      <w:r>
        <w:t xml:space="preserve"> </w:t>
      </w:r>
      <w:hyperlink r:id="rId151">
        <w:r>
          <w:rPr>
            <w:rStyle w:val="af4"/>
          </w:rPr>
          <w:t xml:space="preserve">https://​docs.​aws.​amazon.​com/​AmazonS3/​latest/​API/​API_​GetObject.​html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server access log format [Электронный ресурс]. URL:</w:t>
      </w:r>
      <w:r>
        <w:t xml:space="preserve"> </w:t>
      </w:r>
      <w:hyperlink r:id="rId152">
        <w:r>
          <w:rPr>
            <w:rStyle w:val="af4"/>
          </w:rPr>
          <w:t xml:space="preserve">https://​docs.​aws.​amazon.​com/​AmazonS3/​latest/​userguide/​LogFormat.​html</w:t>
        </w:r>
      </w:hyperlink>
      <w:r>
        <w:t xml:space="preserve"> </w:t>
      </w:r>
      <w:r>
        <w:t xml:space="preserve">(дата обращения: 01.10.2026).</w:t>
      </w:r>
    </w:p>
    <w:p>
      <w:pPr>
        <w:numPr>
          <w:ilvl w:val="0"/>
          <w:numId w:val="1006"/>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53">
        <w:r>
          <w:rPr>
            <w:rStyle w:val="af4"/>
          </w:rPr>
          <w:t xml:space="preserve">https://​arxiv.​org/​abs/​2305.​14818</w:t>
        </w:r>
      </w:hyperlink>
      <w:r>
        <w:t xml:space="preserve"> </w:t>
      </w:r>
      <w:r>
        <w:t xml:space="preserve">(дата обращения: 01.10.2026).</w:t>
      </w:r>
    </w:p>
    <w:p>
      <w:pPr>
        <w:numPr>
          <w:ilvl w:val="0"/>
          <w:numId w:val="1006"/>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54">
        <w:r>
          <w:rPr>
            <w:rStyle w:val="af4"/>
          </w:rPr>
          <w:t xml:space="preserve">https://​www.​usenix.​org/​conference/​fast24/​presentation/​wong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pricing [Электронный ресурс]. URL:</w:t>
      </w:r>
      <w:r>
        <w:t xml:space="preserve"> </w:t>
      </w:r>
      <w:hyperlink r:id="rId155">
        <w:r>
          <w:rPr>
            <w:rStyle w:val="af4"/>
          </w:rPr>
          <w:t xml:space="preserve">https://​aws.​amazon.​com/​s3/​pricing/​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56">
        <w:r>
          <w:rPr>
            <w:rStyle w:val="af4"/>
          </w:rPr>
          <w:t xml:space="preserve">https://​docs.​aws.​amazon.​com/​AmazonS3/​latest/​userguide/​Welcome.​html</w:t>
        </w:r>
      </w:hyperlink>
      <w:r>
        <w:t xml:space="preserve"> </w:t>
      </w:r>
      <w:r>
        <w:t xml:space="preserve">(дата обращения: 01.10.2026).</w:t>
      </w:r>
    </w:p>
    <w:p>
      <w:pPr>
        <w:numPr>
          <w:ilvl w:val="0"/>
          <w:numId w:val="1006"/>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57">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58">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numPr>
          <w:ilvl w:val="0"/>
          <w:numId w:val="1006"/>
        </w:numPr>
        <w:spacing w:before="0" w:after="0" w:line="360" w:lineRule="auto"/>
        <w:ind w:left="0" w:firstLine="709"/>
      </w:pPr>
      <w:r>
        <w:t xml:space="preserve">CacheMon. Open-source Cache Dataset. Раздел Meta CDN request traces [Электронный ресурс]. URL:</w:t>
      </w:r>
      <w:r>
        <w:t xml:space="preserve"> </w:t>
      </w:r>
      <w:hyperlink r:id="rId159">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60">
        <w:r>
          <w:rPr>
            <w:rStyle w:val="af4"/>
          </w:rPr>
          <w:t xml:space="preserve">https://​s3.​amazonaws.​com/​cache-​datasets/​index.​html</w:t>
        </w:r>
      </w:hyperlink>
      <w:r>
        <w:t xml:space="preserve"> </w:t>
      </w:r>
      <w:r>
        <w:t xml:space="preserve">(открытый архив файлов) (дата обращения: 01.10.2026).</w:t>
      </w:r>
    </w:p>
    <w:p>
      <w:pPr>
        <w:numPr>
          <w:ilvl w:val="0"/>
          <w:numId w:val="1006"/>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61">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62">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numPr>
          <w:ilvl w:val="0"/>
          <w:numId w:val="1006"/>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63">
        <w:r>
          <w:rPr>
            <w:rStyle w:val="af4"/>
          </w:rPr>
          <w:t xml:space="preserve">https://​www.​usenix.​org/​conference/​fast18/​presentation/​anwar</w:t>
        </w:r>
      </w:hyperlink>
      <w:r>
        <w:t xml:space="preserve"> </w:t>
      </w:r>
      <w:r>
        <w:t xml:space="preserve">(дата обращения: 01.10.2026).</w:t>
      </w:r>
    </w:p>
    <w:p>
      <w:pPr>
        <w:numPr>
          <w:ilvl w:val="0"/>
          <w:numId w:val="1006"/>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64">
        <w:r>
          <w:rPr>
            <w:rStyle w:val="af4"/>
          </w:rPr>
          <w:t xml:space="preserve">https://​github.​com/​ds2-​lab/​IBM-​docker-​registry-​traces</w:t>
        </w:r>
      </w:hyperlink>
      <w:r>
        <w:t xml:space="preserve"> </w:t>
      </w:r>
      <w:r>
        <w:t xml:space="preserve">(дата обращения: 01.10.2026).</w:t>
      </w:r>
    </w:p>
    <w:p>
      <w:pPr>
        <w:numPr>
          <w:ilvl w:val="0"/>
          <w:numId w:val="1006"/>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65">
        <w:r>
          <w:rPr>
            <w:rStyle w:val="af4"/>
          </w:rPr>
          <w:t xml:space="preserve">https://www.pdl.cmu.edu/CILES/</w:t>
        </w:r>
      </w:hyperlink>
      <w:r>
        <w:t xml:space="preserve"> </w:t>
      </w:r>
      <w:r>
        <w:t xml:space="preserve">(дата обращения: 01.10.2026).</w:t>
      </w:r>
    </w:p>
    <w:p>
      <w:pPr>
        <w:numPr>
          <w:ilvl w:val="0"/>
          <w:numId w:val="1006"/>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66">
        <w:r>
          <w:rPr>
            <w:rStyle w:val="af4"/>
          </w:rPr>
          <w:t xml:space="preserve">10.14778/3357377.3357381</w:t>
        </w:r>
      </w:hyperlink>
      <w:r>
        <w:t xml:space="preserve">. URL:</w:t>
      </w:r>
      <w:r>
        <w:t xml:space="preserve"> </w:t>
      </w:r>
      <w:hyperlink r:id="rId167">
        <w:r>
          <w:rPr>
            <w:rStyle w:val="af4"/>
          </w:rPr>
          <w:t xml:space="preserve">https://​www.​vldb.​org/​pvldb/​vol13/​p43-​herodotou.​pdf</w:t>
        </w:r>
      </w:hyperlink>
      <w:r>
        <w:t xml:space="preserve"> </w:t>
      </w:r>
      <w:r>
        <w:t xml:space="preserve">(дата обращения: 04.10.2026).</w:t>
      </w:r>
    </w:p>
    <w:p>
      <w:pPr>
        <w:numPr>
          <w:ilvl w:val="0"/>
          <w:numId w:val="1006"/>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68">
        <w:r>
          <w:rPr>
            <w:rStyle w:val="af4"/>
          </w:rPr>
          <w:t xml:space="preserve">10.​1109/​FiCloud66139.​2025.​00024</w:t>
        </w:r>
      </w:hyperlink>
      <w:r>
        <w:t xml:space="preserve">.</w:t>
      </w:r>
    </w:p>
    <w:p>
      <w:pPr>
        <w:numPr>
          <w:ilvl w:val="0"/>
          <w:numId w:val="1006"/>
        </w:numPr>
        <w:spacing w:before="0" w:after="0" w:line="360" w:lineRule="auto"/>
        <w:ind w:left="0" w:firstLine="709"/>
      </w:pPr>
      <w:r>
        <w:t xml:space="preserve">Ceph. Rados Gateway Data Layout. Документация версии Squid [Электронный ресурс]. URL:</w:t>
      </w:r>
      <w:r>
        <w:t xml:space="preserve"> </w:t>
      </w:r>
      <w:hyperlink r:id="rId169">
        <w:r>
          <w:rPr>
            <w:rStyle w:val="af4"/>
          </w:rPr>
          <w:t xml:space="preserve">https://​docs.​ceph.​com/​en/​squid/​radosgw/​layout/​</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Logging requests with server access logging [Электронный ресурс]. URL:</w:t>
      </w:r>
      <w:r>
        <w:t xml:space="preserve"> </w:t>
      </w:r>
      <w:hyperlink r:id="rId170">
        <w:r>
          <w:rPr>
            <w:rStyle w:val="af4"/>
          </w:rPr>
          <w:t xml:space="preserve">https://​docs.​aws.​amazon.​com/​AmazonS3/​latest/​userguide/​ServerLogs.​html</w:t>
        </w:r>
      </w:hyperlink>
      <w:r>
        <w:t xml:space="preserve"> </w:t>
      </w:r>
      <w:r>
        <w:t xml:space="preserve">(дата обращения: 01.10.2026).</w:t>
      </w:r>
    </w:p>
    <w:p>
      <w:pPr>
        <w:numPr>
          <w:ilvl w:val="0"/>
          <w:numId w:val="1006"/>
        </w:numPr>
        <w:spacing w:before="0" w:after="0" w:line="360" w:lineRule="auto"/>
        <w:ind w:left="0" w:firstLine="709"/>
      </w:pPr>
      <w:r>
        <w:t xml:space="preserve">Kellerer H., Pferschy U., Pisinger D. Knapsack Problems. Berlin; Heidelberg: Springer, 2004. 546 p. DOI:</w:t>
      </w:r>
      <w:r>
        <w:t xml:space="preserve"> </w:t>
      </w:r>
      <w:hyperlink r:id="rId171">
        <w:r>
          <w:rPr>
            <w:rStyle w:val="af4"/>
          </w:rPr>
          <w:t xml:space="preserve">10.1007/978-3-540-24777-7</w:t>
        </w:r>
      </w:hyperlink>
      <w:r>
        <w:t xml:space="preserve">.</w:t>
      </w:r>
    </w:p>
    <w:p>
      <w:pPr>
        <w:numPr>
          <w:ilvl w:val="0"/>
          <w:numId w:val="1006"/>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72">
        <w:r>
          <w:rPr>
            <w:rStyle w:val="af4"/>
          </w:rPr>
          <w:t xml:space="preserve">10.1016/0304-4076(86)90002-3</w:t>
        </w:r>
      </w:hyperlink>
      <w:r>
        <w:t xml:space="preserve">.</w:t>
      </w:r>
    </w:p>
    <w:p>
      <w:pPr>
        <w:numPr>
          <w:ilvl w:val="0"/>
          <w:numId w:val="1006"/>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73">
        <w:r>
          <w:rPr>
            <w:rStyle w:val="af4"/>
          </w:rPr>
          <w:t xml:space="preserve">10.1214/aos/1013203451</w:t>
        </w:r>
      </w:hyperlink>
      <w:r>
        <w:t xml:space="preserve">.</w:t>
      </w:r>
    </w:p>
    <w:p>
      <w:pPr>
        <w:numPr>
          <w:ilvl w:val="0"/>
          <w:numId w:val="1006"/>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74">
        <w:r>
          <w:rPr>
            <w:rStyle w:val="af4"/>
          </w:rPr>
          <w:t xml:space="preserve">https://​lightgbm.​readthedocs.​io/​en/​latest/​Parameters.​html</w:t>
        </w:r>
      </w:hyperlink>
      <w:r>
        <w:t xml:space="preserve"> </w:t>
      </w:r>
      <w:r>
        <w:t xml:space="preserve">(дата обращения: 15.10.2026).</w:t>
      </w:r>
    </w:p>
    <w:p>
      <w:pPr>
        <w:numPr>
          <w:ilvl w:val="0"/>
          <w:numId w:val="1006"/>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75">
        <w:r>
          <w:rPr>
            <w:rStyle w:val="af4"/>
          </w:rPr>
          <w:t xml:space="preserve">10.2307/2344614</w:t>
        </w:r>
      </w:hyperlink>
      <w:r>
        <w:t xml:space="preserve">.</w:t>
      </w:r>
    </w:p>
    <w:p>
      <w:pPr>
        <w:numPr>
          <w:ilvl w:val="0"/>
          <w:numId w:val="1006"/>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76">
        <w:r>
          <w:rPr>
            <w:rStyle w:val="af4"/>
          </w:rPr>
          <w:t xml:space="preserve">https://​arxiv.​org/​abs/​2207.​08815</w:t>
        </w:r>
      </w:hyperlink>
      <w:r>
        <w:t xml:space="preserve"> </w:t>
      </w:r>
      <w:r>
        <w:t xml:space="preserve">(дата обращения: 15.10.2026).</w:t>
      </w:r>
    </w:p>
    <w:p>
      <w:pPr>
        <w:numPr>
          <w:ilvl w:val="0"/>
          <w:numId w:val="1006"/>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77">
        <w:r>
          <w:rPr>
            <w:rStyle w:val="af4"/>
          </w:rPr>
          <w:t xml:space="preserve">https://​scikit-​learn.​org/​stable/​common_​pitfalls.​html</w:t>
        </w:r>
      </w:hyperlink>
      <w:r>
        <w:t xml:space="preserve"> </w:t>
      </w:r>
      <w:r>
        <w:t xml:space="preserve">(дата обращения: 01.10.2026).</w:t>
      </w:r>
    </w:p>
    <w:p>
      <w:pPr>
        <w:numPr>
          <w:ilvl w:val="0"/>
          <w:numId w:val="1006"/>
        </w:numPr>
        <w:spacing w:before="0" w:after="0" w:line="360" w:lineRule="auto"/>
        <w:ind w:left="0" w:firstLine="709"/>
      </w:pPr>
      <w:r>
        <w:t xml:space="preserve">Scikit-learn developers. TimeSeriesSplit [Электронный ресурс]. URL:</w:t>
      </w:r>
      <w:r>
        <w:t xml:space="preserve"> </w:t>
      </w:r>
      <w:hyperlink r:id="rId178">
        <w:r>
          <w:rPr>
            <w:rStyle w:val="af4"/>
          </w:rPr>
          <w:t xml:space="preserve">https://​scikit-​learn.​org/​stable/​modules/​generated/​sklearn.​model_​selection.​TimeSeriesSplit.​html</w:t>
        </w:r>
      </w:hyperlink>
      <w:r>
        <w:t xml:space="preserve"> </w:t>
      </w:r>
      <w:r>
        <w:t xml:space="preserve">(дата обращения: 01.10.2026).</w:t>
      </w:r>
    </w:p>
    <w:p>
      <w:pPr>
        <w:numPr>
          <w:ilvl w:val="0"/>
          <w:numId w:val="1006"/>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79">
        <w:r>
          <w:rPr>
            <w:rStyle w:val="af4"/>
          </w:rPr>
          <w:t xml:space="preserve">10.1145/1143844.1143874</w:t>
        </w:r>
      </w:hyperlink>
      <w:r>
        <w:t xml:space="preserve">.</w:t>
      </w:r>
    </w:p>
    <w:p>
      <w:pPr>
        <w:numPr>
          <w:ilvl w:val="0"/>
          <w:numId w:val="1006"/>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80">
        <w:r>
          <w:rPr>
            <w:rStyle w:val="af4"/>
          </w:rPr>
          <w:t xml:space="preserve">10.​1175/​1520-​0493(1950)078&lt;0001:VOFEIT&gt;2.​0.​CO;2</w:t>
        </w:r>
      </w:hyperlink>
      <w:r>
        <w:t xml:space="preserve">.</w:t>
      </w:r>
    </w:p>
    <w:p>
      <w:pPr>
        <w:numPr>
          <w:ilvl w:val="0"/>
          <w:numId w:val="1006"/>
        </w:numPr>
        <w:spacing w:before="0" w:after="0" w:line="360" w:lineRule="auto"/>
        <w:ind w:left="0" w:firstLine="709"/>
      </w:pPr>
      <w:r>
        <w:t xml:space="preserve">Dantzig G. B. Discrete-Variable Extremum Problems // Operations Research. 1957. Vol. 5, no. 2. P. 266–288. DOI:</w:t>
      </w:r>
      <w:r>
        <w:t xml:space="preserve"> </w:t>
      </w:r>
      <w:hyperlink r:id="rId181">
        <w:r>
          <w:rPr>
            <w:rStyle w:val="af4"/>
          </w:rPr>
          <w:t xml:space="preserve">10.1287/opre.5.2.266</w:t>
        </w:r>
      </w:hyperlink>
      <w:r>
        <w:t xml:space="preserve">.</w:t>
      </w:r>
    </w:p>
    <w:p>
      <w:pPr>
        <w:numPr>
          <w:ilvl w:val="0"/>
          <w:numId w:val="1006"/>
        </w:numPr>
        <w:spacing w:before="0" w:after="0" w:line="360" w:lineRule="auto"/>
        <w:ind w:left="0" w:firstLine="709"/>
      </w:pPr>
      <w:r>
        <w:t xml:space="preserve">Kleppmann M. Designing Data-Intensive Applications. Sebastopol: O’Reilly Media, 2017. 616 p.</w:t>
      </w:r>
    </w:p>
    <w:p>
      <w:pPr>
        <w:numPr>
          <w:ilvl w:val="0"/>
          <w:numId w:val="1006"/>
        </w:numPr>
        <w:spacing w:before="0" w:after="0" w:line="360" w:lineRule="auto"/>
        <w:ind w:left="0" w:firstLine="709"/>
      </w:pPr>
      <w:r>
        <w:t xml:space="preserve">Amazon Web Services. Checking object integrity for data uploads in Amazon S3 [Электронный ресурс]. URL:</w:t>
      </w:r>
      <w:r>
        <w:t xml:space="preserve"> </w:t>
      </w:r>
      <w:hyperlink r:id="rId182">
        <w:r>
          <w:rPr>
            <w:rStyle w:val="af4"/>
          </w:rPr>
          <w:t xml:space="preserve">https://​docs.​aws.​amazon.​com/​AmazonS3/​latest/​userguide/​checking-​object-​integrity-​upload.​html</w:t>
        </w:r>
      </w:hyperlink>
      <w:r>
        <w:t xml:space="preserve"> </w:t>
      </w:r>
      <w:r>
        <w:t xml:space="preserve">(дата обращения: 01.10.2026).</w:t>
      </w:r>
    </w:p>
    <w:p>
      <w:pPr>
        <w:numPr>
          <w:ilvl w:val="0"/>
          <w:numId w:val="1006"/>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83">
        <w:r>
          <w:rPr>
            <w:rStyle w:val="af4"/>
          </w:rPr>
          <w:t xml:space="preserve">https://​www.​omg.​org/​spec/​UML/​2.​5.​1/​</w:t>
        </w:r>
      </w:hyperlink>
      <w:r>
        <w:t xml:space="preserve"> </w:t>
      </w:r>
      <w:r>
        <w:t xml:space="preserve">(дата обращения: 15.10.2026).</w:t>
      </w:r>
    </w:p>
    <w:p>
      <w:pPr>
        <w:numPr>
          <w:ilvl w:val="0"/>
          <w:numId w:val="1006"/>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84">
        <w:r>
          <w:rPr>
            <w:rStyle w:val="af4"/>
          </w:rPr>
          <w:t xml:space="preserve">https://​www.​omg.​org/​spec/​BPMN/​2.​0.​2/​</w:t>
        </w:r>
      </w:hyperlink>
      <w:r>
        <w:t xml:space="preserve"> </w:t>
      </w:r>
      <w:r>
        <w:t xml:space="preserve">(дата обращения: 15.10.2026).</w:t>
      </w:r>
    </w:p>
    <w:p>
      <w:pPr>
        <w:numPr>
          <w:ilvl w:val="0"/>
          <w:numId w:val="1006"/>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85">
        <w:r>
          <w:rPr>
            <w:rStyle w:val="af4"/>
          </w:rPr>
          <w:t xml:space="preserve">https://​papers.​nips.​cc/​paper/​6907-​lightgbm-​a-​highly-​efficient-​gradient-​boosting-​decision-​tree</w:t>
        </w:r>
      </w:hyperlink>
      <w:r>
        <w:t xml:space="preserve"> </w:t>
      </w:r>
      <w:r>
        <w:t xml:space="preserve">(дата обращения: 15.10.2026).</w:t>
      </w:r>
    </w:p>
    <w:p>
      <w:pPr>
        <w:numPr>
          <w:ilvl w:val="0"/>
          <w:numId w:val="1006"/>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86">
        <w:r>
          <w:rPr>
            <w:rStyle w:val="af4"/>
          </w:rPr>
          <w:t xml:space="preserve">https://​github.​com/​dmitryikh/​leaves</w:t>
        </w:r>
      </w:hyperlink>
      <w:r>
        <w:t xml:space="preserve"> </w:t>
      </w:r>
      <w:r>
        <w:t xml:space="preserve">(дата обращения: 15.10.2026).</w:t>
      </w:r>
    </w:p>
    <w:p>
      <w:pPr>
        <w:numPr>
          <w:ilvl w:val="0"/>
          <w:numId w:val="1006"/>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87">
        <w:r>
          <w:rPr>
            <w:rStyle w:val="af4"/>
          </w:rPr>
          <w:t xml:space="preserve">https://​www.​postgresql.​org/​docs/​16/​mvcc.​html</w:t>
        </w:r>
      </w:hyperlink>
      <w:r>
        <w:t xml:space="preserve"> </w:t>
      </w:r>
      <w:r>
        <w:t xml:space="preserve">(дата обращения: 15.10.2026).</w:t>
      </w:r>
    </w:p>
    <w:p>
      <w:pPr>
        <w:numPr>
          <w:ilvl w:val="0"/>
          <w:numId w:val="1006"/>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88">
        <w:r>
          <w:rPr>
            <w:rStyle w:val="af4"/>
          </w:rPr>
          <w:t xml:space="preserve">https://​kafka.​apache.​org/​documentation/#​semantics</w:t>
        </w:r>
      </w:hyperlink>
      <w:r>
        <w:t xml:space="preserve"> </w:t>
      </w:r>
      <w:r>
        <w:t xml:space="preserve">(дата обращения: 15.10.2026).</w:t>
      </w:r>
    </w:p>
    <w:p>
      <w:pPr>
        <w:numPr>
          <w:ilvl w:val="0"/>
          <w:numId w:val="1006"/>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89">
        <w:r>
          <w:rPr>
            <w:rStyle w:val="af4"/>
          </w:rPr>
          <w:t xml:space="preserve">https://​github.​com/​yalue/​onnxruntime_​go</w:t>
        </w:r>
      </w:hyperlink>
      <w:r>
        <w:t xml:space="preserve"> </w:t>
      </w:r>
      <w:r>
        <w:t xml:space="preserve">(дата обращения: 20.10.2026).</w:t>
      </w:r>
    </w:p>
    <w:p>
      <w:pPr>
        <w:numPr>
          <w:ilvl w:val="0"/>
          <w:numId w:val="1006"/>
        </w:numPr>
        <w:spacing w:before="0" w:after="0" w:line="360" w:lineRule="auto"/>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w:t>
      </w:r>
      <w:r>
        <w:t xml:space="preserve"> </w:t>
      </w:r>
      <w:hyperlink r:id="rId190">
        <w:r>
          <w:rPr>
            <w:rStyle w:val="af4"/>
          </w:rPr>
          <w:t xml:space="preserve">https://​protect.​gost.​ru/​gost/​details/​0c85e066-​f89e-​433d-​a6d3-​b7f746bd0c7c</w:t>
        </w:r>
      </w:hyperlink>
      <w:r>
        <w:t xml:space="preserve">, текст стандарта:</w:t>
      </w:r>
      <w:r>
        <w:t xml:space="preserve"> </w:t>
      </w:r>
      <w:hyperlink r:id="rId191">
        <w:r>
          <w:rPr>
            <w:rStyle w:val="af4"/>
          </w:rPr>
          <w:t xml:space="preserve">https://​www.​swrit.​ru/​doc/​espd/​19.​701-​90.​pdf</w:t>
        </w:r>
      </w:hyperlink>
      <w:r>
        <w:t xml:space="preserve"> </w:t>
      </w:r>
      <w:r>
        <w:t xml:space="preserve">(дата обращения: 26.10.2026).</w:t>
      </w:r>
    </w:p>
    <w:p>
      <w:pPr>
        <w:numPr>
          <w:ilvl w:val="0"/>
          <w:numId w:val="1006"/>
        </w:numPr>
        <w:spacing w:before="0" w:after="0" w:line="360" w:lineRule="auto"/>
        <w:ind w:left="0" w:firstLine="709"/>
      </w:pPr>
      <w:r>
        <w:t xml:space="preserve">NIST/SEMATECH. e-Handbook of Statistical Methods. Раздел 6.3.2.4. EWMA Control Charts [Электронный ресурс]. URL:</w:t>
      </w:r>
      <w:r>
        <w:t xml:space="preserve"> </w:t>
      </w:r>
      <w:hyperlink r:id="rId192">
        <w:r>
          <w:rPr>
            <w:rStyle w:val="af4"/>
          </w:rPr>
          <w:t xml:space="preserve">https://​www.​itl.​nist.​gov/​div898/​handbook/​pmc/​section3/​pmc324.​htm</w:t>
        </w:r>
      </w:hyperlink>
      <w:r>
        <w:t xml:space="preserve"> </w:t>
      </w:r>
      <w:r>
        <w:t xml:space="preserve">(дата обращения: 26.10.2026).</w:t>
      </w:r>
    </w:p>
    <w:p>
      <w:pPr>
        <w:numPr>
          <w:ilvl w:val="0"/>
          <w:numId w:val="1006"/>
        </w:numPr>
        <w:spacing w:before="0" w:after="0" w:line="360" w:lineRule="auto"/>
        <w:ind w:left="0" w:firstLine="709"/>
      </w:pPr>
      <w:r>
        <w:t xml:space="preserve">Rivest R. The MD5 Message-Digest Algorithm. RFC 1321. 1992 [Электронный ресурс]. URL:</w:t>
      </w:r>
      <w:r>
        <w:t xml:space="preserve"> </w:t>
      </w:r>
      <w:hyperlink r:id="rId193">
        <w:r>
          <w:rPr>
            <w:rStyle w:val="af4"/>
          </w:rPr>
          <w:t xml:space="preserve">https://​www.​rfc-​editor.​org/​rfc/​rfc1321</w:t>
        </w:r>
      </w:hyperlink>
      <w:r>
        <w:t xml:space="preserve"> </w:t>
      </w:r>
      <w:r>
        <w:t xml:space="preserve">(дата обращения: 26.10.2026).</w:t>
      </w:r>
    </w:p>
    <w:p>
      <w:pPr>
        <w:numPr>
          <w:ilvl w:val="0"/>
          <w:numId w:val="1006"/>
        </w:numPr>
        <w:spacing w:before="0" w:after="0" w:line="360" w:lineRule="auto"/>
        <w:ind w:left="0" w:firstLine="709"/>
      </w:pPr>
      <w:r>
        <w:t xml:space="preserve">XGBoost developers. XGBoost Parameters. Раздел Learning Task Parameters [Электронный ресурс]. URL:</w:t>
      </w:r>
      <w:r>
        <w:t xml:space="preserve"> </w:t>
      </w:r>
      <w:hyperlink r:id="rId194">
        <w:r>
          <w:rPr>
            <w:rStyle w:val="af4"/>
          </w:rPr>
          <w:t xml:space="preserve">https://​xgboost.​readthedocs.​io/​en/​stable/​parameter.​html</w:t>
        </w:r>
      </w:hyperlink>
      <w:r>
        <w:t xml:space="preserve"> </w:t>
      </w:r>
      <w:r>
        <w:t xml:space="preserve">(дата обращения: 26.10.2026).</w:t>
      </w:r>
    </w:p>
    <w:p>
      <w:pPr>
        <w:numPr>
          <w:ilvl w:val="0"/>
          <w:numId w:val="1006"/>
        </w:numPr>
        <w:spacing w:before="0" w:after="0" w:line="360" w:lineRule="auto"/>
        <w:ind w:left="0" w:firstLine="709"/>
      </w:pPr>
      <w:r>
        <w:t xml:space="preserve">CatBoost developers. Regression: objectives and metrics. Раздел Poisson [Электронный ресурс]. URL:</w:t>
      </w:r>
      <w:r>
        <w:t xml:space="preserve"> </w:t>
      </w:r>
      <w:hyperlink r:id="rId195">
        <w:r>
          <w:rPr>
            <w:rStyle w:val="af4"/>
          </w:rPr>
          <w:t xml:space="preserve">https://​catboost.​ai/​docs/​en/​concepts/​loss-​functions-​regression</w:t>
        </w:r>
      </w:hyperlink>
      <w:r>
        <w:t xml:space="preserve"> </w:t>
      </w:r>
      <w:r>
        <w:t xml:space="preserve">(дата обращения: 26.10.2026).</w:t>
      </w:r>
    </w:p>
    <w:p>
      <w:pPr>
        <w:numPr>
          <w:ilvl w:val="0"/>
          <w:numId w:val="1006"/>
        </w:numPr>
        <w:spacing w:before="0" w:after="0" w:line="360" w:lineRule="auto"/>
        <w:ind w:left="0" w:firstLine="709"/>
      </w:pPr>
      <w:r>
        <w:t xml:space="preserve">Oracle. MySQL 8.4 Reference Manual. Раздел 17.1 Introduction to InnoDB [Электронный ресурс]. URL:</w:t>
      </w:r>
      <w:r>
        <w:t xml:space="preserve"> </w:t>
      </w:r>
      <w:hyperlink r:id="rId196">
        <w:r>
          <w:rPr>
            <w:rStyle w:val="af4"/>
          </w:rPr>
          <w:t xml:space="preserve">https://​dev.​mysql.​com/​doc/​refman/​8.​4/​en/​innodb-​introduction.​html</w:t>
        </w:r>
      </w:hyperlink>
      <w:r>
        <w:t xml:space="preserve"> </w:t>
      </w:r>
      <w:r>
        <w:t xml:space="preserve">(дата обращения: 26.10.2026).</w:t>
      </w:r>
    </w:p>
    <w:p>
      <w:pPr>
        <w:numPr>
          <w:ilvl w:val="0"/>
          <w:numId w:val="1006"/>
        </w:numPr>
        <w:spacing w:before="0" w:after="0" w:line="360" w:lineRule="auto"/>
        <w:ind w:left="0" w:firstLine="709"/>
      </w:pPr>
      <w:r>
        <w:t xml:space="preserve">RabbitMQ. Streams and Superstreams [Электронный ресурс]. URL:</w:t>
      </w:r>
      <w:r>
        <w:t xml:space="preserve"> </w:t>
      </w:r>
      <w:hyperlink r:id="rId197">
        <w:r>
          <w:rPr>
            <w:rStyle w:val="af4"/>
          </w:rPr>
          <w:t xml:space="preserve">https://​www.​rabbitmq.​com/​docs/​streams</w:t>
        </w:r>
      </w:hyperlink>
      <w:r>
        <w:t xml:space="preserve"> </w:t>
      </w:r>
      <w:r>
        <w:t xml:space="preserve">(дата обращения: 26.10.2026).</w:t>
      </w:r>
    </w:p>
    <w:p>
      <w:pPr>
        <w:numPr>
          <w:ilvl w:val="0"/>
          <w:numId w:val="1006"/>
        </w:numPr>
        <w:spacing w:before="0" w:after="0" w:line="360" w:lineRule="auto"/>
        <w:ind w:left="0" w:firstLine="709"/>
      </w:pPr>
      <w:r>
        <w:t xml:space="preserve">The Go Authors. Effective Go. Раздел Concurrency [Электронный ресурс]. URL:</w:t>
      </w:r>
      <w:r>
        <w:t xml:space="preserve"> </w:t>
      </w:r>
      <w:hyperlink r:id="rId198">
        <w:r>
          <w:rPr>
            <w:rStyle w:val="af4"/>
          </w:rPr>
          <w:t xml:space="preserve">https://​go.​dev/​doc/​effective_​go#​concurrency</w:t>
        </w:r>
      </w:hyperlink>
      <w:r>
        <w:t xml:space="preserve"> </w:t>
      </w:r>
      <w:r>
        <w:t xml:space="preserve">(дата обращения: 29.10.2026).</w:t>
      </w:r>
    </w:p>
    <w:p>
      <w:pPr>
        <w:numPr>
          <w:ilvl w:val="0"/>
          <w:numId w:val="1006"/>
        </w:numPr>
        <w:spacing w:before="0" w:after="0" w:line="360" w:lineRule="auto"/>
        <w:ind w:left="0" w:firstLine="709"/>
      </w:pPr>
      <w:r>
        <w:t xml:space="preserve">PostgreSQL Global Development Group. PostgreSQL 16 Documentation. INSERT [Электронный ресурс]. URL:</w:t>
      </w:r>
      <w:r>
        <w:t xml:space="preserve"> </w:t>
      </w:r>
      <w:hyperlink r:id="rId199">
        <w:r>
          <w:rPr>
            <w:rStyle w:val="af4"/>
          </w:rPr>
          <w:t xml:space="preserve">https://​www.​postgresql.​org/​docs/​16/​sql-​insert.​html</w:t>
        </w:r>
      </w:hyperlink>
      <w:r>
        <w:t xml:space="preserve"> </w:t>
      </w:r>
      <w:r>
        <w:t xml:space="preserve">(дата обращения: 29.10.2026).</w:t>
      </w:r>
    </w:p>
    <w:p>
      <w:pPr>
        <w:numPr>
          <w:ilvl w:val="0"/>
          <w:numId w:val="1006"/>
        </w:numPr>
        <w:spacing w:before="0" w:after="0" w:line="360" w:lineRule="auto"/>
        <w:ind w:left="0" w:firstLine="709"/>
      </w:pPr>
      <w:r>
        <w:t xml:space="preserve">Apache Software Foundation. Apache Kafka 4.1 Documentation. Design [Электронный ресурс]. URL:</w:t>
      </w:r>
      <w:r>
        <w:t xml:space="preserve"> </w:t>
      </w:r>
      <w:hyperlink r:id="rId200">
        <w:r>
          <w:rPr>
            <w:rStyle w:val="af4"/>
          </w:rPr>
          <w:t xml:space="preserve">https://​kafka.​apache.​org/​41/​design/​design/​</w:t>
        </w:r>
      </w:hyperlink>
      <w:r>
        <w:t xml:space="preserve"> </w:t>
      </w:r>
      <w:r>
        <w:t xml:space="preserve">(дата обращения: 29.10.2026).</w:t>
      </w:r>
    </w:p>
    <w:bookmarkEnd w:id="201"/>
    <w:bookmarkStart w:id="202" w:name="приложения"/>
    <w:p>
      <w:pPr>
        <w:pStyle w:val="GOSTStructuralHeading"/>
      </w:pPr>
      <w:bookmarkStart w:id="276" w:name="GOSTHeading276"/>
      <w:r>
        <w:t xml:space="preserve">ПРИЛОЖЕНИЯ</w:t>
      </w:r>
      <w:bookmarkEnd w:id="276"/>
    </w:p>
    <w:p>
      <w:pPr>
        <w:pStyle w:val="FirstParagraph"/>
      </w:pPr>
      <w:r>
        <w:t xml:space="preserve">Приложение А – Модель данных метаданных и СППР</w:t>
      </w:r>
    </w:p>
    <w:bookmarkEnd w:id="202"/>
    <w:bookmarkStart w:id="207" w:name="X6f0523c438b8ca68de781e168123afa45dd506f"/>
    <w:p>
      <w:pPr>
        <w:pStyle w:val="GOSTAppendixHeading"/>
      </w:pPr>
      <w:bookmarkStart w:id="277" w:name="GOSTHeading277"/>
      <w:r>
        <w:t xml:space="preserve">Приложение А</w:t>
      </w:r>
      <w:bookmarkEnd w:id="277"/>
    </w:p>
    <w:p>
      <w:pPr>
        <w:pStyle w:val="GOSTAppendixTitle"/>
      </w:pPr>
      <w:r>
        <w:t xml:space="preserve">Модель данных метаданных и СППР</w:t>
      </w:r>
    </w:p>
    <w:p>
      <w:pPr>
        <w:pStyle w:val="a2"/>
      </w:pPr>
      <w:r>
        <w:t xml:space="preserve">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bookmarkStart w:id="206" w:name="gost-fig:er"/>
    <w:p>
      <w:pPr>
        <w:pStyle w:val="CaptionedFigure"/>
        <w:keepNext w:val="1"/>
      </w:pPr>
      <w:r>
        <w:drawing>
          <wp:inline>
            <wp:extent cx="4732739" cy="6840000"/>
            <wp:effectExtent b="0" l="0" r="0" t="0"/>
            <wp:docPr descr="Модель данных метаданных и СППР" title="" id="204" name="Picture"/>
            <a:graphic>
              <a:graphicData uri="http://schemas.openxmlformats.org/drawingml/2006/picture">
                <pic:pic>
                  <pic:nvPicPr>
                    <pic:cNvPr descr="images/er.png" id="205" name="Picture"/>
                    <pic:cNvPicPr>
                      <a:picLocks noChangeArrowheads="1" noChangeAspect="1"/>
                    </pic:cNvPicPr>
                  </pic:nvPicPr>
                  <pic:blipFill>
                    <a:blip r:embed="rId203"/>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А.1 – Модель данных метаданных и СППР</w:t>
      </w:r>
    </w:p>
    <w:bookmarkEnd w:id="206"/>
    <w:bookmarkEnd w:id="207"/>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203" Target="media/rId203.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hyperlink" Id="rId176" Target="https://arxiv.org/abs/2207.08815" TargetMode="External" /><Relationship Type="http://schemas.openxmlformats.org/officeDocument/2006/relationships/hyperlink" Id="rId153" Target="https://arxiv.org/abs/2305.14818" TargetMode="External" /><Relationship Type="http://schemas.openxmlformats.org/officeDocument/2006/relationships/hyperlink" Id="rId155" Target="https://aws.amazon.com/s3/pricing/" TargetMode="External" /><Relationship Type="http://schemas.openxmlformats.org/officeDocument/2006/relationships/hyperlink" Id="rId157" Target="https://cachelib.org/docs/Cache_Library_User_Guides/Cachebench_FB_HW_eval/" TargetMode="External" /><Relationship Type="http://schemas.openxmlformats.org/officeDocument/2006/relationships/hyperlink" Id="rId195" Target="https://catboost.ai/docs/en/concepts/loss-functions-regression" TargetMode="External" /><Relationship Type="http://schemas.openxmlformats.org/officeDocument/2006/relationships/hyperlink" Id="rId196" Target="https://dev.mysql.com/doc/refman/8.4/en/innodb-introduction.html" TargetMode="External" /><Relationship Type="http://schemas.openxmlformats.org/officeDocument/2006/relationships/hyperlink" Id="rId151" Target="https://docs.aws.amazon.com/AmazonS3/latest/API/API_GetObject.html" TargetMode="External" /><Relationship Type="http://schemas.openxmlformats.org/officeDocument/2006/relationships/hyperlink" Id="rId152" Target="https://docs.aws.amazon.com/AmazonS3/latest/userguide/LogFormat.html" TargetMode="External" /><Relationship Type="http://schemas.openxmlformats.org/officeDocument/2006/relationships/hyperlink" Id="rId170" Target="https://docs.aws.amazon.com/AmazonS3/latest/userguide/ServerLogs.html" TargetMode="External" /><Relationship Type="http://schemas.openxmlformats.org/officeDocument/2006/relationships/hyperlink" Id="rId144" Target="https://docs.aws.amazon.com/AmazonS3/latest/userguide/Versioning.html" TargetMode="External" /><Relationship Type="http://schemas.openxmlformats.org/officeDocument/2006/relationships/hyperlink" Id="rId156" Target="https://docs.aws.amazon.com/AmazonS3/latest/userguide/Welcome.html" TargetMode="External" /><Relationship Type="http://schemas.openxmlformats.org/officeDocument/2006/relationships/hyperlink" Id="rId182" Target="https://docs.aws.amazon.com/AmazonS3/latest/userguide/checking-object-integrity-upload.html" TargetMode="External" /><Relationship Type="http://schemas.openxmlformats.org/officeDocument/2006/relationships/hyperlink" Id="rId140" Target="https://docs.aws.amazon.com/AmazonS3/latest/userguide/intelligent-tiering-overview.html" TargetMode="External" /><Relationship Type="http://schemas.openxmlformats.org/officeDocument/2006/relationships/hyperlink" Id="rId146" Target="https://docs.aws.amazon.com/AmazonS3/latest/userguide/lifecycle-transition-general-considerations.html" TargetMode="External" /><Relationship Type="http://schemas.openxmlformats.org/officeDocument/2006/relationships/hyperlink" Id="rId143" Target="https://docs.aws.amazon.com/AmazonS3/latest/userguide/object-keys.html" TargetMode="External" /><Relationship Type="http://schemas.openxmlformats.org/officeDocument/2006/relationships/hyperlink" Id="rId139" Target="https://docs.aws.amazon.com/AmazonS3/latest/userguide/object-lifecycle-mgmt.html" TargetMode="External" /><Relationship Type="http://schemas.openxmlformats.org/officeDocument/2006/relationships/hyperlink" Id="rId138" Target="https://docs.aws.amazon.com/AmazonS3/latest/userguide/storage-class-intro.html" TargetMode="External" /><Relationship Type="http://schemas.openxmlformats.org/officeDocument/2006/relationships/hyperlink" Id="rId148" Target="https://docs.ceph.com/en/squid/rados/operations/crush-map-edits/" TargetMode="External" /><Relationship Type="http://schemas.openxmlformats.org/officeDocument/2006/relationships/hyperlink" Id="rId169" Target="https://docs.ceph.com/en/squid/radosgw/layout/" TargetMode="External" /><Relationship Type="http://schemas.openxmlformats.org/officeDocument/2006/relationships/hyperlink" Id="rId147" Target="https://docs.ceph.com/en/squid/radosgw/placement/" TargetMode="External" /><Relationship Type="http://schemas.openxmlformats.org/officeDocument/2006/relationships/hyperlink" Id="rId149" Target="https://docs.min.io/aistor/administration/object-lifecycle-management/" TargetMode="External" /><Relationship Type="http://schemas.openxmlformats.org/officeDocument/2006/relationships/hyperlink" Id="rId150" Target="https://docs.min.io/aistor/administration/object-lifecycle-management/object-tiering/" TargetMode="External" /><Relationship Type="http://schemas.openxmlformats.org/officeDocument/2006/relationships/hyperlink" Id="rId171" Target="https://doi.org/10.1007/978-3-540-24777-7" TargetMode="External" /><Relationship Type="http://schemas.openxmlformats.org/officeDocument/2006/relationships/hyperlink" Id="rId172" Target="https://doi.org/10.1016/0304-4076(86)90002-3" TargetMode="External" /><Relationship Type="http://schemas.openxmlformats.org/officeDocument/2006/relationships/hyperlink" Id="rId141" Target="https://doi.org/10.1016/j.comcom.2026.108437" TargetMode="External" /><Relationship Type="http://schemas.openxmlformats.org/officeDocument/2006/relationships/hyperlink" Id="rId168" Target="https://doi.org/10.1109/FiCloud66139.2025.00024" TargetMode="External" /><Relationship Type="http://schemas.openxmlformats.org/officeDocument/2006/relationships/hyperlink" Id="rId179" Target="https://doi.org/10.1145/1143844.1143874" TargetMode="External" /><Relationship Type="http://schemas.openxmlformats.org/officeDocument/2006/relationships/hyperlink" Id="rId137" Target="https://doi.org/10.1145/3803857" TargetMode="External" /><Relationship Type="http://schemas.openxmlformats.org/officeDocument/2006/relationships/hyperlink" Id="rId180" Target="https://doi.org/10.1175/1520-0493(1950)078%3C0001:VOFEIT%3E2.0.CO;2" TargetMode="External" /><Relationship Type="http://schemas.openxmlformats.org/officeDocument/2006/relationships/hyperlink" Id="rId173" Target="https://doi.org/10.1214/aos/1013203451" TargetMode="External" /><Relationship Type="http://schemas.openxmlformats.org/officeDocument/2006/relationships/hyperlink" Id="rId181" Target="https://doi.org/10.1287/opre.5.2.266" TargetMode="External" /><Relationship Type="http://schemas.openxmlformats.org/officeDocument/2006/relationships/hyperlink" Id="rId166" Target="https://doi.org/10.14778/3357377.3357381" TargetMode="External" /><Relationship Type="http://schemas.openxmlformats.org/officeDocument/2006/relationships/hyperlink" Id="rId142" Target="https://doi.org/10.17586/2226-1494-2023-23-6-1171-1177" TargetMode="External" /><Relationship Type="http://schemas.openxmlformats.org/officeDocument/2006/relationships/hyperlink" Id="rId175" Target="https://doi.org/10.2307/2344614" TargetMode="External" /><Relationship Type="http://schemas.openxmlformats.org/officeDocument/2006/relationships/hyperlink" Id="rId145" Target="https://github.com/alesplll/opens3-rebac/tree/ac858c748b5d3af96f0440864f4b299e7b617d76" TargetMode="External" /><Relationship Type="http://schemas.openxmlformats.org/officeDocument/2006/relationships/hyperlink" Id="rId159" Target="https://github.com/cacheMon/cache_dataset" TargetMode="External" /><Relationship Type="http://schemas.openxmlformats.org/officeDocument/2006/relationships/hyperlink" Id="rId186" Target="https://github.com/dmitryikh/leaves" TargetMode="External" /><Relationship Type="http://schemas.openxmlformats.org/officeDocument/2006/relationships/hyperlink" Id="rId164" Target="https://github.com/ds2-lab/IBM-docker-registry-traces" TargetMode="External" /><Relationship Type="http://schemas.openxmlformats.org/officeDocument/2006/relationships/hyperlink" Id="rId158" Target="https://github.com/facebook/CacheLib/blob/0f7e808335599ca5d0e935d35aad75db8dc63f16/cachelib/cachebench/util/Request.h" TargetMode="External" /><Relationship Type="http://schemas.openxmlformats.org/officeDocument/2006/relationships/hyperlink" Id="rId189" Target="https://github.com/yalue/onnxruntime_go" TargetMode="External" /><Relationship Type="http://schemas.openxmlformats.org/officeDocument/2006/relationships/hyperlink" Id="rId198" Target="https://go.dev/doc/effective_go#concurrency" TargetMode="External" /><Relationship Type="http://schemas.openxmlformats.org/officeDocument/2006/relationships/hyperlink" Id="rId162" Target="https://iotta.snia.org/tracetypes/17" TargetMode="External" /><Relationship Type="http://schemas.openxmlformats.org/officeDocument/2006/relationships/hyperlink" Id="rId200" Target="https://kafka.apache.org/41/design/design/" TargetMode="External" /><Relationship Type="http://schemas.openxmlformats.org/officeDocument/2006/relationships/hyperlink" Id="rId188" Target="https://kafka.apache.org/documentation/#semantics" TargetMode="External" /><Relationship Type="http://schemas.openxmlformats.org/officeDocument/2006/relationships/hyperlink" Id="rId174" Target="https://lightgbm.readthedocs.io/en/latest/Parameters.html" TargetMode="External" /><Relationship Type="http://schemas.openxmlformats.org/officeDocument/2006/relationships/hyperlink" Id="rId185" Target="https://papers.nips.cc/paper/6907-lightgbm-a-highly-efficient-gradient-boosting-decision-tree" TargetMode="External" /><Relationship Type="http://schemas.openxmlformats.org/officeDocument/2006/relationships/hyperlink" Id="rId190" Target="https://protect.gost.ru/gost/details/0c85e066-f89e-433d-a6d3-b7f746bd0c7c" TargetMode="External" /><Relationship Type="http://schemas.openxmlformats.org/officeDocument/2006/relationships/hyperlink" Id="rId160" Target="https://s3.amazonaws.com/cache-datasets/index.html" TargetMode="External" /><Relationship Type="http://schemas.openxmlformats.org/officeDocument/2006/relationships/hyperlink" Id="rId177" Target="https://scikit-learn.org/stable/common_pitfalls.html" TargetMode="External" /><Relationship Type="http://schemas.openxmlformats.org/officeDocument/2006/relationships/hyperlink" Id="rId178" Target="https://scikit-learn.org/stable/modules/generated/sklearn.model_selection.TimeSeriesSplit.html" TargetMode="External" /><Relationship Type="http://schemas.openxmlformats.org/officeDocument/2006/relationships/hyperlink" Id="rId192" Target="https://www.itl.nist.gov/div898/handbook/pmc/section3/pmc324.htm" TargetMode="External" /><Relationship Type="http://schemas.openxmlformats.org/officeDocument/2006/relationships/hyperlink" Id="rId184" Target="https://www.omg.org/spec/BPMN/2.0.2/" TargetMode="External" /><Relationship Type="http://schemas.openxmlformats.org/officeDocument/2006/relationships/hyperlink" Id="rId183" Target="https://www.omg.org/spec/UML/2.5.1/" TargetMode="External" /><Relationship Type="http://schemas.openxmlformats.org/officeDocument/2006/relationships/hyperlink" Id="rId165" Target="https://www.pdl.cmu.edu/CILES/" TargetMode="External" /><Relationship Type="http://schemas.openxmlformats.org/officeDocument/2006/relationships/hyperlink" Id="rId187" Target="https://www.postgresql.org/docs/16/mvcc.html" TargetMode="External" /><Relationship Type="http://schemas.openxmlformats.org/officeDocument/2006/relationships/hyperlink" Id="rId199" Target="https://www.postgresql.org/docs/16/sql-insert.html" TargetMode="External" /><Relationship Type="http://schemas.openxmlformats.org/officeDocument/2006/relationships/hyperlink" Id="rId197" Target="https://www.rabbitmq.com/docs/streams" TargetMode="External" /><Relationship Type="http://schemas.openxmlformats.org/officeDocument/2006/relationships/hyperlink" Id="rId193" Target="https://www.rfc-editor.org/rfc/rfc1321" TargetMode="External" /><Relationship Type="http://schemas.openxmlformats.org/officeDocument/2006/relationships/hyperlink" Id="rId161" Target="https://www.snia.org/sites/default/files/SDCEMEA/2021/snia-evaluating-cache-performance-using-cloud-storage-traces.pdf" TargetMode="External" /><Relationship Type="http://schemas.openxmlformats.org/officeDocument/2006/relationships/hyperlink" Id="rId191" Target="https://www.swrit.ru/doc/espd/19.701-90.pdf" TargetMode="External" /><Relationship Type="http://schemas.openxmlformats.org/officeDocument/2006/relationships/hyperlink" Id="rId163" Target="https://www.usenix.org/conference/fast18/presentation/anwar" TargetMode="External" /><Relationship Type="http://schemas.openxmlformats.org/officeDocument/2006/relationships/hyperlink" Id="rId154" Target="https://www.usenix.org/conference/fast24/presentation/wong" TargetMode="External" /><Relationship Type="http://schemas.openxmlformats.org/officeDocument/2006/relationships/hyperlink" Id="rId167" Target="https://www.vldb.org/pvldb/vol13/p43-herodotou.pdf" TargetMode="External" /><Relationship Type="http://schemas.openxmlformats.org/officeDocument/2006/relationships/hyperlink" Id="rId194" Target="https://xgboost.readthedocs.io/en/stable/parameter.html" TargetMode="External" /></Relationships>
</file>

<file path=word/_rels/footnotes.xml.rels><?xml version="1.0" encoding="UTF-8"?><Relationships xmlns="http://schemas.openxmlformats.org/package/2006/relationships"><Relationship Type="http://schemas.openxmlformats.org/officeDocument/2006/relationships/hyperlink" Id="rId176" Target="https://arxiv.org/abs/2207.08815" TargetMode="External" /><Relationship Type="http://schemas.openxmlformats.org/officeDocument/2006/relationships/hyperlink" Id="rId153" Target="https://arxiv.org/abs/2305.14818" TargetMode="External" /><Relationship Type="http://schemas.openxmlformats.org/officeDocument/2006/relationships/hyperlink" Id="rId155" Target="https://aws.amazon.com/s3/pricing/" TargetMode="External" /><Relationship Type="http://schemas.openxmlformats.org/officeDocument/2006/relationships/hyperlink" Id="rId157" Target="https://cachelib.org/docs/Cache_Library_User_Guides/Cachebench_FB_HW_eval/" TargetMode="External" /><Relationship Type="http://schemas.openxmlformats.org/officeDocument/2006/relationships/hyperlink" Id="rId195" Target="https://catboost.ai/docs/en/concepts/loss-functions-regression" TargetMode="External" /><Relationship Type="http://schemas.openxmlformats.org/officeDocument/2006/relationships/hyperlink" Id="rId196" Target="https://dev.mysql.com/doc/refman/8.4/en/innodb-introduction.html" TargetMode="External" /><Relationship Type="http://schemas.openxmlformats.org/officeDocument/2006/relationships/hyperlink" Id="rId151" Target="https://docs.aws.amazon.com/AmazonS3/latest/API/API_GetObject.html" TargetMode="External" /><Relationship Type="http://schemas.openxmlformats.org/officeDocument/2006/relationships/hyperlink" Id="rId152" Target="https://docs.aws.amazon.com/AmazonS3/latest/userguide/LogFormat.html" TargetMode="External" /><Relationship Type="http://schemas.openxmlformats.org/officeDocument/2006/relationships/hyperlink" Id="rId170" Target="https://docs.aws.amazon.com/AmazonS3/latest/userguide/ServerLogs.html" TargetMode="External" /><Relationship Type="http://schemas.openxmlformats.org/officeDocument/2006/relationships/hyperlink" Id="rId144" Target="https://docs.aws.amazon.com/AmazonS3/latest/userguide/Versioning.html" TargetMode="External" /><Relationship Type="http://schemas.openxmlformats.org/officeDocument/2006/relationships/hyperlink" Id="rId156" Target="https://docs.aws.amazon.com/AmazonS3/latest/userguide/Welcome.html" TargetMode="External" /><Relationship Type="http://schemas.openxmlformats.org/officeDocument/2006/relationships/hyperlink" Id="rId182" Target="https://docs.aws.amazon.com/AmazonS3/latest/userguide/checking-object-integrity-upload.html" TargetMode="External" /><Relationship Type="http://schemas.openxmlformats.org/officeDocument/2006/relationships/hyperlink" Id="rId140" Target="https://docs.aws.amazon.com/AmazonS3/latest/userguide/intelligent-tiering-overview.html" TargetMode="External" /><Relationship Type="http://schemas.openxmlformats.org/officeDocument/2006/relationships/hyperlink" Id="rId146" Target="https://docs.aws.amazon.com/AmazonS3/latest/userguide/lifecycle-transition-general-considerations.html" TargetMode="External" /><Relationship Type="http://schemas.openxmlformats.org/officeDocument/2006/relationships/hyperlink" Id="rId143" Target="https://docs.aws.amazon.com/AmazonS3/latest/userguide/object-keys.html" TargetMode="External" /><Relationship Type="http://schemas.openxmlformats.org/officeDocument/2006/relationships/hyperlink" Id="rId139" Target="https://docs.aws.amazon.com/AmazonS3/latest/userguide/object-lifecycle-mgmt.html" TargetMode="External" /><Relationship Type="http://schemas.openxmlformats.org/officeDocument/2006/relationships/hyperlink" Id="rId138" Target="https://docs.aws.amazon.com/AmazonS3/latest/userguide/storage-class-intro.html" TargetMode="External" /><Relationship Type="http://schemas.openxmlformats.org/officeDocument/2006/relationships/hyperlink" Id="rId148" Target="https://docs.ceph.com/en/squid/rados/operations/crush-map-edits/" TargetMode="External" /><Relationship Type="http://schemas.openxmlformats.org/officeDocument/2006/relationships/hyperlink" Id="rId169" Target="https://docs.ceph.com/en/squid/radosgw/layout/" TargetMode="External" /><Relationship Type="http://schemas.openxmlformats.org/officeDocument/2006/relationships/hyperlink" Id="rId147" Target="https://docs.ceph.com/en/squid/radosgw/placement/" TargetMode="External" /><Relationship Type="http://schemas.openxmlformats.org/officeDocument/2006/relationships/hyperlink" Id="rId149" Target="https://docs.min.io/aistor/administration/object-lifecycle-management/" TargetMode="External" /><Relationship Type="http://schemas.openxmlformats.org/officeDocument/2006/relationships/hyperlink" Id="rId150" Target="https://docs.min.io/aistor/administration/object-lifecycle-management/object-tiering/" TargetMode="External" /><Relationship Type="http://schemas.openxmlformats.org/officeDocument/2006/relationships/hyperlink" Id="rId171" Target="https://doi.org/10.1007/978-3-540-24777-7" TargetMode="External" /><Relationship Type="http://schemas.openxmlformats.org/officeDocument/2006/relationships/hyperlink" Id="rId172" Target="https://doi.org/10.1016/0304-4076(86)90002-3" TargetMode="External" /><Relationship Type="http://schemas.openxmlformats.org/officeDocument/2006/relationships/hyperlink" Id="rId141" Target="https://doi.org/10.1016/j.comcom.2026.108437" TargetMode="External" /><Relationship Type="http://schemas.openxmlformats.org/officeDocument/2006/relationships/hyperlink" Id="rId168" Target="https://doi.org/10.1109/FiCloud66139.2025.00024" TargetMode="External" /><Relationship Type="http://schemas.openxmlformats.org/officeDocument/2006/relationships/hyperlink" Id="rId179" Target="https://doi.org/10.1145/1143844.1143874" TargetMode="External" /><Relationship Type="http://schemas.openxmlformats.org/officeDocument/2006/relationships/hyperlink" Id="rId137" Target="https://doi.org/10.1145/3803857" TargetMode="External" /><Relationship Type="http://schemas.openxmlformats.org/officeDocument/2006/relationships/hyperlink" Id="rId180" Target="https://doi.org/10.1175/1520-0493(1950)078%3C0001:VOFEIT%3E2.0.CO;2" TargetMode="External" /><Relationship Type="http://schemas.openxmlformats.org/officeDocument/2006/relationships/hyperlink" Id="rId173" Target="https://doi.org/10.1214/aos/1013203451" TargetMode="External" /><Relationship Type="http://schemas.openxmlformats.org/officeDocument/2006/relationships/hyperlink" Id="rId181" Target="https://doi.org/10.1287/opre.5.2.266" TargetMode="External" /><Relationship Type="http://schemas.openxmlformats.org/officeDocument/2006/relationships/hyperlink" Id="rId166" Target="https://doi.org/10.14778/3357377.3357381" TargetMode="External" /><Relationship Type="http://schemas.openxmlformats.org/officeDocument/2006/relationships/hyperlink" Id="rId142" Target="https://doi.org/10.17586/2226-1494-2023-23-6-1171-1177" TargetMode="External" /><Relationship Type="http://schemas.openxmlformats.org/officeDocument/2006/relationships/hyperlink" Id="rId175" Target="https://doi.org/10.2307/2344614" TargetMode="External" /><Relationship Type="http://schemas.openxmlformats.org/officeDocument/2006/relationships/hyperlink" Id="rId145" Target="https://github.com/alesplll/opens3-rebac/tree/ac858c748b5d3af96f0440864f4b299e7b617d76" TargetMode="External" /><Relationship Type="http://schemas.openxmlformats.org/officeDocument/2006/relationships/hyperlink" Id="rId159" Target="https://github.com/cacheMon/cache_dataset" TargetMode="External" /><Relationship Type="http://schemas.openxmlformats.org/officeDocument/2006/relationships/hyperlink" Id="rId186" Target="https://github.com/dmitryikh/leaves" TargetMode="External" /><Relationship Type="http://schemas.openxmlformats.org/officeDocument/2006/relationships/hyperlink" Id="rId164" Target="https://github.com/ds2-lab/IBM-docker-registry-traces" TargetMode="External" /><Relationship Type="http://schemas.openxmlformats.org/officeDocument/2006/relationships/hyperlink" Id="rId158" Target="https://github.com/facebook/CacheLib/blob/0f7e808335599ca5d0e935d35aad75db8dc63f16/cachelib/cachebench/util/Request.h" TargetMode="External" /><Relationship Type="http://schemas.openxmlformats.org/officeDocument/2006/relationships/hyperlink" Id="rId189" Target="https://github.com/yalue/onnxruntime_go" TargetMode="External" /><Relationship Type="http://schemas.openxmlformats.org/officeDocument/2006/relationships/hyperlink" Id="rId198" Target="https://go.dev/doc/effective_go#concurrency" TargetMode="External" /><Relationship Type="http://schemas.openxmlformats.org/officeDocument/2006/relationships/hyperlink" Id="rId162" Target="https://iotta.snia.org/tracetypes/17" TargetMode="External" /><Relationship Type="http://schemas.openxmlformats.org/officeDocument/2006/relationships/hyperlink" Id="rId200" Target="https://kafka.apache.org/41/design/design/" TargetMode="External" /><Relationship Type="http://schemas.openxmlformats.org/officeDocument/2006/relationships/hyperlink" Id="rId188" Target="https://kafka.apache.org/documentation/#semantics" TargetMode="External" /><Relationship Type="http://schemas.openxmlformats.org/officeDocument/2006/relationships/hyperlink" Id="rId174" Target="https://lightgbm.readthedocs.io/en/latest/Parameters.html" TargetMode="External" /><Relationship Type="http://schemas.openxmlformats.org/officeDocument/2006/relationships/hyperlink" Id="rId185" Target="https://papers.nips.cc/paper/6907-lightgbm-a-highly-efficient-gradient-boosting-decision-tree" TargetMode="External" /><Relationship Type="http://schemas.openxmlformats.org/officeDocument/2006/relationships/hyperlink" Id="rId190" Target="https://protect.gost.ru/gost/details/0c85e066-f89e-433d-a6d3-b7f746bd0c7c" TargetMode="External" /><Relationship Type="http://schemas.openxmlformats.org/officeDocument/2006/relationships/hyperlink" Id="rId160" Target="https://s3.amazonaws.com/cache-datasets/index.html" TargetMode="External" /><Relationship Type="http://schemas.openxmlformats.org/officeDocument/2006/relationships/hyperlink" Id="rId177" Target="https://scikit-learn.org/stable/common_pitfalls.html" TargetMode="External" /><Relationship Type="http://schemas.openxmlformats.org/officeDocument/2006/relationships/hyperlink" Id="rId178" Target="https://scikit-learn.org/stable/modules/generated/sklearn.model_selection.TimeSeriesSplit.html" TargetMode="External" /><Relationship Type="http://schemas.openxmlformats.org/officeDocument/2006/relationships/hyperlink" Id="rId192" Target="https://www.itl.nist.gov/div898/handbook/pmc/section3/pmc324.htm" TargetMode="External" /><Relationship Type="http://schemas.openxmlformats.org/officeDocument/2006/relationships/hyperlink" Id="rId184" Target="https://www.omg.org/spec/BPMN/2.0.2/" TargetMode="External" /><Relationship Type="http://schemas.openxmlformats.org/officeDocument/2006/relationships/hyperlink" Id="rId183" Target="https://www.omg.org/spec/UML/2.5.1/" TargetMode="External" /><Relationship Type="http://schemas.openxmlformats.org/officeDocument/2006/relationships/hyperlink" Id="rId165" Target="https://www.pdl.cmu.edu/CILES/" TargetMode="External" /><Relationship Type="http://schemas.openxmlformats.org/officeDocument/2006/relationships/hyperlink" Id="rId187" Target="https://www.postgresql.org/docs/16/mvcc.html" TargetMode="External" /><Relationship Type="http://schemas.openxmlformats.org/officeDocument/2006/relationships/hyperlink" Id="rId199" Target="https://www.postgresql.org/docs/16/sql-insert.html" TargetMode="External" /><Relationship Type="http://schemas.openxmlformats.org/officeDocument/2006/relationships/hyperlink" Id="rId197" Target="https://www.rabbitmq.com/docs/streams" TargetMode="External" /><Relationship Type="http://schemas.openxmlformats.org/officeDocument/2006/relationships/hyperlink" Id="rId193" Target="https://www.rfc-editor.org/rfc/rfc1321" TargetMode="External" /><Relationship Type="http://schemas.openxmlformats.org/officeDocument/2006/relationships/hyperlink" Id="rId161" Target="https://www.snia.org/sites/default/files/SDCEMEA/2021/snia-evaluating-cache-performance-using-cloud-storage-traces.pdf" TargetMode="External" /><Relationship Type="http://schemas.openxmlformats.org/officeDocument/2006/relationships/hyperlink" Id="rId191" Target="https://www.swrit.ru/doc/espd/19.701-90.pdf" TargetMode="External" /><Relationship Type="http://schemas.openxmlformats.org/officeDocument/2006/relationships/hyperlink" Id="rId163" Target="https://www.usenix.org/conference/fast18/presentation/anwar" TargetMode="External" /><Relationship Type="http://schemas.openxmlformats.org/officeDocument/2006/relationships/hyperlink" Id="rId154" Target="https://www.usenix.org/conference/fast24/presentation/wong" TargetMode="External" /><Relationship Type="http://schemas.openxmlformats.org/officeDocument/2006/relationships/hyperlink" Id="rId167" Target="https://www.vldb.org/pvldb/vol13/p43-herodotou.pdf" TargetMode="External" /><Relationship Type="http://schemas.openxmlformats.org/officeDocument/2006/relationships/hyperlink" Id="rId194" Target="https://xgboost.readthedocs.io/en/stable/parame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2026-10-29T06:41:20Z</dcterms:created>
  <dcterms:modified xsi:type="dcterms:W3CDTF">2026-10-29T06:41:20Z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