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3.png" ContentType="image/png"/>
  <Override PartName="/word/media/rId78.png" ContentType="image/png"/>
  <Override PartName="/word/media/rId87.png" ContentType="image/png"/>
  <Override PartName="/word/media/rId161.png" ContentType="image/png"/>
  <Override PartName="/word/media/rId57.png" ContentType="image/png"/>
  <Override PartName="/word/media/rId156.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66">
            <w:r>
              <w:t>ВВЕДЕНИЕ</w:t>
            </w:r>
          </w:hyperlink>
          <w:r>
            <w:tab/>
          </w:r>
          <w:fldSimple w:instr="PAGEREF &quot;GOSTHeading166&quot; \h" w:dirty="true">
            <w:r>
              <w:t>—</w:t>
            </w:r>
          </w:fldSimple>
        </w:p>
        <w:p>
          <w:pPr>
            <w:pStyle w:val="10"/>
          </w:pPr>
          <w:hyperlink w:anchor="GOSTHeading167">
            <w:r>
              <w:t>ЛИТЕРАТУРНЫЙ ОБЗОР</w:t>
            </w:r>
          </w:hyperlink>
          <w:r>
            <w:tab/>
          </w:r>
          <w:fldSimple w:instr="PAGEREF &quot;GOSTHeading167&quot; \h" w:dirty="true">
            <w:r>
              <w:t>—</w:t>
            </w:r>
          </w:fldSimple>
        </w:p>
        <w:p>
          <w:pPr>
            <w:pStyle w:val="10"/>
          </w:pPr>
          <w:hyperlink w:anchor="GOSTHeading168">
            <w:r>
              <w:t>1 ИССЛЕДОВАТЕЛЬСКИЙ РАЗДЕЛ</w:t>
            </w:r>
          </w:hyperlink>
          <w:r>
            <w:tab/>
          </w:r>
          <w:fldSimple w:instr="PAGEREF &quot;GOSTHeading168&quot; \h" w:dirty="true">
            <w:r>
              <w:t>—</w:t>
            </w:r>
          </w:fldSimple>
        </w:p>
        <w:p>
          <w:pPr>
            <w:pStyle w:val="22"/>
          </w:pPr>
          <w:hyperlink w:anchor="GOSTHeading169">
            <w:r>
              <w:t>1.1 Анализ предметной области</w:t>
            </w:r>
          </w:hyperlink>
          <w:r>
            <w:tab/>
          </w:r>
          <w:fldSimple w:instr="PAGEREF &quot;GOSTHeading169&quot; \h" w:dirty="true">
            <w:r>
              <w:t>—</w:t>
            </w:r>
          </w:fldSimple>
        </w:p>
        <w:p>
          <w:pPr>
            <w:pStyle w:val="31"/>
          </w:pPr>
          <w:hyperlink w:anchor="GOSTHeading170">
            <w:r>
              <w:t>1.1.1 Предметная область и участники процесса</w:t>
            </w:r>
          </w:hyperlink>
          <w:r>
            <w:tab/>
          </w:r>
          <w:fldSimple w:instr="PAGEREF &quot;GOSTHeading170&quot; \h" w:dirty="true">
            <w:r>
              <w:t>—</w:t>
            </w:r>
          </w:fldSimple>
        </w:p>
        <w:p>
          <w:pPr>
            <w:pStyle w:val="31"/>
          </w:pPr>
          <w:hyperlink w:anchor="GOSTHeading171">
            <w:r>
              <w:t>1.1.2 Объектная модель и единица размещения</w:t>
            </w:r>
          </w:hyperlink>
          <w:r>
            <w:tab/>
          </w:r>
          <w:fldSimple w:instr="PAGEREF &quot;GOSTHeading171&quot; \h" w:dirty="true">
            <w:r>
              <w:t>—</w:t>
            </w:r>
          </w:fldSimple>
        </w:p>
        <w:p>
          <w:pPr>
            <w:pStyle w:val="31"/>
          </w:pPr>
          <w:hyperlink w:anchor="GOSTHeading172">
            <w:r>
              <w:t>1.1.3 Классы хранения и характеристики ресурсов</w:t>
            </w:r>
          </w:hyperlink>
          <w:r>
            <w:tab/>
          </w:r>
          <w:fldSimple w:instr="PAGEREF &quot;GOSTHeading172&quot; \h" w:dirty="true">
            <w:r>
              <w:t>—</w:t>
            </w:r>
          </w:fldSimple>
        </w:p>
        <w:p>
          <w:pPr>
            <w:pStyle w:val="31"/>
          </w:pPr>
          <w:hyperlink w:anchor="GOSTHeading173">
            <w:r>
              <w:t>1.1.4 Востребованность и история обращений</w:t>
            </w:r>
          </w:hyperlink>
          <w:r>
            <w:tab/>
          </w:r>
          <w:fldSimple w:instr="PAGEREF &quot;GOSTHeading173&quot; \h" w:dirty="true">
            <w:r>
              <w:t>—</w:t>
            </w:r>
          </w:fldSimple>
        </w:p>
        <w:p>
          <w:pPr>
            <w:pStyle w:val="31"/>
          </w:pPr>
          <w:hyperlink w:anchor="GOSTHeading174">
            <w:r>
              <w:t>1.1.5 Способы управления размещением</w:t>
            </w:r>
          </w:hyperlink>
          <w:r>
            <w:tab/>
          </w:r>
          <w:fldSimple w:instr="PAGEREF &quot;GOSTHeading174&quot; \h" w:dirty="true">
            <w:r>
              <w:t>—</w:t>
            </w:r>
          </w:fldSimple>
        </w:p>
        <w:p>
          <w:pPr>
            <w:pStyle w:val="31"/>
          </w:pPr>
          <w:hyperlink w:anchor="GOSTHeading175">
            <w:r>
              <w:t>1.1.6 Ресурсные ограничения и затраты</w:t>
            </w:r>
          </w:hyperlink>
          <w:r>
            <w:tab/>
          </w:r>
          <w:fldSimple w:instr="PAGEREF &quot;GOSTHeading175&quot; \h" w:dirty="true">
            <w:r>
              <w:t>—</w:t>
            </w:r>
          </w:fldSimple>
        </w:p>
        <w:p>
          <w:pPr>
            <w:pStyle w:val="31"/>
          </w:pPr>
          <w:hyperlink w:anchor="GOSTHeading176">
            <w:r>
              <w:t>1.1.7 Согласованность и безопасное перемещение</w:t>
            </w:r>
          </w:hyperlink>
          <w:r>
            <w:tab/>
          </w:r>
          <w:fldSimple w:instr="PAGEREF &quot;GOSTHeading176&quot; \h" w:dirty="true">
            <w:r>
              <w:t>—</w:t>
            </w:r>
          </w:fldSimple>
        </w:p>
        <w:p>
          <w:pPr>
            <w:pStyle w:val="31"/>
          </w:pPr>
          <w:hyperlink w:anchor="GOSTHeading177">
            <w:r>
              <w:t>1.1.8 Источники данных и условия исследования</w:t>
            </w:r>
          </w:hyperlink>
          <w:r>
            <w:tab/>
          </w:r>
          <w:fldSimple w:instr="PAGEREF &quot;GOSTHeading177&quot; \h" w:dirty="true">
            <w:r>
              <w:t>—</w:t>
            </w:r>
          </w:fldSimple>
        </w:p>
        <w:p>
          <w:pPr>
            <w:pStyle w:val="22"/>
          </w:pPr>
          <w:hyperlink w:anchor="GOSTHeading178">
            <w:r>
              <w:t>1.2 Анализ существующих решений</w:t>
            </w:r>
          </w:hyperlink>
          <w:r>
            <w:tab/>
          </w:r>
          <w:fldSimple w:instr="PAGEREF &quot;GOSTHeading178&quot; \h" w:dirty="true">
            <w:r>
              <w:t>—</w:t>
            </w:r>
          </w:fldSimple>
        </w:p>
        <w:p>
          <w:pPr>
            <w:pStyle w:val="31"/>
          </w:pPr>
          <w:hyperlink w:anchor="GOSTHeading179">
            <w:r>
              <w:t>1.2.1 Анализ критериев</w:t>
            </w:r>
          </w:hyperlink>
          <w:r>
            <w:tab/>
          </w:r>
          <w:fldSimple w:instr="PAGEREF &quot;GOSTHeading179&quot; \h" w:dirty="true">
            <w:r>
              <w:t>—</w:t>
            </w:r>
          </w:fldSimple>
        </w:p>
        <w:p>
          <w:pPr>
            <w:pStyle w:val="31"/>
          </w:pPr>
          <w:hyperlink w:anchor="GOSTHeading180">
            <w:r>
              <w:t>1.2.2 Обзор аналогов</w:t>
            </w:r>
          </w:hyperlink>
          <w:r>
            <w:tab/>
          </w:r>
          <w:fldSimple w:instr="PAGEREF &quot;GOSTHeading180&quot; \h" w:dirty="true">
            <w:r>
              <w:t>—</w:t>
            </w:r>
          </w:fldSimple>
        </w:p>
        <w:p>
          <w:pPr>
            <w:pStyle w:val="31"/>
          </w:pPr>
          <w:hyperlink w:anchor="GOSTHeading181">
            <w:r>
              <w:t>1.2.3 Сопоставление аналогов</w:t>
            </w:r>
          </w:hyperlink>
          <w:r>
            <w:tab/>
          </w:r>
          <w:fldSimple w:instr="PAGEREF &quot;GOSTHeading181&quot; \h" w:dirty="true">
            <w:r>
              <w:t>—</w:t>
            </w:r>
          </w:fldSimple>
        </w:p>
        <w:p>
          <w:pPr>
            <w:pStyle w:val="22"/>
          </w:pPr>
          <w:hyperlink w:anchor="GOSTHeading182">
            <w:r>
              <w:t>1.3 Требования к разрабатываемой системе</w:t>
            </w:r>
          </w:hyperlink>
          <w:r>
            <w:tab/>
          </w:r>
          <w:fldSimple w:instr="PAGEREF &quot;GOSTHeading182&quot; \h" w:dirty="true">
            <w:r>
              <w:t>—</w:t>
            </w:r>
          </w:fldSimple>
        </w:p>
        <w:p>
          <w:pPr>
            <w:pStyle w:val="31"/>
          </w:pPr>
          <w:hyperlink w:anchor="GOSTHeading183">
            <w:r>
              <w:t>1.3.1 Назначение и границы разрабатываемого расширения</w:t>
            </w:r>
          </w:hyperlink>
          <w:r>
            <w:tab/>
          </w:r>
          <w:fldSimple w:instr="PAGEREF &quot;GOSTHeading183&quot; \h" w:dirty="true">
            <w:r>
              <w:t>—</w:t>
            </w:r>
          </w:fldSimple>
        </w:p>
        <w:p>
          <w:pPr>
            <w:pStyle w:val="31"/>
          </w:pPr>
          <w:hyperlink w:anchor="GOSTHeading184">
            <w:r>
              <w:t>1.3.2 Требования к выполняемым функциям</w:t>
            </w:r>
          </w:hyperlink>
          <w:r>
            <w:tab/>
          </w:r>
          <w:fldSimple w:instr="PAGEREF &quot;GOSTHeading184&quot; \h" w:dirty="true">
            <w:r>
              <w:t>—</w:t>
            </w:r>
          </w:fldSimple>
        </w:p>
        <w:p>
          <w:pPr>
            <w:pStyle w:val="31"/>
          </w:pPr>
          <w:hyperlink w:anchor="GOSTHeading185">
            <w:r>
              <w:t>1.3.3 Требования к надёжности и сохранности данных</w:t>
            </w:r>
          </w:hyperlink>
          <w:r>
            <w:tab/>
          </w:r>
          <w:fldSimple w:instr="PAGEREF &quot;GOSTHeading185&quot; \h" w:dirty="true">
            <w:r>
              <w:t>—</w:t>
            </w:r>
          </w:fldSimple>
        </w:p>
        <w:p>
          <w:pPr>
            <w:pStyle w:val="31"/>
          </w:pPr>
          <w:hyperlink w:anchor="GOSTHeading186">
            <w:r>
              <w:t>1.3.4 Требования к доступу и интерфейсу администратора</w:t>
            </w:r>
          </w:hyperlink>
          <w:r>
            <w:tab/>
          </w:r>
          <w:fldSimple w:instr="PAGEREF &quot;GOSTHeading186&quot; \h" w:dirty="true">
            <w:r>
              <w:t>—</w:t>
            </w:r>
          </w:fldSimple>
        </w:p>
        <w:p>
          <w:pPr>
            <w:pStyle w:val="31"/>
          </w:pPr>
          <w:hyperlink w:anchor="GOSTHeading187">
            <w:r>
              <w:t>1.3.5 Требования к ресурсам, совместимости и контролю выполнения</w:t>
            </w:r>
          </w:hyperlink>
          <w:r>
            <w:tab/>
          </w:r>
          <w:fldSimple w:instr="PAGEREF &quot;GOSTHeading187&quot; \h" w:dirty="true">
            <w:r>
              <w:t>—</w:t>
            </w:r>
          </w:fldSimple>
        </w:p>
        <w:p>
          <w:pPr>
            <w:pStyle w:val="31"/>
          </w:pPr>
          <w:hyperlink w:anchor="GOSTHeading188">
            <w:r>
              <w:t>1.3.6 Требования к жизненному циклу модели</w:t>
            </w:r>
          </w:hyperlink>
          <w:r>
            <w:tab/>
          </w:r>
          <w:fldSimple w:instr="PAGEREF &quot;GOSTHeading188&quot; \h" w:dirty="true">
            <w:r>
              <w:t>—</w:t>
            </w:r>
          </w:fldSimple>
        </w:p>
        <w:p>
          <w:pPr>
            <w:pStyle w:val="31"/>
          </w:pPr>
          <w:hyperlink w:anchor="GOSTHeading189">
            <w:r>
              <w:t>1.3.7 Требования к проверке эффективности и минимальному результату</w:t>
            </w:r>
          </w:hyperlink>
          <w:r>
            <w:tab/>
          </w:r>
          <w:fldSimple w:instr="PAGEREF &quot;GOSTHeading189&quot; \h" w:dirty="true">
            <w:r>
              <w:t>—</w:t>
            </w:r>
          </w:fldSimple>
        </w:p>
        <w:p>
          <w:pPr>
            <w:pStyle w:val="22"/>
          </w:pPr>
          <w:hyperlink w:anchor="GOSTHeading190">
            <w:r>
              <w:t>1.4 Выводы по исследовательскому разделу</w:t>
            </w:r>
          </w:hyperlink>
          <w:r>
            <w:tab/>
          </w:r>
          <w:fldSimple w:instr="PAGEREF &quot;GOSTHeading190&quot; \h" w:dirty="true">
            <w:r>
              <w:t>—</w:t>
            </w:r>
          </w:fldSimple>
        </w:p>
        <w:p>
          <w:pPr>
            <w:pStyle w:val="10"/>
          </w:pPr>
          <w:hyperlink w:anchor="GOSTHeading191">
            <w:r>
              <w:t>2 АНАЛИТИЧЕСКИЙ РАЗДЕЛ</w:t>
            </w:r>
          </w:hyperlink>
          <w:r>
            <w:tab/>
          </w:r>
          <w:fldSimple w:instr="PAGEREF &quot;GOSTHeading191&quot; \h" w:dirty="true">
            <w:r>
              <w:t>—</w:t>
            </w:r>
          </w:fldSimple>
        </w:p>
        <w:p>
          <w:pPr>
            <w:pStyle w:val="22"/>
          </w:pPr>
          <w:hyperlink w:anchor="GOSTHeading192">
            <w:r>
              <w:t>2.1 Математическое и алгоритмическое обеспечение</w:t>
            </w:r>
          </w:hyperlink>
          <w:r>
            <w:tab/>
          </w:r>
          <w:fldSimple w:instr="PAGEREF &quot;GOSTHeading192&quot; \h" w:dirty="true">
            <w:r>
              <w:t>—</w:t>
            </w:r>
          </w:fldSimple>
        </w:p>
        <w:p>
          <w:pPr>
            <w:pStyle w:val="31"/>
          </w:pPr>
          <w:hyperlink w:anchor="GOSTHeading193">
            <w:r>
              <w:t>2.1.1 Постановка задачи размещения</w:t>
            </w:r>
          </w:hyperlink>
          <w:r>
            <w:tab/>
          </w:r>
          <w:fldSimple w:instr="PAGEREF &quot;GOSTHeading193&quot; \h" w:dirty="true">
            <w:r>
              <w:t>—</w:t>
            </w:r>
          </w:fldSimple>
        </w:p>
        <w:p>
          <w:pPr>
            <w:pStyle w:val="31"/>
          </w:pPr>
          <w:hyperlink w:anchor="GOSTHeading194">
            <w:r>
              <w:t>2.1.2 Модель прогнозирования востребованности</w:t>
            </w:r>
          </w:hyperlink>
          <w:r>
            <w:tab/>
          </w:r>
          <w:fldSimple w:instr="PAGEREF &quot;GOSTHeading194&quot; \h" w:dirty="true">
            <w:r>
              <w:t>—</w:t>
            </w:r>
          </w:fldSimple>
        </w:p>
        <w:p>
          <w:pPr>
            <w:pStyle w:val="31"/>
          </w:pPr>
          <w:hyperlink w:anchor="GOSTHeading195">
            <w:r>
              <w:t>2.1.3 Обработка данных и формирование обучающих примеров</w:t>
            </w:r>
          </w:hyperlink>
          <w:r>
            <w:tab/>
          </w:r>
          <w:fldSimple w:instr="PAGEREF &quot;GOSTHeading195&quot; \h" w:dirty="true">
            <w:r>
              <w:t>—</w:t>
            </w:r>
          </w:fldSimple>
        </w:p>
        <w:p>
          <w:pPr>
            <w:pStyle w:val="31"/>
          </w:pPr>
          <w:hyperlink w:anchor="GOSTHeading196">
            <w:r>
              <w:t>2.1.4 Обучение, проверка и ввод модели в работу</w:t>
            </w:r>
          </w:hyperlink>
          <w:r>
            <w:tab/>
          </w:r>
          <w:fldSimple w:instr="PAGEREF &quot;GOSTHeading196&quot; \h" w:dirty="true">
            <w:r>
              <w:t>—</w:t>
            </w:r>
          </w:fldSimple>
        </w:p>
        <w:p>
          <w:pPr>
            <w:pStyle w:val="31"/>
          </w:pPr>
          <w:hyperlink w:anchor="GOSTHeading197">
            <w:r>
              <w:t>2.1.5 Алгоритм формирования плана размещения</w:t>
            </w:r>
          </w:hyperlink>
          <w:r>
            <w:tab/>
          </w:r>
          <w:fldSimple w:instr="PAGEREF &quot;GOSTHeading197&quot; \h" w:dirty="true">
            <w:r>
              <w:t>—</w:t>
            </w:r>
          </w:fldSimple>
        </w:p>
        <w:p>
          <w:pPr>
            <w:pStyle w:val="31"/>
          </w:pPr>
          <w:hyperlink w:anchor="GOSTHeading198">
            <w:r>
              <w:t>2.1.6 Объяснение рекомендаций</w:t>
            </w:r>
          </w:hyperlink>
          <w:r>
            <w:tab/>
          </w:r>
          <w:fldSimple w:instr="PAGEREF &quot;GOSTHeading198&quot; \h" w:dirty="true">
            <w:r>
              <w:t>—</w:t>
            </w:r>
          </w:fldSimple>
        </w:p>
        <w:p>
          <w:pPr>
            <w:pStyle w:val="31"/>
          </w:pPr>
          <w:hyperlink w:anchor="GOSTHeading199">
            <w:r>
              <w:t>2.1.7 Протокол безопасного переноса</w:t>
            </w:r>
          </w:hyperlink>
          <w:r>
            <w:tab/>
          </w:r>
          <w:fldSimple w:instr="PAGEREF &quot;GOSTHeading199&quot; \h" w:dirty="true">
            <w:r>
              <w:t>—</w:t>
            </w:r>
          </w:fldSimple>
        </w:p>
        <w:p>
          <w:pPr>
            <w:pStyle w:val="22"/>
          </w:pPr>
          <w:hyperlink w:anchor="GOSTHeading200">
            <w:r>
              <w:t>2.2 Модели процессов</w:t>
            </w:r>
          </w:hyperlink>
          <w:r>
            <w:tab/>
          </w:r>
          <w:fldSimple w:instr="PAGEREF &quot;GOSTHeading200&quot; \h" w:dirty="true">
            <w:r>
              <w:t>—</w:t>
            </w:r>
          </w:fldSimple>
        </w:p>
        <w:p>
          <w:pPr>
            <w:pStyle w:val="31"/>
          </w:pPr>
          <w:hyperlink w:anchor="GOSTHeading201">
            <w:r>
              <w:t>2.2.1 Исходный процесс управления размещением</w:t>
            </w:r>
          </w:hyperlink>
          <w:r>
            <w:tab/>
          </w:r>
          <w:fldSimple w:instr="PAGEREF &quot;GOSTHeading201&quot; \h" w:dirty="true">
            <w:r>
              <w:t>—</w:t>
            </w:r>
          </w:fldSimple>
        </w:p>
        <w:p>
          <w:pPr>
            <w:pStyle w:val="31"/>
          </w:pPr>
          <w:hyperlink w:anchor="GOSTHeading202">
            <w:r>
              <w:t>2.2.2 Проектируемый процесс</w:t>
            </w:r>
          </w:hyperlink>
          <w:r>
            <w:tab/>
          </w:r>
          <w:fldSimple w:instr="PAGEREF &quot;GOSTHeading202&quot; \h" w:dirty="true">
            <w:r>
              <w:t>—</w:t>
            </w:r>
          </w:fldSimple>
        </w:p>
        <w:p>
          <w:pPr>
            <w:pStyle w:val="31"/>
          </w:pPr>
          <w:hyperlink w:anchor="GOSTHeading203">
            <w:r>
              <w:t>2.2.3 Сравнение процессов</w:t>
            </w:r>
          </w:hyperlink>
          <w:r>
            <w:tab/>
          </w:r>
          <w:fldSimple w:instr="PAGEREF &quot;GOSTHeading203&quot; \h" w:dirty="true">
            <w:r>
              <w:t>—</w:t>
            </w:r>
          </w:fldSimple>
        </w:p>
        <w:p>
          <w:pPr>
            <w:pStyle w:val="22"/>
          </w:pPr>
          <w:hyperlink w:anchor="GOSTHeading204">
            <w:r>
              <w:t>2.3 Архитектура системы</w:t>
            </w:r>
          </w:hyperlink>
          <w:r>
            <w:tab/>
          </w:r>
          <w:fldSimple w:instr="PAGEREF &quot;GOSTHeading204&quot; \h" w:dirty="true">
            <w:r>
              <w:t>—</w:t>
            </w:r>
          </w:fldSimple>
        </w:p>
        <w:p>
          <w:pPr>
            <w:pStyle w:val="31"/>
          </w:pPr>
          <w:hyperlink w:anchor="GOSTHeading205">
            <w:r>
              <w:t>2.3.1 Изменения компонентов OpenS3</w:t>
            </w:r>
          </w:hyperlink>
          <w:r>
            <w:tab/>
          </w:r>
          <w:fldSimple w:instr="PAGEREF &quot;GOSTHeading205&quot; \h" w:dirty="true">
            <w:r>
              <w:t>—</w:t>
            </w:r>
          </w:fldSimple>
        </w:p>
        <w:p>
          <w:pPr>
            <w:pStyle w:val="31"/>
          </w:pPr>
          <w:hyperlink w:anchor="GOSTHeading206">
            <w:r>
              <w:t>2.3.2 Компонентная модель</w:t>
            </w:r>
          </w:hyperlink>
          <w:r>
            <w:tab/>
          </w:r>
          <w:fldSimple w:instr="PAGEREF &quot;GOSTHeading206&quot; \h" w:dirty="true">
            <w:r>
              <w:t>—</w:t>
            </w:r>
          </w:fldSimple>
        </w:p>
        <w:p>
          <w:pPr>
            <w:pStyle w:val="31"/>
          </w:pPr>
          <w:hyperlink w:anchor="GOSTHeading207">
            <w:r>
              <w:t>2.3.3 Модель данных</w:t>
            </w:r>
          </w:hyperlink>
          <w:r>
            <w:tab/>
          </w:r>
          <w:fldSimple w:instr="PAGEREF &quot;GOSTHeading207&quot; \h" w:dirty="true">
            <w:r>
              <w:t>—</w:t>
            </w:r>
          </w:fldSimple>
        </w:p>
        <w:p>
          <w:pPr>
            <w:pStyle w:val="31"/>
          </w:pPr>
          <w:hyperlink w:anchor="GOSTHeading208">
            <w:r>
              <w:t>2.3.4 Анализ архитектуры</w:t>
            </w:r>
          </w:hyperlink>
          <w:r>
            <w:tab/>
          </w:r>
          <w:fldSimple w:instr="PAGEREF &quot;GOSTHeading208&quot; \h" w:dirty="true">
            <w:r>
              <w:t>—</w:t>
            </w:r>
          </w:fldSimple>
        </w:p>
        <w:p>
          <w:pPr>
            <w:pStyle w:val="31"/>
          </w:pPr>
          <w:hyperlink w:anchor="GOSTHeading209">
            <w:r>
              <w:t>2.3.5 Соответствие требованиям</w:t>
            </w:r>
          </w:hyperlink>
          <w:r>
            <w:tab/>
          </w:r>
          <w:fldSimple w:instr="PAGEREF &quot;GOSTHeading209&quot; \h" w:dirty="true">
            <w:r>
              <w:t>—</w:t>
            </w:r>
          </w:fldSimple>
        </w:p>
        <w:p>
          <w:pPr>
            <w:pStyle w:val="22"/>
          </w:pPr>
          <w:hyperlink w:anchor="GOSTHeading210">
            <w:r>
              <w:t>2.4 Обоснование инструментов реализации</w:t>
            </w:r>
          </w:hyperlink>
          <w:r>
            <w:tab/>
          </w:r>
          <w:fldSimple w:instr="PAGEREF &quot;GOSTHeading210&quot; \h" w:dirty="true">
            <w:r>
              <w:t>—</w:t>
            </w:r>
          </w:fldSimple>
        </w:p>
        <w:p>
          <w:pPr>
            <w:pStyle w:val="22"/>
          </w:pPr>
          <w:hyperlink w:anchor="GOSTHeading211">
            <w:r>
              <w:t>2.5 Выводы по аналитическому разделу</w:t>
            </w:r>
          </w:hyperlink>
          <w:r>
            <w:tab/>
          </w:r>
          <w:fldSimple w:instr="PAGEREF &quot;GOSTHeading211&quot; \h" w:dirty="true">
            <w:r>
              <w:t>—</w:t>
            </w:r>
          </w:fldSimple>
        </w:p>
        <w:p>
          <w:pPr>
            <w:pStyle w:val="10"/>
          </w:pPr>
          <w:hyperlink w:anchor="GOSTHeading212">
            <w:r>
              <w:t>СПИСОК ИСПОЛЬЗОВАННЫХ ИСТОЧНИКОВ</w:t>
            </w:r>
          </w:hyperlink>
          <w:r>
            <w:tab/>
          </w:r>
          <w:fldSimple w:instr="PAGEREF &quot;GOSTHeading212&quot; \h" w:dirty="true">
            <w:r>
              <w:t>—</w:t>
            </w:r>
          </w:fldSimple>
        </w:p>
        <w:p>
          <w:pPr>
            <w:pStyle w:val="10"/>
          </w:pPr>
          <w:hyperlink w:anchor="GOSTHeading213">
            <w:r>
              <w:t>ПРИЛОЖЕНИЯ</w:t>
            </w:r>
          </w:hyperlink>
          <w:r>
            <w:tab/>
          </w:r>
          <w:fldSimple w:instr="PAGEREF &quot;GOSTHeading213&quot; \h" w:dirty="true">
            <w:r>
              <w:t>—</w:t>
            </w:r>
          </w:fldSimple>
        </w:p>
        <w:p>
          <w:pPr>
            <w:pStyle w:val="10"/>
          </w:pPr>
          <w:hyperlink w:anchor="GOSTHeading214">
            <w:r>
              <w:t>Приложение А</w:t>
            </w:r>
          </w:hyperlink>
          <w:r>
            <w:tab/>
          </w:r>
          <w:fldSimple w:instr="PAGEREF &quot;GOSTHeading214&quot; \h" w:dirty="true">
            <w:r>
              <w:t>—</w:t>
            </w:r>
          </w:fldSimple>
        </w:p>
        <w:p>
          <w:pPr>
            <w:pStyle w:val="10"/>
          </w:pPr>
          <w:hyperlink w:anchor="GOSTHeading215">
            <w:r>
              <w:t>Приложение Б</w:t>
            </w:r>
          </w:hyperlink>
          <w:r>
            <w:tab/>
          </w:r>
          <w:fldSimple w:instr="PAGEREF &quot;GOSTHeading215&quot; \h" w:dirty="true">
            <w:r>
              <w:t>—</w:t>
            </w:r>
          </w:fldSimple>
        </w:p>
        <w:p>
          <w:pPr>
            <w:spacing w:before="0" w:after="0" w:line="1" w:lineRule="exact"/>
          </w:pPr>
          <w:r>
            <w:fldChar w:fldCharType="end"/>
          </w:r>
        </w:p>
      </w:sdtContent>
    </w:sdt>
    <w:bookmarkStart w:id="25" w:name="введение"/>
    <w:p>
      <w:pPr>
        <w:pStyle w:val="GOSTStructuralHeading"/>
      </w:pPr>
      <w:bookmarkStart w:id="166" w:name="GOSTHeading166"/>
      <w:r>
        <w:t xml:space="preserve">ВВЕДЕНИЕ</w:t>
      </w:r>
      <w:bookmarkEnd w:id="166"/>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67" w:name="GOSTHeading167"/>
      <w:r>
        <w:t xml:space="preserve">ЛИТЕРАТУРНЫЙ ОБЗОР</w:t>
      </w:r>
      <w:bookmarkEnd w:id="167"/>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68" w:name="GOSTHeading168"/>
      <w:r>
        <w:t xml:space="preserve">1 ИССЛЕДОВАТЕЛЬСКИЙ РАЗДЕЛ</w:t>
      </w:r>
      <w:bookmarkEnd w:id="168"/>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69" w:name="GOSTHeading169"/>
      <w:r>
        <w:t xml:space="preserve">1.1 Анализ предметной области</w:t>
      </w:r>
      <w:bookmarkEnd w:id="169"/>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170" w:name="GOSTHeading170"/>
      <w:r>
        <w:t xml:space="preserve">1.1.1 Предметная область и участники процесса</w:t>
      </w:r>
      <w:bookmarkEnd w:id="170"/>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1" w:name="GOSTHeading171"/>
      <w:r>
        <w:t xml:space="preserve">1.1.2 Объектная модель и единица размещения</w:t>
      </w:r>
      <w:bookmarkEnd w:id="171"/>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72" w:name="GOSTHeading172"/>
      <w:r>
        <w:t xml:space="preserve">1.1.3 Классы хранения и характеристики ресурсов</w:t>
      </w:r>
      <w:bookmarkEnd w:id="172"/>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73" w:name="GOSTHeading173"/>
      <w:r>
        <w:t xml:space="preserve">1.1.4 Востребованность и история обращений</w:t>
      </w:r>
      <w:bookmarkEnd w:id="173"/>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74" w:name="GOSTHeading174"/>
      <w:r>
        <w:t xml:space="preserve">1.1.5 Способы управления размещением</w:t>
      </w:r>
      <w:bookmarkEnd w:id="174"/>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75" w:name="GOSTHeading175"/>
      <w:r>
        <w:t xml:space="preserve">1.1.6 Ресурсные ограничения и затраты</w:t>
      </w:r>
      <w:bookmarkEnd w:id="175"/>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76" w:name="GOSTHeading176"/>
      <w:r>
        <w:t xml:space="preserve">1.1.7 Согласованность и безопасное перемещение</w:t>
      </w:r>
      <w:bookmarkEnd w:id="176"/>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77" w:name="GOSTHeading177"/>
      <w:r>
        <w:t xml:space="preserve">1.1.8 Источники данных и условия исследования</w:t>
      </w:r>
      <w:bookmarkEnd w:id="177"/>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78" w:name="GOSTHeading178"/>
      <w:r>
        <w:t xml:space="preserve">1.2 Анализ существующих решений</w:t>
      </w:r>
      <w:bookmarkEnd w:id="178"/>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79" w:name="GOSTHeading179"/>
      <w:r>
        <w:t xml:space="preserve">1.2.1 Анализ критериев</w:t>
      </w:r>
      <w:bookmarkEnd w:id="179"/>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80" w:name="GOSTHeading180"/>
      <w:r>
        <w:t xml:space="preserve">1.2.2 Обзор аналогов</w:t>
      </w:r>
      <w:bookmarkEnd w:id="180"/>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1" w:name="GOSTHeading181"/>
      <w:r>
        <w:t xml:space="preserve">1.2.3 Сопоставление аналогов</w:t>
      </w:r>
      <w:bookmarkEnd w:id="181"/>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82" w:name="GOSTHeading182"/>
      <w:r>
        <w:t xml:space="preserve">1.3 Требования к разрабатываемой системе</w:t>
      </w:r>
      <w:bookmarkEnd w:id="182"/>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83" w:name="GOSTHeading183"/>
      <w:r>
        <w:t xml:space="preserve">1.3.1 Назначение и границы разрабатываемого расширения</w:t>
      </w:r>
      <w:bookmarkEnd w:id="183"/>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84" w:name="GOSTHeading184"/>
      <w:r>
        <w:t xml:space="preserve">1.3.2 Требования к выполняемым функциям</w:t>
      </w:r>
      <w:bookmarkEnd w:id="184"/>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85" w:name="GOSTHeading185"/>
      <w:r>
        <w:t xml:space="preserve">1.3.3 Требования к надёжности и сохранности данных</w:t>
      </w:r>
      <w:bookmarkEnd w:id="185"/>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86" w:name="GOSTHeading186"/>
      <w:r>
        <w:t xml:space="preserve">1.3.4 Требования к доступу и интерфейсу администратора</w:t>
      </w:r>
      <w:bookmarkEnd w:id="186"/>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87" w:name="GOSTHeading187"/>
      <w:r>
        <w:t xml:space="preserve">1.3.5 Требования к ресурсам, совместимости и контролю выполнения</w:t>
      </w:r>
      <w:bookmarkEnd w:id="187"/>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88" w:name="GOSTHeading188"/>
      <w:r>
        <w:t xml:space="preserve">1.3.6 Требования к жизненному циклу модели</w:t>
      </w:r>
      <w:bookmarkEnd w:id="188"/>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89" w:name="GOSTHeading189"/>
      <w:r>
        <w:t xml:space="preserve">1.3.7 Требования к проверке эффективности и минимальному результату</w:t>
      </w:r>
      <w:bookmarkEnd w:id="189"/>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90" w:name="GOSTHeading190"/>
      <w:r>
        <w:t xml:space="preserve">1.4 Выводы по исследовательскому разделу</w:t>
      </w:r>
      <w:bookmarkEnd w:id="190"/>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0" w:name="аналитический-раздел"/>
    <w:p>
      <w:pPr>
        <w:pStyle w:val="1"/>
      </w:pPr>
      <w:bookmarkStart w:id="191" w:name="GOSTHeading191"/>
      <w:r>
        <w:t xml:space="preserve">2 АНАЛИТИЧЕСКИЙ РАЗДЕЛ</w:t>
      </w:r>
      <w:bookmarkEnd w:id="191"/>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2" w:name="X84bd9294f1307ff8601e5cfa6da9c74af29fe47"/>
    <w:p>
      <w:pPr>
        <w:pStyle w:val="21"/>
      </w:pPr>
      <w:bookmarkStart w:id="192" w:name="GOSTHeading192"/>
      <w:r>
        <w:t xml:space="preserve">2.1 Математическое и алгоритмическое обеспечение</w:t>
      </w:r>
      <w:bookmarkEnd w:id="192"/>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193" w:name="GOSTHeading193"/>
      <w:r>
        <w:t xml:space="preserve">2.1.1 Постановка задачи размещения</w:t>
      </w:r>
      <w:bookmarkEnd w:id="193"/>
    </w:p>
    <w:p>
      <w:pPr>
        <w:pStyle w:val="FirstParagraph"/>
      </w:pPr>
      <w:r>
        <w:t xml:space="preserve">В каждом цикле планирования для текущей версии каждого объекта выбирается класс хранения HOT или COLD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функциональное требование F-05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(2.14),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(2.10)</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194" w:name="GOSTHeading194"/>
      <w:r>
        <w:t xml:space="preserve">2.1.2 Модель прогнозирования востребованности</w:t>
      </w:r>
      <w:bookmarkEnd w:id="194"/>
    </w:p>
    <w:p>
      <w:pPr>
        <w:pStyle w:val="FirstParagraph"/>
        <w:keepNext w:val="1"/>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показанная на Рисунке 2.1: классификатор оценивает вероятность спроса</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а их произведение даёт</w:t>
      </w:r>
      <w:r>
        <w:t xml:space="preserve"> </w:t>
      </w:r>
      <m:oMath>
        <m:sSub>
          <m:e>
            <m:acc>
              <m:accPr>
                <m:chr m:val="̂"/>
              </m:accPr>
              <m:e>
                <m:r>
                  <m:t>N</m:t>
                </m:r>
              </m:e>
            </m:acc>
          </m:e>
          <m:sub>
            <m:r>
              <m:t>i</m:t>
            </m:r>
          </m:sub>
        </m:sSub>
      </m:oMath>
      <w:r>
        <w:t xml:space="preserve">.</w:t>
      </w:r>
    </w:p>
    <w:bookmarkStart w:id="60" w:name="gost-fig:forecast_model"/>
    <w:p>
      <w:pPr>
        <w:pStyle w:val="CaptionedFigure"/>
        <w:keepNext w:val="1"/>
      </w:pPr>
      <w:r>
        <w:drawing>
          <wp:inline>
            <wp:extent cx="5039999" cy="3671674"/>
            <wp:effectExtent b="0" l="0" r="0" t="0"/>
            <wp:docPr descr="Схема модели прогнозирования востребованности"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039999" cy="3671674"/>
                    </a:xfrm>
                    <a:prstGeom prst="rect">
                      <a:avLst/>
                    </a:prstGeom>
                    <a:noFill/>
                    <a:ln w="9525">
                      <a:noFill/>
                      <a:headEnd/>
                      <a:tailEnd/>
                    </a:ln>
                  </pic:spPr>
                </pic:pic>
              </a:graphicData>
            </a:graphic>
          </wp:inline>
        </w:drawing>
      </w:r>
    </w:p>
    <w:p>
      <w:pPr>
        <w:pStyle w:val="ImageCaption"/>
      </w:pPr>
      <w:r>
        <w:t xml:space="preserve">Рисунок 2.1 — Схема модели прогнозирования востребованности</w:t>
      </w:r>
    </w:p>
    <w:bookmarkEnd w:id="60"/>
    <w:p>
      <w:pPr>
        <w:pStyle w:val="a2"/>
      </w:pPr>
      <w:r>
        <w:t xml:space="preserve">Пунктиром на схеме показаны базовые оценки, которые выдают прогноз через тот же интерфейс, что и модель, и приводятся к числу чтений за</w:t>
      </w:r>
      <w:r>
        <w:t xml:space="preserve"> </w:t>
      </w:r>
      <m:oMath>
        <m:r>
          <m:t>H</m:t>
        </m:r>
      </m:oMath>
      <w:r>
        <w:t xml:space="preserve">: EWMA и частота пересчётом, время с последнего чтения и возраст — монотонной функцией, подобранной на данных настройки. EWMA служит также базовой политикой из функционального требования F-12. Модель и базовые оценки передают прогноз одному и тому же планировщику, поэтому при сравнении политик различается только оценка спроса, а разница в задержке чтения показывает вклад прогноза, а не алгоритма планирования.</w:t>
      </w:r>
    </w:p>
    <w:p>
      <w:pPr>
        <w:pStyle w:val="a2"/>
      </w:pPr>
      <w:r>
        <w:t xml:space="preserve">Обе части модели строятся градиентным бустингом деревьев решений (англ. Gradient Boosting Decision Tree, далее GBDT) [31], в котором модель представляется суммой деревьев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F</m:t>
        </m:r>
        <m:r>
          <m:rPr>
            <m:sty m:val="p"/>
          </m:rPr>
          <m:t>(</m:t>
        </m:r>
        <m:r>
          <m:t>x</m:t>
        </m:r>
        <m:r>
          <m:rPr>
            <m:sty m:val="p"/>
          </m:rPr>
          <m:t>)</m:t>
        </m:r>
        <m:r>
          <m:rPr>
            <m:sty m:val="p"/>
          </m:rPr>
          <m:t>=</m:t>
        </m:r>
        <m:sSub>
          <m:e>
            <m:r>
              <m:t>F</m:t>
            </m:r>
          </m:e>
          <m:sub>
            <m:r>
              <m:t>0</m:t>
            </m:r>
          </m:sub>
        </m:sSub>
        <m:r>
          <m:rPr>
            <m:sty m:val="p"/>
          </m:rPr>
          <m:t>+</m:t>
        </m:r>
        <m:r>
          <m:t>η</m:t>
        </m:r>
        <m:nary>
          <m:naryPr>
            <m:chr m:val="∑"/>
            <m:limLoc m:val="undOvr"/>
            <m:subHide m:val="off"/>
            <m:supHide m:val="off"/>
          </m:naryPr>
          <m:sub>
            <m:r>
              <m:t>k</m:t>
            </m:r>
            <m:r>
              <m:rPr>
                <m:sty m:val="p"/>
              </m:rPr>
              <m:t>=</m:t>
            </m:r>
            <m:r>
              <m:t>1</m:t>
            </m:r>
          </m:sub>
          <m:sup>
            <m:r>
              <m:t>M</m:t>
            </m:r>
          </m:sup>
          <m:e>
            <m:sSub>
              <m:e>
                <m:r>
                  <m:t>f</m:t>
                </m:r>
              </m:e>
              <m:sub>
                <m:r>
                  <m:t>k</m:t>
                </m:r>
              </m:sub>
            </m:sSub>
          </m:e>
        </m:nary>
        <m:r>
          <m:rPr>
            <m:sty m:val="p"/>
          </m:rPr>
          <m:t>(</m:t>
        </m:r>
        <m:r>
          <m:t>x</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r>
          <m:t>F</m:t>
        </m:r>
        <m:r>
          <m:rPr>
            <m:sty m:val="p"/>
          </m:rPr>
          <m:t>(</m:t>
        </m:r>
        <m:r>
          <m:t>x</m:t>
        </m:r>
        <m:r>
          <m:rPr>
            <m:sty m:val="p"/>
          </m:rPr>
          <m:t>)</m:t>
        </m:r>
      </m:oMath>
      <w:r>
        <w:t xml:space="preserve"> </w:t>
      </w:r>
      <w:r>
        <w:t xml:space="preserve">— выход модели до преобразования в прогноз;</w:t>
      </w:r>
    </w:p>
    <w:p>
      <w:pPr>
        <w:pStyle w:val="Where"/>
      </w:pPr>
      <w:r>
        <w:tab/>
      </w:r>
      <m:oMath>
        <m:r>
          <m:t>x</m:t>
        </m:r>
      </m:oMath>
      <w:r>
        <w:t xml:space="preserve"> </w:t>
      </w:r>
      <w:r>
        <w:t xml:space="preserve">— вектор признаков объекта, состав которого приведён в разделе 2.1.3 пояснительной записки;</w:t>
      </w:r>
    </w:p>
    <w:p>
      <w:pPr>
        <w:pStyle w:val="Where"/>
      </w:pPr>
      <w:r>
        <w:tab/>
      </w:r>
      <m:oMath>
        <m:sSub>
          <m:e>
            <m:r>
              <m:t>F</m:t>
            </m:r>
          </m:e>
          <m:sub>
            <m:r>
              <m:t>0</m:t>
            </m:r>
          </m:sub>
        </m:sSub>
      </m:oMath>
      <w:r>
        <w:t xml:space="preserve"> </w:t>
      </w:r>
      <w:r>
        <w:t xml:space="preserve">— начальное приближение;</w:t>
      </w:r>
    </w:p>
    <w:p>
      <w:pPr>
        <w:pStyle w:val="Where"/>
      </w:pPr>
      <w:r>
        <w:tab/>
      </w:r>
      <m:oMath>
        <m:r>
          <m:t>η</m:t>
        </m:r>
      </m:oMath>
      <w:r>
        <w:t xml:space="preserve"> </w:t>
      </w:r>
      <w:r>
        <w:t xml:space="preserve">— коэффициент обучения;</w:t>
      </w:r>
    </w:p>
    <w:p>
      <w:pPr>
        <w:pStyle w:val="Where"/>
      </w:pPr>
      <w:r>
        <w:tab/>
      </w:r>
      <m:oMath>
        <m:r>
          <m:t>M</m:t>
        </m:r>
      </m:oMath>
      <w:r>
        <w:t xml:space="preserve"> </w:t>
      </w:r>
      <w:r>
        <w:t xml:space="preserve">— число деревьев;</w:t>
      </w:r>
    </w:p>
    <w:p>
      <w:pPr>
        <w:pStyle w:val="Where"/>
      </w:pPr>
      <w:r>
        <w:tab/>
      </w:r>
      <m:oMath>
        <m:sSub>
          <m:e>
            <m:r>
              <m:t>f</m:t>
            </m:r>
          </m:e>
          <m:sub>
            <m:r>
              <m:t>k</m:t>
            </m:r>
          </m:sub>
        </m:sSub>
        <m:r>
          <m:rPr>
            <m:sty m:val="p"/>
          </m:rPr>
          <m:t>(</m:t>
        </m:r>
        <m:r>
          <m:t>x</m:t>
        </m:r>
        <m:r>
          <m:rPr>
            <m:sty m:val="p"/>
          </m:rPr>
          <m:t>)</m:t>
        </m:r>
      </m:oMath>
      <w:r>
        <w:t xml:space="preserve"> </w:t>
      </w:r>
      <w:r>
        <w:t xml:space="preserve">— выход дерева, построенного на шаге</w:t>
      </w:r>
      <w:r>
        <w:t xml:space="preserve"> </w:t>
      </w:r>
      <m:oMath>
        <m:r>
          <m:t>k</m:t>
        </m:r>
      </m:oMath>
      <w:r>
        <w:t xml:space="preserve">.</w:t>
      </w:r>
    </w:p>
    <w:p>
      <w:pPr>
        <w:pStyle w:val="a2"/>
      </w:pPr>
      <w:r>
        <w:t xml:space="preserve">Выход классификатора</w:t>
      </w:r>
      <w:r>
        <w:t xml:space="preserve"> </w:t>
      </w:r>
      <m:oMath>
        <m:sSub>
          <m:e>
            <m:r>
              <m:t>F</m:t>
            </m:r>
          </m:e>
          <m:sub>
            <m:r>
              <m:rPr>
                <m:sty m:val="p"/>
              </m:rPr>
              <m:t>к</m:t>
            </m:r>
            <m:r>
              <m:rPr>
                <m:sty m:val="p"/>
              </m:rPr>
              <m:t>л</m:t>
            </m:r>
          </m:sub>
        </m:sSub>
      </m:oMath>
      <w:r>
        <w:t xml:space="preserve"> </w:t>
      </w:r>
      <w:r>
        <w:t xml:space="preserve">переводится в вероятность логистической функцией [32] по формуле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
                  <m:e>
                    <m:r>
                      <m:t>F</m:t>
                    </m:r>
                  </m:e>
                  <m:sub>
                    <m:r>
                      <m:rPr>
                        <m:sty m:val="p"/>
                      </m:rPr>
                      <m:t>к</m:t>
                    </m:r>
                    <m:r>
                      <m:rPr>
                        <m:sty m:val="p"/>
                      </m:rPr>
                      <m:t>л</m:t>
                    </m:r>
                  </m:sub>
                </m:sSub>
                <m:r>
                  <m:rPr>
                    <m:sty m:val="p"/>
                  </m:rPr>
                  <m:t>(</m:t>
                </m:r>
                <m:sSub>
                  <m:e>
                    <m:r>
                      <m:t>x</m:t>
                    </m:r>
                  </m:e>
                  <m:sub>
                    <m:r>
                      <m:t>i</m:t>
                    </m:r>
                  </m:sub>
                </m:sSub>
                <m:r>
                  <m:rPr>
                    <m:sty m:val="p"/>
                  </m:rPr>
                  <m:t>)</m:t>
                </m:r>
              </m:e>
            </m:d>
          </m:den>
        </m:f>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r>
              <m:t>p</m:t>
            </m:r>
          </m:e>
          <m:sub>
            <m:r>
              <m:t>i</m:t>
            </m:r>
          </m:sub>
        </m:sSub>
      </m:oMath>
      <w:r>
        <w:t xml:space="preserve"> </w:t>
      </w:r>
      <w:r>
        <w:t xml:space="preserve">— вероятность хотя бы одного чтения объекта</w:t>
      </w:r>
      <w:r>
        <w:t xml:space="preserve"> </w:t>
      </w:r>
      <m:oMath>
        <m:r>
          <m:t>i</m:t>
        </m:r>
      </m:oMath>
      <w:r>
        <w:t xml:space="preserve"> </w:t>
      </w:r>
      <w:r>
        <w:t xml:space="preserve">за горизонт,</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w:t>
      </w:r>
    </w:p>
    <w:p>
      <w:pPr>
        <w:pStyle w:val="Where"/>
      </w:pPr>
      <w:r>
        <w:tab/>
      </w:r>
      <m:oMath>
        <m:sSub>
          <m:e>
            <m:r>
              <m:t>F</m:t>
            </m:r>
          </m:e>
          <m:sub>
            <m:r>
              <m:rPr>
                <m:sty m:val="p"/>
              </m:rPr>
              <m:t>к</m:t>
            </m:r>
            <m:r>
              <m:rPr>
                <m:sty m:val="p"/>
              </m:rPr>
              <m:t>л</m:t>
            </m:r>
          </m:sub>
        </m:sSub>
        <m:r>
          <m:rPr>
            <m:sty m:val="p"/>
          </m:rPr>
          <m:t>(</m:t>
        </m:r>
        <m:sSub>
          <m:e>
            <m:r>
              <m:t>x</m:t>
            </m:r>
          </m:e>
          <m:sub>
            <m:r>
              <m:t>i</m:t>
            </m:r>
          </m:sub>
        </m:sSub>
        <m:r>
          <m:rPr>
            <m:sty m:val="p"/>
          </m:rPr>
          <m:t>)</m:t>
        </m:r>
      </m:oMath>
      <w:r>
        <w:t xml:space="preserve"> </w:t>
      </w:r>
      <w:r>
        <w:t xml:space="preserve">— выход классификатора по формуле (2.7).</w:t>
      </w:r>
    </w:p>
    <w:p>
      <w:pPr>
        <w:pStyle w:val="a2"/>
      </w:pPr>
      <w:r>
        <w:t xml:space="preserve">Выход регрессора</w:t>
      </w:r>
      <w:r>
        <w:t xml:space="preserve"> </w:t>
      </w:r>
      <m:oMath>
        <m:sSub>
          <m:e>
            <m:r>
              <m:t>F</m:t>
            </m:r>
          </m:e>
          <m:sub>
            <m:r>
              <m:rPr>
                <m:sty m:val="p"/>
              </m:rPr>
              <m:t>р</m:t>
            </m:r>
            <m:r>
              <m:rPr>
                <m:sty m:val="p"/>
              </m:rPr>
              <m:t>е</m:t>
            </m:r>
            <m:r>
              <m:rPr>
                <m:sty m:val="p"/>
              </m:rPr>
              <m:t>г</m:t>
            </m:r>
          </m:sub>
        </m:sSub>
      </m:oMath>
      <w:r>
        <w:t xml:space="preserve"> </w:t>
      </w:r>
      <w:r>
        <w:t xml:space="preserve">переводится в число чтений при возникшем спросе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за горизонт при условии, что спрос возник;</w:t>
      </w:r>
    </w:p>
    <w:p>
      <w:pPr>
        <w:pStyle w:val="Where"/>
      </w:pPr>
      <w:r>
        <w:tab/>
      </w:r>
      <m:oMath>
        <m:sSub>
          <m:e>
            <m:r>
              <m:t>F</m:t>
            </m:r>
          </m:e>
          <m:sub>
            <m:r>
              <m:rPr>
                <m:sty m:val="p"/>
              </m:rPr>
              <m:t>р</m:t>
            </m:r>
            <m:r>
              <m:rPr>
                <m:sty m:val="p"/>
              </m:rPr>
              <m:t>е</m:t>
            </m:r>
            <m:r>
              <m:rPr>
                <m:sty m:val="p"/>
              </m:rPr>
              <m:t>г</m:t>
            </m:r>
          </m:sub>
        </m:sSub>
        <m:r>
          <m:rPr>
            <m:sty m:val="p"/>
          </m:rPr>
          <m:t>(</m:t>
        </m:r>
        <m:sSub>
          <m:e>
            <m:r>
              <m:t>x</m:t>
            </m:r>
          </m:e>
          <m:sub>
            <m:r>
              <m:t>i</m:t>
            </m:r>
          </m:sub>
        </m:sSub>
        <m:r>
          <m:rPr>
            <m:sty m:val="p"/>
          </m:rPr>
          <m:t>)</m:t>
        </m:r>
      </m:oMath>
      <w:r>
        <w:t xml:space="preserve"> </w:t>
      </w:r>
      <w:r>
        <w:t xml:space="preserve">— выход регрессора по формуле (2.7).</w:t>
      </w:r>
    </w:p>
    <w:p>
      <w:pPr>
        <w:pStyle w:val="a2"/>
      </w:pPr>
      <w:r>
        <w:t xml:space="preserve">Единица учитывает, что при возникшем спросе чтений не меньше одного. В отличие от исходной модели [30], положительная часть не усечена в нуле, а сдвинута на единицу, что позволяет использовать стандартную пуассоновскую функцию потерь библиотек градиентного бустинга [32]. В модели с барьером ожидаемое число чтений равно произведению вероятности спроса и числа чтений при возникшем спросе [30], поэтому итоговый прогноз задаёт формула (2.10).</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(2.10)</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a2"/>
      </w:pPr>
      <w:r>
        <w:t xml:space="preserve">Равенство выполняется при откалиброванной</w:t>
      </w:r>
      <w:r>
        <w:t xml:space="preserve"> </w:t>
      </w:r>
      <m:oMath>
        <m:sSub>
          <m:e>
            <m:r>
              <m:t>p</m:t>
            </m:r>
          </m:e>
          <m:sub>
            <m:r>
              <m:t>i</m:t>
            </m:r>
          </m:sub>
        </m:sSub>
      </m:oMath>
      <w:r>
        <w:t xml:space="preserve">, поэтому калибровка проверяется отдельно. Классификатор обучается на всех примерах с логистической функцией потерь [32].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 величину</w:t>
      </w:r>
      <w:r>
        <w:t xml:space="preserve"> </w:t>
      </w:r>
      <m:oMath>
        <m:r>
          <m:t>y</m:t>
        </m:r>
        <m:r>
          <m:rPr>
            <m:sty m:val="p"/>
          </m:rPr>
          <m:t>=</m:t>
        </m:r>
        <m:sSub>
          <m:e>
            <m:r>
              <m:t>N</m:t>
            </m:r>
          </m:e>
          <m:sub>
            <m:r>
              <m:t>i</m:t>
            </m:r>
          </m:sub>
        </m:sSub>
        <m:r>
          <m:rPr>
            <m:sty m:val="p"/>
          </m:rPr>
          <m:t>−</m:t>
        </m:r>
        <m:r>
          <m:t>1</m:t>
        </m:r>
      </m:oMath>
      <w:r>
        <w:t xml:space="preserve">, то есть число чтений сверх первого, с логарифмической связью, принятой для пуассоновской регрессии [32], [33], по формуле (2.11).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acc>
          <m:accPr>
            <m:chr m:val="̂"/>
          </m:accPr>
          <m:e>
            <m:r>
              <m:t>y</m:t>
            </m:r>
          </m:e>
        </m:acc>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(2.11)</w:t>
      </w:r>
    </w:p>
    <w:p>
      <w:pPr>
        <w:pStyle w:val="Where"/>
      </w:pPr>
      <w:r>
        <w:t xml:space="preserve">где</w:t>
      </w:r>
      <w:r>
        <w:tab/>
      </w:r>
      <m:oMath>
        <m:acc>
          <m:accPr>
            <m:chr m:val="̂"/>
          </m:accPr>
          <m:e>
            <m:r>
              <m:t>y</m:t>
            </m:r>
          </m:e>
        </m:acc>
      </m:oMath>
      <w:r>
        <w:t xml:space="preserve"> </w:t>
      </w:r>
      <w:r>
        <w:t xml:space="preserve">— прогноз регрессора для величины</w:t>
      </w:r>
      <w:r>
        <w:t xml:space="preserve"> </w:t>
      </w:r>
      <m:oMath>
        <m:r>
          <m:t>y</m:t>
        </m:r>
      </m:oMath>
      <w:r>
        <w:t xml:space="preserve">, по формуле (2.9) равный</w:t>
      </w:r>
      <w:r>
        <w:t xml:space="preserve"> </w:t>
      </w:r>
      <m:oMath>
        <m:sSub>
          <m:e>
            <m:r>
              <m:t>m</m:t>
            </m:r>
          </m:e>
          <m:sub>
            <m:r>
              <m:t>i</m:t>
            </m:r>
          </m:sub>
        </m:sSub>
        <m:r>
          <m:rPr>
            <m:sty m:val="p"/>
          </m:rPr>
          <m:t>−</m:t>
        </m:r>
        <m:r>
          <m:t>1</m:t>
        </m:r>
      </m:oMath>
      <w:r>
        <w:t xml:space="preserve">.</w:t>
      </w:r>
    </w:p>
    <w:p>
      <w:pPr>
        <w:pStyle w:val="a2"/>
      </w:pPr>
      <w:r>
        <w:t xml:space="preserve">Регрессор обучается с функцией потерь Пуассона [32], [33], которая совпадает с отрицательным логарифмом правдоподобия Пуассона без постоянного слагаемого и задаётся формулой (2.12).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ℓ</m:t>
        </m:r>
        <m:r>
          <m:rPr>
            <m:sty m:val="p"/>
          </m:rPr>
          <m:t>(</m:t>
        </m:r>
        <m:r>
          <m:t>y</m:t>
        </m:r>
        <m:r>
          <m:rPr>
            <m:sty m:val="p"/>
          </m:rPr>
          <m:t>,</m:t>
        </m:r>
        <m:acc>
          <m:accPr>
            <m:chr m:val="̂"/>
          </m:accPr>
          <m:e>
            <m:r>
              <m:t>y</m:t>
            </m:r>
          </m:e>
        </m:acc>
        <m:r>
          <m:rPr>
            <m:sty m:val="p"/>
          </m:rPr>
          <m:t>)</m:t>
        </m:r>
        <m:r>
          <m:rPr>
            <m:sty m:val="p"/>
          </m:rPr>
          <m:t>=</m:t>
        </m:r>
        <m:acc>
          <m:accPr>
            <m:chr m:val="̂"/>
          </m:accPr>
          <m:e>
            <m:r>
              <m:t>y</m:t>
            </m:r>
          </m:e>
        </m:acc>
        <m:r>
          <m:rPr>
            <m:sty m:val="p"/>
          </m:rPr>
          <m:t>−</m:t>
        </m:r>
        <m:r>
          <m:t>y</m:t>
        </m:r>
        <m:r>
          <m:rPr>
            <m:sty m:val="p"/>
          </m:rPr>
          <m:t>ln</m:t>
        </m:r>
        <m:acc>
          <m:accPr>
            <m:chr m:val="̂"/>
          </m:accPr>
          <m:e>
            <m:r>
              <m:t>y</m:t>
            </m:r>
          </m:e>
        </m:acc>
        <m:r>
          <m:rPr>
            <m:sty m:val="p"/>
          </m:rPr>
          <m:t>,</m:t>
        </m:r>
      </m:oMath>
      <w:r>
        <w:tab/>
      </w:r>
      <w:r>
        <w:rPr>
          <w:rFonts w:ascii="Times New Roman" w:hAnsi="Times New Roman" w:cs="Times New Roman" w:eastAsia="Times New Roman"/>
          <w:b w:val="0"/>
          <w:bCs w:val="0"/>
          <w:i w:val="0"/>
          <w:iCs w:val="0"/>
          <w:color w:val="000000"/>
          <w:sz w:val="28"/>
          <w:szCs w:val="28"/>
        </w:rPr>
        <w:t>(2.12)</w:t>
      </w:r>
    </w:p>
    <w:p>
      <w:pPr>
        <w:pStyle w:val="Where"/>
      </w:pPr>
      <w:r>
        <w:t xml:space="preserve">где</w:t>
      </w:r>
      <w:r>
        <w:tab/>
      </w:r>
      <m:oMath>
        <m:r>
          <m:t>ℓ</m:t>
        </m:r>
        <m:r>
          <m:rPr>
            <m:sty m:val="p"/>
          </m:rPr>
          <m:t>(</m:t>
        </m:r>
        <m:r>
          <m:t>y</m:t>
        </m:r>
        <m:r>
          <m:rPr>
            <m:sty m:val="p"/>
          </m:rPr>
          <m:t>,</m:t>
        </m:r>
        <m:acc>
          <m:accPr>
            <m:chr m:val="̂"/>
          </m:accPr>
          <m:e>
            <m:r>
              <m:t>y</m:t>
            </m:r>
          </m:e>
        </m:acc>
        <m:r>
          <m:rPr>
            <m:sty m:val="p"/>
          </m:rPr>
          <m:t>)</m:t>
        </m:r>
      </m:oMath>
      <w:r>
        <w:t xml:space="preserve"> </w:t>
      </w:r>
      <w:r>
        <w:t xml:space="preserve">— значение функции потерь на одном обучающем примере;</w:t>
      </w:r>
    </w:p>
    <w:p>
      <w:pPr>
        <w:pStyle w:val="Where"/>
      </w:pPr>
      <w:r>
        <w:tab/>
      </w:r>
      <m:oMath>
        <m:r>
          <m:t>y</m:t>
        </m:r>
      </m:oMath>
      <w:r>
        <w:t xml:space="preserve"> </w:t>
      </w:r>
      <w:r>
        <w:t xml:space="preserve">— фактическое число чтений объекта сверх первого,</w:t>
      </w:r>
      <w:r>
        <w:t xml:space="preserve"> </w:t>
      </w:r>
      <m:oMath>
        <m:sSub>
          <m:e>
            <m:r>
              <m:t>N</m:t>
            </m:r>
          </m:e>
          <m:sub>
            <m:r>
              <m:t>i</m:t>
            </m:r>
          </m:sub>
        </m:sSub>
        <m:r>
          <m:rPr>
            <m:sty m:val="p"/>
          </m:rPr>
          <m:t>−</m:t>
        </m:r>
        <m:r>
          <m:t>1</m:t>
        </m:r>
      </m:oMath>
      <w:r>
        <w:t xml:space="preserve">.</w:t>
      </w:r>
    </w:p>
    <w:p>
      <w:pPr>
        <w:pStyle w:val="a2"/>
      </w:pPr>
      <w:r>
        <w:t xml:space="preserve">GBDT выбран потому, что признаки модели образуют табличные данные, на которых ансамбли деревьев не уступают нейронным сетям по качеству при меньших затратах [34]. Кроме того, такие модели обучаются на процессоре и показывают значимость признаков.</w:t>
      </w:r>
    </w:p>
    <w:p>
      <w:pPr>
        <w:pStyle w:val="a2"/>
      </w:pPr>
      <w:r>
        <w:t xml:space="preserve">Однократный всплеск без предвестников модель не предсказывает, а новый объект оценивает грубо. На равномерной случайной нагрузке все объекты читаются с одинаковой вероятностью, и прошлые обращения не говорят о будущих, поэтому ни одна политика не может выбрать объекты для HOT лучше другой. Этот сценарий служит проверкой самого эксперимента: если модель покажет на нём выигрыш, значит, в эксперименте есть ошибка, например утечка будущих данных в признаки или неравные условия сравнения.</w:t>
      </w:r>
    </w:p>
    <w:bookmarkEnd w:id="61"/>
    <w:bookmarkStart w:id="63" w:name="X5cb85bb2864257b50580b8dfa11fbf34fed6abe"/>
    <w:p>
      <w:pPr>
        <w:pStyle w:val="30"/>
      </w:pPr>
      <w:bookmarkStart w:id="195" w:name="GOSTHeading195"/>
      <w:r>
        <w:t xml:space="preserve">2.1.3 Обработка данных и формирование обучающих примеров</w:t>
      </w:r>
      <w:bookmarkEnd w:id="195"/>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[35], [36], признаки строятся только по событиям до момента</w:t>
      </w:r>
      <w:r>
        <w:t xml:space="preserve"> </w:t>
      </w:r>
      <m:oMath>
        <m:r>
          <m:t>T</m:t>
        </m:r>
      </m:oMath>
      <w:r>
        <w:t xml:space="preserve"> </w:t>
      </w:r>
      <w:r>
        <w:t xml:space="preserve">по формуле (2.13).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x</m:t>
            </m:r>
          </m:e>
          <m:sub>
            <m:r>
              <m:t>i</m:t>
            </m:r>
          </m:sub>
        </m:sSub>
        <m:r>
          <m:rPr>
            <m:sty m:val="p"/>
          </m:rPr>
          <m:t>(</m:t>
        </m:r>
        <m:r>
          <m:t>T</m:t>
        </m:r>
        <m:r>
          <m:rPr>
            <m:sty m:val="p"/>
          </m:rPr>
          <m:t>)</m:t>
        </m:r>
        <m:r>
          <m:rPr>
            <m:sty m:val="p"/>
          </m:rPr>
          <m:t>=</m:t>
        </m:r>
        <m:r>
          <m:rPr>
            <m:sty m:val="p"/>
          </m:rPr>
          <m:t>П</m:t>
        </m:r>
        <m:r>
          <m:rPr>
            <m:sty m:val="p"/>
          </m:rPr>
          <m:t>р</m:t>
        </m:r>
        <m:r>
          <m:rPr>
            <m:sty m:val="p"/>
          </m:rPr>
          <m:t>и</m:t>
        </m:r>
        <m:r>
          <m:rPr>
            <m:sty m:val="p"/>
          </m:rPr>
          <m:t>з</m:t>
        </m:r>
        <m:r>
          <m:rPr>
            <m:sty m:val="p"/>
          </m:rPr>
          <m:t>н</m:t>
        </m:r>
        <m:r>
          <m:rPr>
            <m:sty m:val="p"/>
          </m:rPr>
          <m:t>а</m:t>
        </m:r>
        <m:r>
          <m:rPr>
            <m:sty m:val="p"/>
          </m:rPr>
          <m:t>к</m:t>
        </m:r>
        <m:r>
          <m:rPr>
            <m:sty m:val="p"/>
          </m:rPr>
          <m:t>и</m:t>
        </m:r>
        <m:d>
          <m:dPr>
            <m:begChr m:val="("/>
            <m:sepChr m:val=""/>
            <m:endChr m:val=")"/>
            <m:grow/>
          </m:dPr>
          <m:e>
            <m:r>
              <m:rPr>
                <m:sty m:val="p"/>
              </m:rPr>
              <m:t>{</m:t>
            </m:r>
            <m:r>
              <m:t>e</m:t>
            </m:r>
            <m:r>
              <m:rPr>
                <m:sty m:val="p"/>
              </m:rPr>
              <m:t>∈</m:t>
            </m:r>
            <m:sSub>
              <m:e>
                <m:r>
                  <m:t>E</m:t>
                </m:r>
              </m:e>
              <m:sub>
                <m:r>
                  <m:t>i</m:t>
                </m:r>
              </m:sub>
            </m:sSub>
            <m:r>
              <m:rPr>
                <m:sty m:val="p"/>
              </m:rPr>
              <m:t>:</m:t>
            </m:r>
            <m:sSub>
              <m:e>
                <m:r>
                  <m:t>T</m:t>
                </m:r>
              </m:e>
              <m:sub>
                <m:r>
                  <m:t>e</m:t>
                </m:r>
              </m:sub>
            </m:sSub>
            <m:r>
              <m:rPr>
                <m:sty m:val="p"/>
              </m:rPr>
              <m:t>&lt;</m:t>
            </m:r>
            <m:r>
              <m:t>T</m:t>
            </m:r>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(2.13)</w:t>
      </w:r>
    </w:p>
    <w:p>
      <w:pPr>
        <w:pStyle w:val="Where"/>
      </w:pPr>
      <w:r>
        <w:t xml:space="preserve">где</w:t>
      </w:r>
      <w:r>
        <w:tab/>
      </w:r>
      <m:oMath>
        <m:sSub>
          <m:e>
            <m:r>
              <m:t>x</m:t>
            </m:r>
          </m:e>
          <m:sub>
            <m:r>
              <m:t>i</m:t>
            </m:r>
          </m:sub>
        </m:sSub>
        <m:r>
          <m:rPr>
            <m:sty m:val="p"/>
          </m:rPr>
          <m:t>(</m:t>
        </m:r>
        <m:r>
          <m:t>T</m:t>
        </m:r>
        <m:r>
          <m:rPr>
            <m:sty m:val="p"/>
          </m:rPr>
          <m:t>)</m:t>
        </m:r>
      </m:oMath>
      <w:r>
        <w:t xml:space="preserve"> </w:t>
      </w:r>
      <w:r>
        <w:t xml:space="preserve">— вектор признаков объекта</w:t>
      </w:r>
      <w:r>
        <w:t xml:space="preserve"> </w:t>
      </w:r>
      <m:oMath>
        <m:r>
          <m:t>i</m:t>
        </m:r>
      </m:oMath>
      <w:r>
        <w:t xml:space="preserve"> </w:t>
      </w:r>
      <w:r>
        <w:t xml:space="preserve">в момент</w:t>
      </w:r>
      <w:r>
        <w:t xml:space="preserve"> </w:t>
      </w:r>
      <m:oMath>
        <m:r>
          <m:t>T</m:t>
        </m:r>
      </m:oMath>
      <w:r>
        <w:t xml:space="preserve">;</w:t>
      </w:r>
    </w:p>
    <w:p>
      <w:pPr>
        <w:pStyle w:val="Where"/>
      </w:pPr>
      <w:r>
        <w:tab/>
      </w:r>
      <m:oMath>
        <m:r>
          <m:rPr>
            <m:sty m:val="p"/>
          </m:rPr>
          <m:t>П</m:t>
        </m:r>
        <m:r>
          <m:rPr>
            <m:sty m:val="p"/>
          </m:rPr>
          <m:t>р</m:t>
        </m:r>
        <m:r>
          <m:rPr>
            <m:sty m:val="p"/>
          </m:rPr>
          <m:t>и</m:t>
        </m:r>
        <m:r>
          <m:rPr>
            <m:sty m:val="p"/>
          </m:rPr>
          <m:t>з</m:t>
        </m:r>
        <m:r>
          <m:rPr>
            <m:sty m:val="p"/>
          </m:rPr>
          <m:t>н</m:t>
        </m:r>
        <m:r>
          <m:rPr>
            <m:sty m:val="p"/>
          </m:rPr>
          <m:t>а</m:t>
        </m:r>
        <m:r>
          <m:rPr>
            <m:sty m:val="p"/>
          </m:rPr>
          <m:t>к</m:t>
        </m:r>
        <m:r>
          <m:rPr>
            <m:sty m:val="p"/>
          </m:rPr>
          <m:t>и</m:t>
        </m:r>
        <m:r>
          <m:rPr>
            <m:sty m:val="p"/>
          </m:rPr>
          <m:t>(</m:t>
        </m:r>
        <m:r>
          <m:rPr>
            <m:sty m:val="p"/>
          </m:rPr>
          <m:t>⋅</m:t>
        </m:r>
        <m:r>
          <m:rPr>
            <m:sty m:val="p"/>
          </m:rPr>
          <m:t>)</m:t>
        </m:r>
      </m:oMath>
      <w:r>
        <w:t xml:space="preserve"> </w:t>
      </w:r>
      <w:r>
        <w:t xml:space="preserve">— правила расчёта признаков из Таблицы 2.2;</w:t>
      </w:r>
    </w:p>
    <w:p>
      <w:pPr>
        <w:pStyle w:val="Where"/>
      </w:pPr>
      <w:r>
        <w:tab/>
      </w:r>
      <m:oMath>
        <m:r>
          <m:t>e</m:t>
        </m:r>
      </m:oMath>
      <w:r>
        <w:t xml:space="preserve"> </w:t>
      </w:r>
      <w:r>
        <w:t xml:space="preserve">— событие обращения;</w:t>
      </w:r>
    </w:p>
    <w:p>
      <w:pPr>
        <w:pStyle w:val="Where"/>
      </w:pPr>
      <w:r>
        <w:tab/>
      </w:r>
      <m:oMath>
        <m:sSub>
          <m:e>
            <m:r>
              <m:t>E</m:t>
            </m:r>
          </m:e>
          <m:sub>
            <m:r>
              <m:t>i</m:t>
            </m:r>
          </m:sub>
        </m:sSub>
      </m:oMath>
      <w:r>
        <w:t xml:space="preserve"> </w:t>
      </w:r>
      <w:r>
        <w:t xml:space="preserve">— множество событий объекта</w:t>
      </w:r>
      <w:r>
        <w:t xml:space="preserve"> </w:t>
      </w:r>
      <m:oMath>
        <m:r>
          <m:t>i</m:t>
        </m:r>
      </m:oMath>
      <w:r>
        <w:t xml:space="preserve"> </w:t>
      </w:r>
      <w:r>
        <w:t xml:space="preserve">и его бакета;</w:t>
      </w:r>
    </w:p>
    <w:p>
      <w:pPr>
        <w:pStyle w:val="Where"/>
      </w:pPr>
      <w:r>
        <w:tab/>
      </w:r>
      <m:oMath>
        <m:sSub>
          <m:e>
            <m:r>
              <m:t>T</m:t>
            </m:r>
          </m:e>
          <m:sub>
            <m:r>
              <m:t>e</m:t>
            </m:r>
          </m:sub>
        </m:sSub>
      </m:oMath>
      <w:r>
        <w:t xml:space="preserve"> </w:t>
      </w:r>
      <w:r>
        <w:t xml:space="preserve">— время события</w:t>
      </w:r>
      <w:r>
        <w:t xml:space="preserve"> </w:t>
      </w:r>
      <m:oMath>
        <m:r>
          <m:t>e</m:t>
        </m:r>
      </m:oMath>
      <w:r>
        <w:t xml:space="preserve">.</w:t>
      </w:r>
    </w:p>
    <w:p>
      <w:pPr>
        <w:pStyle w:val="a2"/>
      </w:pPr>
      <w:r>
        <w:t xml:space="preserve">Метка считается по клиентским чтениям объекта за следующий интервал длительностью</w:t>
      </w:r>
      <w:r>
        <w:t xml:space="preserve"> </w:t>
      </w:r>
      <m:oMath>
        <m:r>
          <m:t>H</m:t>
        </m:r>
      </m:oMath>
      <w:r>
        <w:t xml:space="preserve"> </w:t>
      </w:r>
      <w:r>
        <w:t xml:space="preserve">по формуле (2.14).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N</m:t>
            </m:r>
          </m:e>
          <m:sub>
            <m:r>
              <m:t>i</m:t>
            </m:r>
          </m:sub>
        </m:sSub>
        <m:r>
          <m:rPr>
            <m:sty m:val="p"/>
          </m:rPr>
          <m:t>(</m:t>
        </m:r>
        <m:r>
          <m:t>T</m:t>
        </m:r>
        <m:r>
          <m:rPr>
            <m:sty m:val="p"/>
          </m:rPr>
          <m:t>)</m:t>
        </m:r>
        <m:r>
          <m:rPr>
            <m:sty m:val="p"/>
          </m:rPr>
          <m:t>=</m:t>
        </m:r>
        <m:r>
          <m:rPr>
            <m:sty m:val="p"/>
          </m:rPr>
          <m:t>|</m:t>
        </m:r>
        <m:r>
          <m:rPr>
            <m:sty m:val="p"/>
          </m:rPr>
          <m:t>{</m:t>
        </m:r>
        <m:r>
          <m:t>e</m:t>
        </m:r>
        <m:r>
          <m:rPr>
            <m:sty m:val="p"/>
          </m:rPr>
          <m:t>∈</m:t>
        </m:r>
        <m:sSub>
          <m:e>
            <m:r>
              <m:t>R</m:t>
            </m:r>
          </m:e>
          <m:sub>
            <m:r>
              <m:t>i</m:t>
            </m:r>
          </m:sub>
        </m:sSub>
        <m:r>
          <m:rPr>
            <m:sty m:val="p"/>
          </m:rPr>
          <m:t>:</m:t>
        </m:r>
        <m:r>
          <m:t>T</m:t>
        </m:r>
        <m:r>
          <m:rPr>
            <m:sty m:val="p"/>
          </m:rPr>
          <m:t>≤</m:t>
        </m:r>
        <m:sSub>
          <m:e>
            <m:r>
              <m:t>T</m:t>
            </m:r>
          </m:e>
          <m:sub>
            <m:r>
              <m:t>e</m:t>
            </m:r>
          </m:sub>
        </m:sSub>
        <m:r>
          <m:rPr>
            <m:sty m:val="p"/>
          </m:rPr>
          <m:t>&lt;</m:t>
        </m:r>
        <m:r>
          <m:t>T</m:t>
        </m:r>
        <m:r>
          <m:rPr>
            <m:sty m:val="p"/>
          </m:rPr>
          <m:t>+</m:t>
        </m:r>
        <m:r>
          <m:t>H</m:t>
        </m:r>
        <m:r>
          <m:rPr>
            <m:sty m:val="p"/>
          </m:rPr>
          <m:t>}</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(2.14)</w:t>
      </w:r>
    </w:p>
    <w:p>
      <w:pPr>
        <w:pStyle w:val="Where"/>
      </w:pPr>
      <w:r>
        <w:t xml:space="preserve">где</w:t>
      </w:r>
      <w:r>
        <w:tab/>
      </w:r>
      <m:oMath>
        <m:sSub>
          <m:e>
            <m:r>
              <m:t>N</m:t>
            </m:r>
          </m:e>
          <m:sub>
            <m:r>
              <m:t>i</m:t>
            </m:r>
          </m:sub>
        </m:sSub>
        <m:r>
          <m:rPr>
            <m:sty m:val="p"/>
          </m:rPr>
          <m:t>(</m:t>
        </m:r>
        <m:r>
          <m:t>T</m:t>
        </m:r>
        <m:r>
          <m:rPr>
            <m:sty m:val="p"/>
          </m:rPr>
          <m:t>)</m:t>
        </m:r>
      </m:oMath>
      <w:r>
        <w:t xml:space="preserve"> </w:t>
      </w:r>
      <w:r>
        <w:t xml:space="preserve">— фактическое число клиентских чтений объекта</w:t>
      </w:r>
      <w:r>
        <w:t xml:space="preserve"> </w:t>
      </w:r>
      <m:oMath>
        <m:r>
          <m:t>i</m:t>
        </m:r>
      </m:oMath>
      <w:r>
        <w:t xml:space="preserve"> </w:t>
      </w:r>
      <w:r>
        <w:t xml:space="preserve">на интервале</w:t>
      </w:r>
      <w:r>
        <w:t xml:space="preserve"> </w:t>
      </w:r>
      <m:oMath>
        <m:r>
          <m:rPr>
            <m:sty m:val="p"/>
          </m:rPr>
          <m:t>[</m:t>
        </m:r>
        <m:r>
          <m:t>T</m:t>
        </m:r>
        <m:r>
          <m:rPr>
            <m:sty m:val="p"/>
          </m:rPr>
          <m:t>,</m:t>
        </m:r>
        <m:r>
          <m:t>T</m:t>
        </m:r>
        <m:r>
          <m:rPr>
            <m:sty m:val="p"/>
          </m:rPr>
          <m:t>+</m:t>
        </m:r>
        <m:r>
          <m:t>H</m:t>
        </m:r>
        <m:r>
          <m:rPr>
            <m:sty m:val="p"/>
          </m:rPr>
          <m:t>)</m:t>
        </m:r>
      </m:oMath>
      <w:r>
        <w:t xml:space="preserve">;</w:t>
      </w:r>
    </w:p>
    <w:p>
      <w:pPr>
        <w:pStyle w:val="Where"/>
      </w:pPr>
      <w:r>
        <w:tab/>
      </w:r>
      <m:oMath>
        <m:r>
          <m:rPr>
            <m:sty m:val="p"/>
          </m:rPr>
          <m:t>|</m:t>
        </m:r>
        <m:r>
          <m:rPr>
            <m:sty m:val="p"/>
          </m:rPr>
          <m:t>⋅</m:t>
        </m:r>
        <m:r>
          <m:rPr>
            <m:sty m:val="p"/>
          </m:rPr>
          <m:t>|</m:t>
        </m:r>
      </m:oMath>
      <w:r>
        <w:t xml:space="preserve"> </w:t>
      </w:r>
      <w:r>
        <w:t xml:space="preserve">— число элементов множества;</w:t>
      </w:r>
    </w:p>
    <w:p>
      <w:pPr>
        <w:pStyle w:val="Where"/>
      </w:pPr>
      <w:r>
        <w:tab/>
      </w:r>
      <m:oMath>
        <m:sSub>
          <m:e>
            <m:r>
              <m:t>R</m:t>
            </m:r>
          </m:e>
          <m:sub>
            <m:r>
              <m:t>i</m:t>
            </m:r>
          </m:sub>
        </m:sSub>
      </m:oMath>
      <w:r>
        <w:t xml:space="preserve"> </w:t>
      </w:r>
      <w:r>
        <w:t xml:space="preserve">— множество клиентских чтений объекта</w:t>
      </w:r>
      <w:r>
        <w:t xml:space="preserve"> </w:t>
      </w:r>
      <m:oMath>
        <m:r>
          <m:t>i</m:t>
        </m:r>
      </m:oMath>
      <w:r>
        <w:t xml:space="preserve">;</w:t>
      </w:r>
    </w:p>
    <w:p>
      <w:pPr>
        <w:pStyle w:val="Where"/>
      </w:pPr>
      <w:r>
        <w:tab/>
      </w:r>
      <m:oMath>
        <m:r>
          <m:t>H</m:t>
        </m:r>
      </m:oMath>
      <w:r>
        <w:t xml:space="preserve"> </w:t>
      </w:r>
      <w:r>
        <w:t xml:space="preserve">— горизонт прогноза.</w:t>
      </w:r>
    </w:p>
    <w:p>
      <w:pPr>
        <w:pStyle w:val="a2"/>
      </w:pPr>
      <w:r>
        <w:t xml:space="preserve">События поступают с задержкой, поэтому в момент обучения</w:t>
      </w:r>
      <w:r>
        <w:t xml:space="preserve"> </w:t>
      </w:r>
      <m:oMath>
        <m:sSup>
          <m:e>
            <m:r>
              <m:t>T</m:t>
            </m:r>
          </m:e>
          <m:sup>
            <m:r>
              <m:rPr>
                <m:sty m:val="p"/>
              </m:rPr>
              <m:t>′</m:t>
            </m:r>
          </m:sup>
        </m:sSup>
      </m:oMath>
      <w:r>
        <w:t xml:space="preserve"> </w:t>
      </w:r>
      <w:r>
        <w:t xml:space="preserve">история полна не до</w:t>
      </w:r>
      <w:r>
        <w:t xml:space="preserve"> </w:t>
      </w:r>
      <m:oMath>
        <m:sSup>
          <m:e>
            <m:r>
              <m:t>T</m:t>
            </m:r>
          </m:e>
          <m:sup>
            <m:r>
              <m:rPr>
                <m:sty m:val="p"/>
              </m:rPr>
              <m:t>′</m:t>
            </m:r>
          </m:sup>
        </m:sSup>
      </m:oMath>
      <w:r>
        <w:t xml:space="preserve">, а до более раннего момента</w:t>
      </w:r>
      <w:r>
        <w:t xml:space="preserve"> </w:t>
      </w:r>
      <m:oMath>
        <m:r>
          <m:t>W</m:t>
        </m:r>
        <m:r>
          <m:rPr>
            <m:sty m:val="p"/>
          </m:rPr>
          <m:t>(</m:t>
        </m:r>
        <m:sSup>
          <m:e>
            <m:r>
              <m:t>T</m:t>
            </m:r>
          </m:e>
          <m:sup>
            <m:r>
              <m:rPr>
                <m:sty m:val="p"/>
              </m:rPr>
              <m:t>′</m:t>
            </m:r>
          </m:sup>
        </m:sSup>
        <m:r>
          <m:rPr>
            <m:sty m:val="p"/>
          </m:rPr>
          <m:t>)</m:t>
        </m:r>
      </m:oMath>
      <w:r>
        <w:t xml:space="preserve"> </w:t>
      </w:r>
      <w:r>
        <w:t xml:space="preserve">— границы полноты истории, до которой все события уже получены, а пропуски отмечены. По тому же правилу [35], [36] пример момента</w:t>
      </w:r>
      <w:r>
        <w:t xml:space="preserve"> </w:t>
      </w:r>
      <m:oMath>
        <m:r>
          <m:t>T</m:t>
        </m:r>
      </m:oMath>
      <w:r>
        <w:t xml:space="preserve"> </w:t>
      </w:r>
      <w:r>
        <w:t xml:space="preserve">используется для обучения в момент</w:t>
      </w:r>
      <w:r>
        <w:t xml:space="preserve"> </w:t>
      </w:r>
      <m:oMath>
        <m:sSup>
          <m:e>
            <m:r>
              <m:t>T</m:t>
            </m:r>
          </m:e>
          <m:sup>
            <m:r>
              <m:rPr>
                <m:sty m:val="p"/>
              </m:rPr>
              <m:t>′</m:t>
            </m:r>
          </m:sup>
        </m:sSup>
      </m:oMath>
      <w:r>
        <w:t xml:space="preserve"> </w:t>
      </w:r>
      <w:r>
        <w:t xml:space="preserve">только при условии (2.15).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T</m:t>
        </m:r>
        <m:r>
          <m:rPr>
            <m:sty m:val="p"/>
          </m:rPr>
          <m:t>+</m:t>
        </m:r>
        <m:r>
          <m:t>H</m:t>
        </m:r>
        <m:r>
          <m:rPr>
            <m:sty m:val="p"/>
          </m:rPr>
          <m:t>≤</m:t>
        </m:r>
        <m:r>
          <m:t>W</m:t>
        </m:r>
        <m:r>
          <m:rPr>
            <m:sty m:val="p"/>
          </m:rPr>
          <m:t>(</m:t>
        </m:r>
        <m:sSup>
          <m:e>
            <m:r>
              <m:t>T</m:t>
            </m:r>
          </m:e>
          <m:sup>
            <m:r>
              <m:rPr>
                <m:sty m:val="p"/>
              </m:rPr>
              <m:t>′</m:t>
            </m:r>
          </m:sup>
        </m:sSup>
        <m:r>
          <m:rPr>
            <m:sty m:val="p"/>
          </m:rPr>
          <m:t>)</m:t>
        </m:r>
        <m:r>
          <m:rPr>
            <m:sty m:val="p"/>
          </m:rPr>
          <m:t>,</m:t>
        </m:r>
      </m:oMath>
      <w:r>
        <w:tab/>
      </w:r>
      <w:r>
        <w:rPr>
          <w:rFonts w:ascii="Times New Roman" w:hAnsi="Times New Roman" w:cs="Times New Roman" w:eastAsia="Times New Roman"/>
          <w:b w:val="0"/>
          <w:bCs w:val="0"/>
          <w:i w:val="0"/>
          <w:iCs w:val="0"/>
          <w:color w:val="000000"/>
          <w:sz w:val="28"/>
          <w:szCs w:val="28"/>
        </w:rPr>
        <w:t>(2.15)</w:t>
      </w:r>
    </w:p>
    <w:p>
      <w:pPr>
        <w:pStyle w:val="Where"/>
      </w:pPr>
      <w:r>
        <w:t xml:space="preserve">где</w:t>
      </w:r>
      <w:r>
        <w:tab/>
      </w:r>
      <m:oMath>
        <m:r>
          <m:t>W</m:t>
        </m:r>
        <m:r>
          <m:rPr>
            <m:sty m:val="p"/>
          </m:rPr>
          <m:t>(</m:t>
        </m:r>
        <m:sSup>
          <m:e>
            <m:r>
              <m:t>T</m:t>
            </m:r>
          </m:e>
          <m:sup>
            <m:r>
              <m:rPr>
                <m:sty m:val="p"/>
              </m:rPr>
              <m:t>′</m:t>
            </m:r>
          </m:sup>
        </m:sSup>
        <m:r>
          <m:rPr>
            <m:sty m:val="p"/>
          </m:rPr>
          <m:t>)</m:t>
        </m:r>
      </m:oMath>
      <w:r>
        <w:t xml:space="preserve"> </w:t>
      </w:r>
      <w:r>
        <w:t xml:space="preserve">— граница полноты истории на момент</w:t>
      </w:r>
      <w:r>
        <w:t xml:space="preserve"> </w:t>
      </w:r>
      <m:oMath>
        <m:sSup>
          <m:e>
            <m:r>
              <m:t>T</m:t>
            </m:r>
          </m:e>
          <m:sup>
            <m:r>
              <m:rPr>
                <m:sty m:val="p"/>
              </m:rPr>
              <m:t>′</m:t>
            </m:r>
          </m:sup>
        </m:sSup>
      </m:oMath>
      <w:r>
        <w:t xml:space="preserve">;</w:t>
      </w:r>
    </w:p>
    <w:p>
      <w:pPr>
        <w:pStyle w:val="Where"/>
      </w:pPr>
      <w:r>
        <w:tab/>
      </w:r>
      <m:oMath>
        <m:sSup>
          <m:e>
            <m:r>
              <m:t>T</m:t>
            </m:r>
          </m:e>
          <m:sup>
            <m:r>
              <m:rPr>
                <m:sty m:val="p"/>
              </m:rPr>
              <m:t>′</m:t>
            </m:r>
          </m:sup>
        </m:sSup>
      </m:oMath>
      <w:r>
        <w:t xml:space="preserve"> </w:t>
      </w:r>
      <w:r>
        <w:t xml:space="preserve">— момент использования примера для обучения.</w:t>
      </w:r>
    </w:p>
    <w:p>
      <w:pPr>
        <w:pStyle w:val="a2"/>
      </w:pPr>
      <w:r>
        <w:t xml:space="preserve">Условие означает, что интервал метки завершился и все чтения за него уже получены, иначе метка</w:t>
      </w:r>
      <w:r>
        <w:t xml:space="preserve"> </w:t>
      </w:r>
      <m:oMath>
        <m:sSub>
          <m:e>
            <m:r>
              <m:t>N</m:t>
            </m:r>
          </m:e>
          <m:sub>
            <m:r>
              <m:t>i</m:t>
            </m:r>
          </m:sub>
        </m:sSub>
      </m:oMath>
      <w:r>
        <w:t xml:space="preserve"> </w:t>
      </w:r>
      <w:r>
        <w:t xml:space="preserve">оказалась бы заниженной. Пример с незавершённым интервалом не теряется, а используется при следующем обновлении модели. Примеры с неполной историей исключаются, а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фиксируется в момент</w:t>
      </w:r>
      <w:r>
        <w:t xml:space="preserve"> </w:t>
      </w:r>
      <m:oMath>
        <m:r>
          <m:t>T</m:t>
        </m:r>
      </m:oMath>
      <w:r>
        <w:t xml:space="preserve"> </w:t>
      </w:r>
      <w:r>
        <w:t xml:space="preserve">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196" w:name="GOSTHeading196"/>
      <w:r>
        <w:t xml:space="preserve">2.1.4 Обучение, проверка и ввод модели в работу</w:t>
      </w:r>
      <w:bookmarkEnd w:id="196"/>
    </w:p>
    <w:p>
      <w:pPr>
        <w:pStyle w:val="FirstParagraph"/>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(2.16).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(2.16)</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197" w:name="GOSTHeading197"/>
      <w:r>
        <w:t xml:space="preserve">2.1.5 Алгоритм формирования плана размещения</w:t>
      </w:r>
      <w:bookmarkEnd w:id="197"/>
    </w:p>
    <w:p>
      <w:pPr>
        <w:pStyle w:val="FirstParagraph"/>
      </w:pPr>
      <w:r>
        <w:t xml:space="preserve">Алгоритм решает задачу 2.4 –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определяется сортировкой.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keepNext w:val="1"/>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198" w:name="GOSTHeading198"/>
      <w:r>
        <w:t xml:space="preserve">2.1.6 Объяснение рекомендаций</w:t>
      </w:r>
      <w:bookmarkEnd w:id="198"/>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1" w:name="протокол-безопасного-переноса"/>
    <w:p>
      <w:pPr>
        <w:pStyle w:val="30"/>
      </w:pPr>
      <w:bookmarkStart w:id="199" w:name="GOSTHeading199"/>
      <w:r>
        <w:t xml:space="preserve">2.1.7 Протокол безопасного переноса</w:t>
      </w:r>
      <w:bookmarkEnd w:id="199"/>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А.1 в Приложении А в нотации диаграммы состояний унифицированного языка моделирования (англ. Unified Modeling Language, далее UML) [42].</w:t>
      </w:r>
    </w:p>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1"/>
    <w:bookmarkEnd w:id="72"/>
    <w:bookmarkStart w:id="85" w:name="модели-процессов"/>
    <w:p>
      <w:pPr>
        <w:pStyle w:val="21"/>
      </w:pPr>
      <w:bookmarkStart w:id="200" w:name="GOSTHeading200"/>
      <w:r>
        <w:t xml:space="preserve">2.2 Модели процессов</w:t>
      </w:r>
      <w:bookmarkEnd w:id="200"/>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77" w:name="исходный-процесс-управления-размещением"/>
    <w:p>
      <w:pPr>
        <w:pStyle w:val="30"/>
      </w:pPr>
      <w:bookmarkStart w:id="201" w:name="GOSTHeading201"/>
      <w:r>
        <w:t xml:space="preserve">2.2.1 Исходный процесс управления размещением</w:t>
      </w:r>
      <w:bookmarkEnd w:id="201"/>
    </w:p>
    <w:p>
      <w:pPr>
        <w:pStyle w:val="FirstParagraph"/>
        <w:keepNext w:val="1"/>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Lifecycle [8], по таймеру переводит старые объекты в COLD. Модель приведена на Рисунке 2.3.</w:t>
      </w:r>
    </w:p>
    <w:bookmarkStart w:id="76" w:name="gost-fig:bpmn_asis"/>
    <w:p>
      <w:pPr>
        <w:pStyle w:val="CaptionedFigure"/>
        <w:keepNext w:val="1"/>
      </w:pPr>
      <w:r>
        <w:drawing>
          <wp:inline>
            <wp:extent cx="5010607" cy="6300000"/>
            <wp:effectExtent b="0" l="0" r="0" t="0"/>
            <wp:docPr descr="Модель исходного процесса управления размещением AS-IS" title="" id="74" name="Picture"/>
            <a:graphic>
              <a:graphicData uri="http://schemas.openxmlformats.org/drawingml/2006/picture">
                <pic:pic>
                  <pic:nvPicPr>
                    <pic:cNvPr descr="images/bpmn_asis.png" id="75" name="Picture"/>
                    <pic:cNvPicPr>
                      <a:picLocks noChangeArrowheads="1" noChangeAspect="1"/>
                    </pic:cNvPicPr>
                  </pic:nvPicPr>
                  <pic:blipFill>
                    <a:blip r:embed="rId73"/>
                    <a:stretch>
                      <a:fillRect/>
                    </a:stretch>
                  </pic:blipFill>
                  <pic:spPr bwMode="auto">
                    <a:xfrm>
                      <a:off x="0" y="0"/>
                      <a:ext cx="5010607" cy="6300000"/>
                    </a:xfrm>
                    <a:prstGeom prst="rect">
                      <a:avLst/>
                    </a:prstGeom>
                    <a:noFill/>
                    <a:ln w="9525">
                      <a:noFill/>
                      <a:headEnd/>
                      <a:tailEnd/>
                    </a:ln>
                  </pic:spPr>
                </pic:pic>
              </a:graphicData>
            </a:graphic>
          </wp:inline>
        </w:drawing>
      </w:r>
    </w:p>
    <w:p>
      <w:pPr>
        <w:pStyle w:val="ImageCaption"/>
      </w:pPr>
      <w:r>
        <w:t xml:space="preserve">Рисунок 2.3 — Модель исходного процесса управления размещением AS-IS</w:t>
      </w:r>
    </w:p>
    <w:bookmarkEnd w:id="76"/>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77"/>
    <w:bookmarkStart w:id="82" w:name="проектируемый-процесс"/>
    <w:p>
      <w:pPr>
        <w:pStyle w:val="30"/>
      </w:pPr>
      <w:bookmarkStart w:id="202" w:name="GOSTHeading202"/>
      <w:r>
        <w:t xml:space="preserve">2.2.2 Проектируемый процесс</w:t>
      </w:r>
      <w:bookmarkEnd w:id="202"/>
    </w:p>
    <w:p>
      <w:pPr>
        <w:pStyle w:val="FirstParagraph"/>
        <w:keepNext w:val="1"/>
      </w:pPr>
      <w:r>
        <w:t xml:space="preserve">Модель TO-BE на Рисунке 2.4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1" w:name="gost-fig:bpmn_tobe"/>
    <w:p>
      <w:pPr>
        <w:pStyle w:val="CaptionedFigure"/>
        <w:keepNext w:val="1"/>
      </w:pPr>
      <w:r>
        <w:drawing>
          <wp:inline>
            <wp:extent cx="4499676" cy="6300000"/>
            <wp:effectExtent b="0" l="0" r="0" t="0"/>
            <wp:docPr descr="Модель проектируемого процесса управления размещением TO-BE" title="" id="79" name="Picture"/>
            <a:graphic>
              <a:graphicData uri="http://schemas.openxmlformats.org/drawingml/2006/picture">
                <pic:pic>
                  <pic:nvPicPr>
                    <pic:cNvPr descr="images/bpmn_tobe.png" id="80" name="Picture"/>
                    <pic:cNvPicPr>
                      <a:picLocks noChangeArrowheads="1" noChangeAspect="1"/>
                    </pic:cNvPicPr>
                  </pic:nvPicPr>
                  <pic:blipFill>
                    <a:blip r:embed="rId78"/>
                    <a:stretch>
                      <a:fillRect/>
                    </a:stretch>
                  </pic:blipFill>
                  <pic:spPr bwMode="auto">
                    <a:xfrm>
                      <a:off x="0" y="0"/>
                      <a:ext cx="4499676" cy="6300000"/>
                    </a:xfrm>
                    <a:prstGeom prst="rect">
                      <a:avLst/>
                    </a:prstGeom>
                    <a:noFill/>
                    <a:ln w="9525">
                      <a:noFill/>
                      <a:headEnd/>
                      <a:tailEnd/>
                    </a:ln>
                  </pic:spPr>
                </pic:pic>
              </a:graphicData>
            </a:graphic>
          </wp:inline>
        </w:drawing>
      </w:r>
    </w:p>
    <w:p>
      <w:pPr>
        <w:pStyle w:val="ImageCaption"/>
      </w:pPr>
      <w:r>
        <w:t xml:space="preserve">Рисунок 2.4 — Модель проектируемого процесса управления размещением TO-BE</w:t>
      </w:r>
    </w:p>
    <w:bookmarkEnd w:id="81"/>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обращений по событиям чтений, которые OpenS3 передаёт сообщениями.</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2"/>
    <w:bookmarkStart w:id="84" w:name="сравнение-процессов"/>
    <w:p>
      <w:pPr>
        <w:pStyle w:val="30"/>
      </w:pPr>
      <w:bookmarkStart w:id="203" w:name="GOSTHeading203"/>
      <w:r>
        <w:t xml:space="preserve">2.2.3 Сравнение процессов</w:t>
      </w:r>
      <w:bookmarkEnd w:id="203"/>
    </w:p>
    <w:p>
      <w:pPr>
        <w:pStyle w:val="FirstParagraph"/>
      </w:pPr>
      <w:r>
        <w:t xml:space="preserve">Изменения сведены в Таблице 2.3. Процессы не измерялись, поэтому сравнение качественное.</w:t>
      </w:r>
    </w:p>
    <w:bookmarkStart w:id="83"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3"/>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4"/>
    <w:bookmarkEnd w:id="85"/>
    <w:bookmarkStart w:id="97" w:name="архитектура-системы"/>
    <w:p>
      <w:pPr>
        <w:pStyle w:val="21"/>
      </w:pPr>
      <w:bookmarkStart w:id="204" w:name="GOSTHeading204"/>
      <w:r>
        <w:t xml:space="preserve">2.3 Архитектура системы</w:t>
      </w:r>
      <w:bookmarkEnd w:id="204"/>
    </w:p>
    <w:p>
      <w:pPr>
        <w:pStyle w:val="FirstParagraph"/>
      </w:pPr>
      <w:r>
        <w:t xml:space="preserve">Расчёт рекомендаций отделяется от клиентского чтения, а переносы выполняет отдельный процесс. Подраздел определяет ответственность компонентов OpenS3 и СППР, хранение их данных и согласование состояния с Metadata.</w:t>
      </w:r>
    </w:p>
    <w:bookmarkStart w:id="86" w:name="изменения-компонентов-opens3"/>
    <w:p>
      <w:pPr>
        <w:pStyle w:val="30"/>
      </w:pPr>
      <w:bookmarkStart w:id="205" w:name="GOSTHeading205"/>
      <w:r>
        <w:t xml:space="preserve">2.3.1 Изменения компонентов OpenS3</w:t>
      </w:r>
      <w:bookmarkEnd w:id="205"/>
    </w:p>
    <w:p>
      <w:pPr>
        <w:pStyle w:val="FirstParagraph"/>
      </w:pPr>
      <w:r>
        <w:t xml:space="preserve">Для СППР в рассмотренной версии OpenS3 [7] изменяются три компонента.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bookmarkEnd w:id="86"/>
    <w:bookmarkStart w:id="91" w:name="компонентная-модель"/>
    <w:p>
      <w:pPr>
        <w:pStyle w:val="30"/>
      </w:pPr>
      <w:bookmarkStart w:id="206" w:name="GOSTHeading206"/>
      <w:r>
        <w:t xml:space="preserve">2.3.2 Компонентная модель</w:t>
      </w:r>
      <w:bookmarkEnd w:id="206"/>
    </w:p>
    <w:p>
      <w:pPr>
        <w:pStyle w:val="FirstParagraph"/>
        <w:keepNext w:val="1"/>
      </w:pPr>
      <w:r>
        <w:t xml:space="preserve">Компоненты СППР выведены из модели TO-BE: Ingestor, Feature Builder, Predictor и Planner с Explainer рассчитывают план, Admin API с веб-интерфейсом принимает решения ЛПР, Model Manager запускает Trainer и ведёт реестр моделей, Migration Executor применяет подтверждённые действия. Компоненты показаны на Рисунке 2.5 в нотации диаграммы компонентов UML [42]: пунктирная рамка выделяет OpenS3, сплошная — СППР.</w:t>
      </w:r>
    </w:p>
    <w:bookmarkStart w:id="90" w:name="gost-fig:components"/>
    <w:p>
      <w:pPr>
        <w:pStyle w:val="CaptionedFigure"/>
        <w:keepNext w:val="1"/>
      </w:pPr>
      <w:r>
        <w:drawing>
          <wp:inline>
            <wp:extent cx="5608742" cy="6300000"/>
            <wp:effectExtent b="0" l="0" r="0" t="0"/>
            <wp:docPr descr="Диаграмма компонентов системы" title="" id="88" name="Picture"/>
            <a:graphic>
              <a:graphicData uri="http://schemas.openxmlformats.org/drawingml/2006/picture">
                <pic:pic>
                  <pic:nvPicPr>
                    <pic:cNvPr descr="images/components.png" id="89" name="Picture"/>
                    <pic:cNvPicPr>
                      <a:picLocks noChangeArrowheads="1" noChangeAspect="1"/>
                    </pic:cNvPicPr>
                  </pic:nvPicPr>
                  <pic:blipFill>
                    <a:blip r:embed="rId87"/>
                    <a:stretch>
                      <a:fillRect/>
                    </a:stretch>
                  </pic:blipFill>
                  <pic:spPr bwMode="auto">
                    <a:xfrm>
                      <a:off x="0" y="0"/>
                      <a:ext cx="5608742" cy="6300000"/>
                    </a:xfrm>
                    <a:prstGeom prst="rect">
                      <a:avLst/>
                    </a:prstGeom>
                    <a:noFill/>
                    <a:ln w="9525">
                      <a:noFill/>
                      <a:headEnd/>
                      <a:tailEnd/>
                    </a:ln>
                  </pic:spPr>
                </pic:pic>
              </a:graphicData>
            </a:graphic>
          </wp:inline>
        </w:drawing>
      </w:r>
    </w:p>
    <w:p>
      <w:pPr>
        <w:pStyle w:val="ImageCaption"/>
      </w:pPr>
      <w:r>
        <w:t xml:space="preserve">Рисунок 2.5 — Диаграмма компонентов системы</w:t>
      </w:r>
    </w:p>
    <w:bookmarkEnd w:id="90"/>
    <w:p>
      <w:pPr>
        <w:pStyle w:val="a2"/>
      </w:pPr>
      <w:r>
        <w:t xml:space="preserve">Схема отражает три решения. Во-первых, сервис СППР находится вне синхронного пути чтения: клиентское чтение проходит через Gateway, Metadata и Storage, а события попадают в Ingestor асинхронно через Kafka. Во-вторых, подтверждённые команды сохраняются до исполнения: Admin API проверяет права через Auth и AuthZ и записывает команды в базу СППР, откуда их забирает Migration Executor. В-третьих, исполнитель вынесен в отдельный процесс, так как только он записывает копии в Storage и меняет расположение, а отказ сервиса СППР не прерывает начатые переносы. Сервис СППР и обучение работают в общей квоте вычислительных ресурсов из раздела 1.3.5 пояснительной записки, поэтому влияние обучения на чтения входит в измерения.</w:t>
      </w:r>
    </w:p>
    <w:bookmarkEnd w:id="91"/>
    <w:bookmarkStart w:id="92" w:name="модель-данных"/>
    <w:p>
      <w:pPr>
        <w:pStyle w:val="30"/>
      </w:pPr>
      <w:bookmarkStart w:id="207" w:name="GOSTHeading207"/>
      <w:r>
        <w:t xml:space="preserve">2.3.3 Модель данных</w:t>
      </w:r>
      <w:bookmarkEnd w:id="207"/>
    </w:p>
    <w:p>
      <w:pPr>
        <w:pStyle w:val="FirstParagraph"/>
      </w:pPr>
      <w:r>
        <w:t xml:space="preserve">Структура хранимых данных показана на Рисунке Б.1 в Приложении Б: в Metadata добавляются таблицы</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остальные таблицы относятся к базе СППР.</w:t>
      </w:r>
    </w:p>
    <w:p>
      <w:pPr>
        <w:pStyle w:val="a2"/>
      </w:pPr>
      <w:r>
        <w:t xml:space="preserve">Таблица</w:t>
      </w:r>
      <w:r>
        <w:t xml:space="preserve"> </w:t>
      </w:r>
      <w:r>
        <w:rPr>
          <w:i/>
          <w:iCs/>
        </w:rPr>
        <w:t xml:space="preserve">version_placements</w:t>
      </w:r>
      <w:r>
        <w:t xml:space="preserve"> </w:t>
      </w:r>
      <w:r>
        <w:t xml:space="preserve">хранит одну действующую запись расположения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 временные копии. Metadata остаётся единственным источником истины о расположении, а база СППР хранит лишь ссылки на версию и поколение, поэтому расхождения выявляет повторная проверка перед переносом. Таким образом, Metadata хранит то, что нужно для клиентского чтения, а база СППР — данные для расчёта и контроля рекомендаций, в которых команды и миграции образуют журнал.</w:t>
      </w:r>
    </w:p>
    <w:bookmarkEnd w:id="92"/>
    <w:bookmarkStart w:id="94" w:name="анализ-архитектуры"/>
    <w:p>
      <w:pPr>
        <w:pStyle w:val="30"/>
      </w:pPr>
      <w:bookmarkStart w:id="208" w:name="GOSTHeading208"/>
      <w:r>
        <w:t xml:space="preserve">2.3.4 Анализ архитектуры</w:t>
      </w:r>
      <w:bookmarkEnd w:id="208"/>
    </w:p>
    <w:p>
      <w:pPr>
        <w:pStyle w:val="FirstParagraph"/>
      </w:pPr>
      <w:r>
        <w:t xml:space="preserve">Узкие места, точки отказа и принятые решения сведены в Таблице 2.4.</w:t>
      </w:r>
    </w:p>
    <w:bookmarkStart w:id="93" w:name="gost-tbl:arch_analysis"/>
    <w:p>
      <w:pPr>
        <w:pStyle w:val="TableCaption"/>
      </w:pPr>
      <w:r>
        <w:t xml:space="preserve">Таблица 2.4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Анализ архитектуры"/>
      </w:tblPr>
      <w:tblGrid>
        <w:gridCol w:w="2100"/>
        <w:gridCol w:w="2792"/>
        <w:gridCol w:w="4746"/>
      </w:tblGrid>
      <w:tr>
        <w:trPr>
          <w:tblHeader w:val="on"/>
          <w:cantSplit/>
        </w:trPr>
        <w:tc>
          <w:tcPr>
            <w:tcW w:w="21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9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746"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Gateway и Metadata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Admin API, исполнитель перепроверяет условия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Storage COLD</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Metadata — источник истины, CAS</w:t>
            </w:r>
          </w:p>
        </w:tc>
      </w:tr>
    </w:tbl>
    <w:bookmarkEnd w:id="93"/>
    <w:p>
      <w:pPr>
        <w:pStyle w:val="a2"/>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w:t>
      </w:r>
      <w:r>
        <w:t xml:space="preserve"> </w:t>
      </w:r>
      <m:oMath>
        <m:r>
          <m:t>B</m:t>
        </m:r>
      </m:oMath>
      <w:r>
        <w:t xml:space="preserve">.</w:t>
      </w:r>
    </w:p>
    <w:bookmarkEnd w:id="94"/>
    <w:bookmarkStart w:id="96" w:name="соответствие-требованиям"/>
    <w:p>
      <w:pPr>
        <w:pStyle w:val="30"/>
      </w:pPr>
      <w:bookmarkStart w:id="209" w:name="GOSTHeading209"/>
      <w:r>
        <w:t xml:space="preserve">2.3.5 Соответствие требованиям</w:t>
      </w:r>
      <w:bookmarkEnd w:id="209"/>
    </w:p>
    <w:p>
      <w:pPr>
        <w:pStyle w:val="FirstParagraph"/>
      </w:pPr>
      <w:r>
        <w:t xml:space="preserve">Связь функциональных требований раздела 1.3.2 пояснительной записки с проектом приведена в Таблице 2.5.</w:t>
      </w:r>
    </w:p>
    <w:bookmarkStart w:id="95" w:name="gost-tbl:traceability"/>
    <w:p>
      <w:pPr>
        <w:pStyle w:val="TableCaption"/>
      </w:pPr>
      <w:r>
        <w:t xml:space="preserve">Таблица 2.5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Gateway, Ingestor: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Metadata: классы, расположение, занятость с копиями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Feature Builder: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Model Manager, Trainer: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Planner: задача 2.4 – 2.6 и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Explainer: объяснение из величин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Admin API, Migration Executor: ревизии плана, отмена и пауза (Рисунок 2.4)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Migration Executor, Metadata: повторная проверка, проверка копии до CAS, сохранение состояния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Predictor, Planner: базовые политики с тем же планировщиком (раздел 2.1.2)</w:t>
            </w:r>
          </w:p>
        </w:tc>
      </w:tr>
    </w:tbl>
    <w:bookmarkEnd w:id="95"/>
    <w:p>
      <w:pPr>
        <w:pStyle w:val="a2"/>
        <w:spacing w:before="120"/>
      </w:pPr>
      <w:r>
        <w:t xml:space="preserve">Путь событий и признаков обеспечивают Gateway, Ingestor и Feature Builder, расчёт плана — Predictor, Planner и Explainer, управление и перенос — Admin API, Migration Executor и Metadata. Выполнение требований предстоит подтвердить реализацией и испытаниями.</w:t>
      </w:r>
    </w:p>
    <w:bookmarkEnd w:id="96"/>
    <w:bookmarkEnd w:id="97"/>
    <w:bookmarkStart w:id="98" w:name="обоснование-инструментов-реализации"/>
    <w:p>
      <w:pPr>
        <w:pStyle w:val="21"/>
      </w:pPr>
      <w:bookmarkStart w:id="210" w:name="GOSTHeading210"/>
      <w:r>
        <w:t xml:space="preserve">2.4 Обоснование инструментов реализации</w:t>
      </w:r>
      <w:bookmarkEnd w:id="210"/>
    </w:p>
    <w:p>
      <w:pPr>
        <w:pStyle w:val="FirstParagraph"/>
      </w:pPr>
      <w:r>
        <w:t xml:space="preserve">Инструменты выбраны под модель, архитектуру и совместимость с OpenS3, сервисы которого написаны на Go и общаются по gRPC [7], поэтому сервис СППР и исполнитель разрабатываются на Go с общими клиентами gRPC. Модель обучается на процессоре на Python с библиотекой LightGBM, которая поддерживает логистическую и пуассоновскую функции потерь [32] и строит деревья по гистограммам, что уменьшает время и память обучения [44], а применяется в сервисе СППР через библиотеку leaves, читающую модели LightGBM на Go [45]. Для данных СППР и потока событий используются уже развёрнутые в OpenS3 PostgreSQL, транзакции которого защищают команды и миграции [46], и Kafka, отделяющая публикацию событий от обработки [47]. Применение модели на Go выбрано вместо отдельного сервиса на Python, который добавил бы сетевой вызов, и формата обмена моделями (англ. Open Neural Network Exchange, далее ONNX), требующего нативной библиотеки ONNX Runtime [48].</w:t>
      </w:r>
    </w:p>
    <w:bookmarkEnd w:id="98"/>
    <w:bookmarkStart w:id="99" w:name="выводы-по-аналитическому-разделу"/>
    <w:p>
      <w:pPr>
        <w:pStyle w:val="21"/>
      </w:pPr>
      <w:bookmarkStart w:id="211" w:name="GOSTHeading211"/>
      <w:r>
        <w:t xml:space="preserve">2.5 Выводы по аналитическому разделу</w:t>
      </w:r>
      <w:bookmarkEnd w:id="211"/>
    </w:p>
    <w:p>
      <w:pPr>
        <w:pStyle w:val="FirstParagraph"/>
      </w:pPr>
      <w:r>
        <w:t xml:space="preserve">Задача размещения сведена к варианту задачи о ранце: прогноз двухэтапной модели преобразуется в ожидаемое уменьшение задержки, а план учитывает ёмкость классов, бюджет копирования, закрепления и зависимости действий.</w:t>
      </w:r>
    </w:p>
    <w:p>
      <w:pPr>
        <w:pStyle w:val="a2"/>
      </w:pPr>
      <w:r>
        <w:t xml:space="preserve">Спроектированы сервис СППР рядом с OpenS3 и отдельный исполнитель переносов. Администратор как ЛПР решает, применять ли план, расчёт отделён от клиентского чтения очередью событий, а расположение меняется в Metadata через CAS только после проверки версии и целевой копии.</w:t>
      </w:r>
    </w:p>
    <w:p>
      <w:pPr>
        <w:pStyle w:val="a2"/>
      </w:pPr>
      <w:r>
        <w:t xml:space="preserve">Проверку определяют ограничения проекта: единственный экземпляр сервиса СППР и исполнителя, отсутствие общей транзакции двух баз, ограниченная бюджетом скорость применения плана, чтение новых версий из COLD до ближайшего плана, непредсказуемость всплесков без предвестников и грубая оценка новых объектов, линейная модель времени чтения без очередей, эвристический характер алгоритма для объектов разного размера и приостановка прогнозных действий при пропусках событий. На следующем этапе предстоит реализовать компоненты, подобрать экспериментом</w:t>
      </w:r>
      <w:r>
        <w:t xml:space="preserve"> </w:t>
      </w:r>
      <m:oMath>
        <m:r>
          <m:t>H</m:t>
        </m:r>
      </m:oMath>
      <w:r>
        <w:t xml:space="preserve">, окна признаков,</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и сравнить прогнозную политику с базовыми.</w:t>
      </w:r>
    </w:p>
    <w:bookmarkEnd w:id="99"/>
    <w:bookmarkEnd w:id="100"/>
    <w:bookmarkStart w:id="154" w:name="список-использованных-источников"/>
    <w:p>
      <w:pPr>
        <w:pStyle w:val="GOSTStructuralHeading"/>
      </w:pPr>
      <w:bookmarkStart w:id="212" w:name="GOSTHeading212"/>
      <w:r>
        <w:t xml:space="preserve">СПИСОК ИСПОЛЬЗОВАННЫХ ИСТОЧНИКОВ</w:t>
      </w:r>
      <w:bookmarkEnd w:id="212"/>
    </w:p>
    <w:p>
      <w:pPr>
        <w:pStyle w:val="Compact"/>
        <w:numPr>
          <w:ilvl w:val="0"/>
          <w:numId w:val="1004"/>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01">
        <w:r>
          <w:rPr>
            <w:rStyle w:val="af4"/>
          </w:rPr>
          <w:t xml:space="preserve">10.1145/3803857</w:t>
        </w:r>
      </w:hyperlink>
      <w:r>
        <w:t xml:space="preserve">.</w:t>
      </w:r>
    </w:p>
    <w:p>
      <w:pPr>
        <w:pStyle w:val="Compact"/>
        <w:numPr>
          <w:ilvl w:val="0"/>
          <w:numId w:val="1004"/>
        </w:numPr>
        <w:spacing w:before="0" w:after="0" w:line="360" w:lineRule="auto"/>
        <w:ind w:left="0" w:firstLine="709"/>
      </w:pPr>
      <w:r>
        <w:t xml:space="preserve">Amazon Web Services. Amazon S3 User Guide [Электронный ресурс]. URL:</w:t>
      </w:r>
      <w:r>
        <w:t xml:space="preserve"> </w:t>
      </w:r>
      <w:hyperlink r:id="rId10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0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04">
        <w:r>
          <w:rPr>
            <w:rStyle w:val="af4"/>
          </w:rPr>
          <w:t xml:space="preserve">https://​docs.​aws.​amazon.​com/​AmazonS3/​latest/​userguide/​intelligent-​tiering-​overview.​html</w:t>
        </w:r>
      </w:hyperlink>
      <w:r>
        <w:t xml:space="preserve"> </w:t>
      </w:r>
      <w:r>
        <w:t xml:space="preserve">(How S3 Intelligent-Tiering works) (дата обращения: 09.10.2026).</w:t>
      </w:r>
    </w:p>
    <w:p>
      <w:pPr>
        <w:pStyle w:val="Compact"/>
        <w:numPr>
          <w:ilvl w:val="0"/>
          <w:numId w:val="1004"/>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05">
        <w:r>
          <w:rPr>
            <w:rStyle w:val="af4"/>
          </w:rPr>
          <w:t xml:space="preserve">10.1016/j.comcom.2026.108437</w:t>
        </w:r>
      </w:hyperlink>
      <w:r>
        <w:t xml:space="preserve">.</w:t>
      </w:r>
    </w:p>
    <w:p>
      <w:pPr>
        <w:pStyle w:val="Compact"/>
        <w:numPr>
          <w:ilvl w:val="0"/>
          <w:numId w:val="1004"/>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06">
        <w:r>
          <w:rPr>
            <w:rStyle w:val="af4"/>
          </w:rPr>
          <w:t xml:space="preserve">10.​17586/​2226-​1494-​2023-​23-​6-​1171-​1177</w:t>
        </w:r>
      </w:hyperlink>
      <w:r>
        <w:t xml:space="preserve">.</w:t>
      </w:r>
    </w:p>
    <w:p>
      <w:pPr>
        <w:pStyle w:val="Compact"/>
        <w:numPr>
          <w:ilvl w:val="0"/>
          <w:numId w:val="1004"/>
        </w:numPr>
        <w:spacing w:before="0" w:after="0" w:line="360" w:lineRule="auto"/>
        <w:ind w:left="0" w:firstLine="709"/>
      </w:pPr>
      <w:r>
        <w:t xml:space="preserve">Amazon Web Services. Naming Amazon S3 objects [Электронный ресурс]. URL:</w:t>
      </w:r>
      <w:r>
        <w:t xml:space="preserve"> </w:t>
      </w:r>
      <w:hyperlink r:id="rId107">
        <w:r>
          <w:rPr>
            <w:rStyle w:val="af4"/>
          </w:rPr>
          <w:t xml:space="preserve">https://​docs.​aws.​amazon.​com/​AmazonS3/​latest/​userguide/​object-​keys.​html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08">
        <w:r>
          <w:rPr>
            <w:rStyle w:val="af4"/>
          </w:rPr>
          <w:t xml:space="preserve">https://​docs.​aws.​amazon.​com/​AmazonS3/​latest/​userguide/​Versioning.​html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09">
        <w:r>
          <w:rPr>
            <w:rStyle w:val="af4"/>
          </w:rPr>
          <w:t xml:space="preserve">https://​github.​com/​alesplll/​opens3-​rebac/​tree/​ac858c748b5d3af96f0440864f4b299e7b617d76</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Transitioning objects using Amazon S3 Lifecycle [Электронный ресурс]. URL:</w:t>
      </w:r>
      <w:r>
        <w:t xml:space="preserve"> </w:t>
      </w:r>
      <w:hyperlink r:id="rId110">
        <w:r>
          <w:rPr>
            <w:rStyle w:val="af4"/>
          </w:rPr>
          <w:t xml:space="preserve">https://​docs.​aws.​amazon.​com/​AmazonS3/​latest/​userguide/​lifecycle-​transition-​general-​considerations.​html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11">
        <w:r>
          <w:rPr>
            <w:rStyle w:val="af4"/>
          </w:rPr>
          <w:t xml:space="preserve">https://​docs.​ceph.​com/​en/​squid/​radosgw/​placement/​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12">
        <w:r>
          <w:rPr>
            <w:rStyle w:val="af4"/>
          </w:rPr>
          <w:t xml:space="preserve">https://​docs.​ceph.​com/​en/​squid/​rados/​operations/​crush-​map-​edits/​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Lifecycle Management. AIStor Documentation [Электронный ресурс]. URL:</w:t>
      </w:r>
      <w:r>
        <w:t xml:space="preserve"> </w:t>
      </w:r>
      <w:hyperlink r:id="rId113">
        <w:r>
          <w:rPr>
            <w:rStyle w:val="af4"/>
          </w:rPr>
          <w:t xml:space="preserve">https://​docs.​min.​io/​aistor/​administration/​object-​lifecycle-​management/​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Tiering. AIStor Documentation [Электронный ресурс]. URL:</w:t>
      </w:r>
      <w:r>
        <w:t xml:space="preserve"> </w:t>
      </w:r>
      <w:hyperlink r:id="rId114">
        <w:r>
          <w:rPr>
            <w:rStyle w:val="af4"/>
          </w:rPr>
          <w:t xml:space="preserve">https://​docs.​min.​io/​aistor/​administration/​object-​lifecycle-​management/​object-​tiering/​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GetObject. Amazon S3 API Reference [Электронный ресурс]. URL:</w:t>
      </w:r>
      <w:r>
        <w:t xml:space="preserve"> </w:t>
      </w:r>
      <w:hyperlink r:id="rId115">
        <w:r>
          <w:rPr>
            <w:rStyle w:val="af4"/>
          </w:rPr>
          <w:t xml:space="preserve">https://​docs.​aws.​amazon.​com/​AmazonS3/​latest/​API/​API_​GetObject.​html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server access log format [Электронный ресурс]. URL:</w:t>
      </w:r>
      <w:r>
        <w:t xml:space="preserve"> </w:t>
      </w:r>
      <w:hyperlink r:id="rId116">
        <w:r>
          <w:rPr>
            <w:rStyle w:val="af4"/>
          </w:rPr>
          <w:t xml:space="preserve">https://​docs.​aws.​amazon.​com/​AmazonS3/​latest/​userguide/​LogFormat.​html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17">
        <w:r>
          <w:rPr>
            <w:rStyle w:val="af4"/>
          </w:rPr>
          <w:t xml:space="preserve">https://​arxiv.​org/​abs/​2305.​14818</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18">
        <w:r>
          <w:rPr>
            <w:rStyle w:val="af4"/>
          </w:rPr>
          <w:t xml:space="preserve">https://​www.​usenix.​org/​conference/​fast24/​presentation/​wong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pricing [Электронный ресурс]. URL:</w:t>
      </w:r>
      <w:r>
        <w:t xml:space="preserve"> </w:t>
      </w:r>
      <w:hyperlink r:id="rId119">
        <w:r>
          <w:rPr>
            <w:rStyle w:val="af4"/>
          </w:rPr>
          <w:t xml:space="preserve">https://​aws.​amazon.​com/​s3/​pricing/​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20">
        <w:r>
          <w:rPr>
            <w:rStyle w:val="af4"/>
          </w:rPr>
          <w:t xml:space="preserve">https://​docs.​aws.​amazon.​com/​AmazonS3/​latest/​userguide/​Welcome.​html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2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2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pStyle w:val="Compact"/>
        <w:numPr>
          <w:ilvl w:val="0"/>
          <w:numId w:val="1004"/>
        </w:numPr>
        <w:spacing w:before="0" w:after="0" w:line="360" w:lineRule="auto"/>
        <w:ind w:left="0" w:firstLine="709"/>
      </w:pPr>
      <w:r>
        <w:t xml:space="preserve">CacheMon. Open-source Cache Dataset. Раздел Meta CDN request traces [Электронный ресурс]. URL:</w:t>
      </w:r>
      <w:r>
        <w:t xml:space="preserve"> </w:t>
      </w:r>
      <w:hyperlink r:id="rId12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24">
        <w:r>
          <w:rPr>
            <w:rStyle w:val="af4"/>
          </w:rPr>
          <w:t xml:space="preserve">https://​s3.​amazonaws.​com/​cache-​datasets/​index.​html</w:t>
        </w:r>
      </w:hyperlink>
      <w:r>
        <w:t xml:space="preserve"> </w:t>
      </w:r>
      <w:r>
        <w:t xml:space="preserve">(открытый архив файлов) (дата обращения: 01.10.2026).</w:t>
      </w:r>
    </w:p>
    <w:p>
      <w:pPr>
        <w:pStyle w:val="Compact"/>
        <w:numPr>
          <w:ilvl w:val="0"/>
          <w:numId w:val="1004"/>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2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2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pStyle w:val="Compact"/>
        <w:numPr>
          <w:ilvl w:val="0"/>
          <w:numId w:val="1004"/>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27">
        <w:r>
          <w:rPr>
            <w:rStyle w:val="af4"/>
          </w:rPr>
          <w:t xml:space="preserve">https://​www.​usenix.​org/​conference/​fast18/​presentation/​anwar</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28">
        <w:r>
          <w:rPr>
            <w:rStyle w:val="af4"/>
          </w:rPr>
          <w:t xml:space="preserve">https://​github.​com/​ds2-​lab/​IBM-​docker-​registry-​traces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29">
        <w:r>
          <w:rPr>
            <w:rStyle w:val="af4"/>
          </w:rPr>
          <w:t xml:space="preserve">https://www.pdl.cmu.edu/CILES/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30">
        <w:r>
          <w:rPr>
            <w:rStyle w:val="af4"/>
          </w:rPr>
          <w:t xml:space="preserve">10.14778/3357377.3357381</w:t>
        </w:r>
      </w:hyperlink>
      <w:r>
        <w:t xml:space="preserve">. URL:</w:t>
      </w:r>
      <w:r>
        <w:t xml:space="preserve"> </w:t>
      </w:r>
      <w:hyperlink r:id="rId131">
        <w:r>
          <w:rPr>
            <w:rStyle w:val="af4"/>
          </w:rPr>
          <w:t xml:space="preserve">https://​www.​vldb.​org/​pvldb/​vol13/​p43-​herodotou.​pdf</w:t>
        </w:r>
      </w:hyperlink>
      <w:r>
        <w:t xml:space="preserve"> </w:t>
      </w:r>
      <w:r>
        <w:t xml:space="preserve">(дата обращения: 04.10.2026).</w:t>
      </w:r>
    </w:p>
    <w:p>
      <w:pPr>
        <w:pStyle w:val="Compact"/>
        <w:numPr>
          <w:ilvl w:val="0"/>
          <w:numId w:val="1004"/>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32">
        <w:r>
          <w:rPr>
            <w:rStyle w:val="af4"/>
          </w:rPr>
          <w:t xml:space="preserve">10.​1109/​FiCloud66139.​2025.​00024</w:t>
        </w:r>
      </w:hyperlink>
      <w:r>
        <w:t xml:space="preserve">.</w:t>
      </w:r>
    </w:p>
    <w:p>
      <w:pPr>
        <w:pStyle w:val="Compact"/>
        <w:numPr>
          <w:ilvl w:val="0"/>
          <w:numId w:val="1004"/>
        </w:numPr>
        <w:spacing w:before="0" w:after="0" w:line="360" w:lineRule="auto"/>
        <w:ind w:left="0" w:firstLine="709"/>
      </w:pPr>
      <w:r>
        <w:t xml:space="preserve">Ceph. Rados Gateway Data Layout. Документация версии Squid [Электронный ресурс]. URL:</w:t>
      </w:r>
      <w:r>
        <w:t xml:space="preserve"> </w:t>
      </w:r>
      <w:hyperlink r:id="rId133">
        <w:r>
          <w:rPr>
            <w:rStyle w:val="af4"/>
          </w:rPr>
          <w:t xml:space="preserve">https://​docs.​ceph.​com/​en/​squid/​radosgw/​layout/​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Logging requests with server access logging [Электронный ресурс]. URL:</w:t>
      </w:r>
      <w:r>
        <w:t xml:space="preserve"> </w:t>
      </w:r>
      <w:hyperlink r:id="rId134">
        <w:r>
          <w:rPr>
            <w:rStyle w:val="af4"/>
          </w:rPr>
          <w:t xml:space="preserve">https://​docs.​aws.​amazon.​com/​AmazonS3/​latest/​userguide/​ServerLogs.​html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Kellerer H., Pferschy U., Pisinger D. Knapsack Problems. Berlin; Heidelberg: Springer, 2004. 546 p. DOI:</w:t>
      </w:r>
      <w:r>
        <w:t xml:space="preserve"> </w:t>
      </w:r>
      <w:hyperlink r:id="rId135">
        <w:r>
          <w:rPr>
            <w:rStyle w:val="af4"/>
          </w:rPr>
          <w:t xml:space="preserve">10.1007/978-3-540-24777-7</w:t>
        </w:r>
      </w:hyperlink>
      <w:r>
        <w:t xml:space="preserve">.</w:t>
      </w:r>
    </w:p>
    <w:p>
      <w:pPr>
        <w:pStyle w:val="Compact"/>
        <w:numPr>
          <w:ilvl w:val="0"/>
          <w:numId w:val="1004"/>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36">
        <w:r>
          <w:rPr>
            <w:rStyle w:val="af4"/>
          </w:rPr>
          <w:t xml:space="preserve">10.1016/0304-4076(86)90002-3</w:t>
        </w:r>
      </w:hyperlink>
      <w:r>
        <w:t xml:space="preserve">.</w:t>
      </w:r>
    </w:p>
    <w:p>
      <w:pPr>
        <w:pStyle w:val="Compact"/>
        <w:numPr>
          <w:ilvl w:val="0"/>
          <w:numId w:val="1004"/>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37">
        <w:r>
          <w:rPr>
            <w:rStyle w:val="af4"/>
          </w:rPr>
          <w:t xml:space="preserve">10.1214/aos/1013203451</w:t>
        </w:r>
      </w:hyperlink>
      <w:r>
        <w:t xml:space="preserve">.</w:t>
      </w:r>
    </w:p>
    <w:p>
      <w:pPr>
        <w:pStyle w:val="Compact"/>
        <w:numPr>
          <w:ilvl w:val="0"/>
          <w:numId w:val="1004"/>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38">
        <w:r>
          <w:rPr>
            <w:rStyle w:val="af4"/>
          </w:rPr>
          <w:t xml:space="preserve">https://​lightgbm.​readthedocs.​io/​en/​latest/​Parameters.​html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39">
        <w:r>
          <w:rPr>
            <w:rStyle w:val="af4"/>
          </w:rPr>
          <w:t xml:space="preserve">10.2307/2344614</w:t>
        </w:r>
      </w:hyperlink>
      <w:r>
        <w:t xml:space="preserve">.</w:t>
      </w:r>
    </w:p>
    <w:p>
      <w:pPr>
        <w:pStyle w:val="Compact"/>
        <w:numPr>
          <w:ilvl w:val="0"/>
          <w:numId w:val="1004"/>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40">
        <w:r>
          <w:rPr>
            <w:rStyle w:val="af4"/>
          </w:rPr>
          <w:t xml:space="preserve">https://​arxiv.​org/​abs/​2207.​08815</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41">
        <w:r>
          <w:rPr>
            <w:rStyle w:val="af4"/>
          </w:rPr>
          <w:t xml:space="preserve">https://​scikit-​learn.​org/​stable/​common_​pitfalls.​html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Scikit-learn developers. TimeSeriesSplit [Электронный ресурс]. URL:</w:t>
      </w:r>
      <w:r>
        <w:t xml:space="preserve"> </w:t>
      </w:r>
      <w:hyperlink r:id="rId142">
        <w:r>
          <w:rPr>
            <w:rStyle w:val="af4"/>
          </w:rPr>
          <w:t xml:space="preserve">https://​scikit-​learn.​org/​stable/​modules/​generated/​sklearn.​model_​selection.​TimeSeriesSplit.​html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43">
        <w:r>
          <w:rPr>
            <w:rStyle w:val="af4"/>
          </w:rPr>
          <w:t xml:space="preserve">10.1145/1143844.1143874</w:t>
        </w:r>
      </w:hyperlink>
      <w:r>
        <w:t xml:space="preserve">.</w:t>
      </w:r>
    </w:p>
    <w:p>
      <w:pPr>
        <w:pStyle w:val="Compact"/>
        <w:numPr>
          <w:ilvl w:val="0"/>
          <w:numId w:val="1004"/>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44">
        <w:r>
          <w:rPr>
            <w:rStyle w:val="af4"/>
          </w:rPr>
          <w:t xml:space="preserve">10.​1175/​1520-​0493(1950)078&lt;0001:VOFEIT&gt;2.​0.​CO;2</w:t>
        </w:r>
      </w:hyperlink>
      <w:r>
        <w:t xml:space="preserve">.</w:t>
      </w:r>
    </w:p>
    <w:p>
      <w:pPr>
        <w:pStyle w:val="Compact"/>
        <w:numPr>
          <w:ilvl w:val="0"/>
          <w:numId w:val="1004"/>
        </w:numPr>
        <w:spacing w:before="0" w:after="0" w:line="360" w:lineRule="auto"/>
        <w:ind w:left="0" w:firstLine="709"/>
      </w:pPr>
      <w:r>
        <w:t xml:space="preserve">Dantzig G. B. Discrete-Variable Extremum Problems // Operations Research. 1957. Vol. 5, no. 2. P. 266–288. DOI:</w:t>
      </w:r>
      <w:r>
        <w:t xml:space="preserve"> </w:t>
      </w:r>
      <w:hyperlink r:id="rId145">
        <w:r>
          <w:rPr>
            <w:rStyle w:val="af4"/>
          </w:rPr>
          <w:t xml:space="preserve">10.1287/opre.5.2.266</w:t>
        </w:r>
      </w:hyperlink>
      <w:r>
        <w:t xml:space="preserve">.</w:t>
      </w:r>
    </w:p>
    <w:p>
      <w:pPr>
        <w:pStyle w:val="Compact"/>
        <w:numPr>
          <w:ilvl w:val="0"/>
          <w:numId w:val="1004"/>
        </w:numPr>
        <w:spacing w:before="0" w:after="0" w:line="360" w:lineRule="auto"/>
        <w:ind w:left="0" w:firstLine="709"/>
      </w:pPr>
      <w:r>
        <w:t xml:space="preserve">Kleppmann M. Designing Data-Intensive Applications. Sebastopol: O’Reilly Media, 2017. 616 p.</w:t>
      </w:r>
    </w:p>
    <w:p>
      <w:pPr>
        <w:pStyle w:val="Compact"/>
        <w:numPr>
          <w:ilvl w:val="0"/>
          <w:numId w:val="1004"/>
        </w:numPr>
        <w:spacing w:before="0" w:after="0" w:line="360" w:lineRule="auto"/>
        <w:ind w:left="0" w:firstLine="709"/>
      </w:pPr>
      <w:r>
        <w:t xml:space="preserve">Amazon Web Services. Checking object integrity for data uploads in Amazon S3 [Электронный ресурс]. URL:</w:t>
      </w:r>
      <w:r>
        <w:t xml:space="preserve"> </w:t>
      </w:r>
      <w:hyperlink r:id="rId146">
        <w:r>
          <w:rPr>
            <w:rStyle w:val="af4"/>
          </w:rPr>
          <w:t xml:space="preserve">https://​docs.​aws.​amazon.​com/​AmazonS3/​latest/​userguide/​checking-​object-​integrity-​upload.​html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47">
        <w:r>
          <w:rPr>
            <w:rStyle w:val="af4"/>
          </w:rPr>
          <w:t xml:space="preserve">https://​www.​omg.​org/​spec/​UML/​2.​5.​1/​</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48">
        <w:r>
          <w:rPr>
            <w:rStyle w:val="af4"/>
          </w:rPr>
          <w:t xml:space="preserve">https://​www.​omg.​org/​spec/​BPMN/​2.​0.​2/​</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49">
        <w:r>
          <w:rPr>
            <w:rStyle w:val="af4"/>
          </w:rPr>
          <w:t xml:space="preserve">https://​papers.​nips.​cc/​paper/​6907-​lightgbm-​a-​highly-​efficient-​gradient-​boosting-​decision-​tree</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50">
        <w:r>
          <w:rPr>
            <w:rStyle w:val="af4"/>
          </w:rPr>
          <w:t xml:space="preserve">https://​github.​com/​dmitryikh/​leaves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51">
        <w:r>
          <w:rPr>
            <w:rStyle w:val="af4"/>
          </w:rPr>
          <w:t xml:space="preserve">https://​www.​postgresql.​org/​docs/​16/​mvcc.​html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52">
        <w:r>
          <w:rPr>
            <w:rStyle w:val="af4"/>
          </w:rPr>
          <w:t xml:space="preserve">https://​kafka.​apache.​org/​documentation/#​semantics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53">
        <w:r>
          <w:rPr>
            <w:rStyle w:val="af4"/>
          </w:rPr>
          <w:t xml:space="preserve">https://​github.​com/​yalue/​onnxruntime_​go</w:t>
        </w:r>
      </w:hyperlink>
      <w:r>
        <w:t xml:space="preserve"> </w:t>
      </w:r>
      <w:r>
        <w:t xml:space="preserve">(дата обращения: 20.10.2026).</w:t>
      </w:r>
    </w:p>
    <w:bookmarkEnd w:id="154"/>
    <w:bookmarkStart w:id="155" w:name="приложения"/>
    <w:p>
      <w:pPr>
        <w:pStyle w:val="GOSTStructuralHeading"/>
      </w:pPr>
      <w:bookmarkStart w:id="213" w:name="GOSTHeading213"/>
      <w:r>
        <w:t xml:space="preserve">ПРИЛОЖЕНИЯ</w:t>
      </w:r>
      <w:bookmarkEnd w:id="213"/>
    </w:p>
    <w:p>
      <w:pPr>
        <w:pStyle w:val="FirstParagraph"/>
      </w:pPr>
      <w:r>
        <w:t xml:space="preserve">Приложение А — Диаграмма состояний миграции версии</w:t>
      </w:r>
    </w:p>
    <w:p>
      <w:pPr>
        <w:pStyle w:val="a2"/>
      </w:pPr>
      <w:r>
        <w:t xml:space="preserve">Приложение Б — Модель данных Metadata и СПП�</w:t>
      </w:r>
    </w:p>
    <w:bookmarkEnd w:id="155"/>
    <w:bookmarkStart w:id="160" w:name="X58d6892eb4b28b97009897612fe5c22da3991b8"/>
    <w:p>
      <w:pPr>
        <w:pStyle w:val="GOSTAppendixHeading"/>
      </w:pPr>
      <w:bookmarkStart w:id="214" w:name="GOSTHeading214"/>
      <w:r>
        <w:t xml:space="preserve">Приложение А</w:t>
      </w:r>
      <w:bookmarkEnd w:id="214"/>
    </w:p>
    <w:p>
      <w:pPr>
        <w:pStyle w:val="GOSTAppendixTitle"/>
      </w:pPr>
      <w:r>
        <w:t xml:space="preserve">Диаграмма состояний миграции версии</w:t>
      </w:r>
    </w:p>
    <w:p>
      <w:pPr>
        <w:pStyle w:val="a2"/>
        <w:keepNext w:val="1"/>
      </w:pPr>
      <w:r>
        <w:t xml:space="preserve">Приложение относится к разделу 2.1.7 пояснительной записки и показывает в нотации диаграммы состояний UML состояния миграции версии и переходы между ними (Рисунок А.1).</w:t>
      </w:r>
    </w:p>
    <w:bookmarkStart w:id="159" w:name="gost-fig:migration_states"/>
    <w:p>
      <w:pPr>
        <w:pStyle w:val="CaptionedFigure"/>
        <w:keepNext w:val="1"/>
      </w:pPr>
      <w:r>
        <w:drawing>
          <wp:inline>
            <wp:extent cx="5016675" cy="6840000"/>
            <wp:effectExtent b="0" l="0" r="0" t="0"/>
            <wp:docPr descr="Диаграмма состояний миграции версии" title="" id="157" name="Picture"/>
            <a:graphic>
              <a:graphicData uri="http://schemas.openxmlformats.org/drawingml/2006/picture">
                <pic:pic>
                  <pic:nvPicPr>
                    <pic:cNvPr descr="images/migration_states.png" id="158" name="Picture"/>
                    <pic:cNvPicPr>
                      <a:picLocks noChangeArrowheads="1" noChangeAspect="1"/>
                    </pic:cNvPicPr>
                  </pic:nvPicPr>
                  <pic:blipFill>
                    <a:blip r:embed="rId156"/>
                    <a:stretch>
                      <a:fillRect/>
                    </a:stretch>
                  </pic:blipFill>
                  <pic:spPr bwMode="auto">
                    <a:xfrm>
                      <a:off x="0" y="0"/>
                      <a:ext cx="5016675" cy="6840000"/>
                    </a:xfrm>
                    <a:prstGeom prst="rect">
                      <a:avLst/>
                    </a:prstGeom>
                    <a:noFill/>
                    <a:ln w="9525">
                      <a:noFill/>
                      <a:headEnd/>
                      <a:tailEnd/>
                    </a:ln>
                  </pic:spPr>
                </pic:pic>
              </a:graphicData>
            </a:graphic>
          </wp:inline>
        </w:drawing>
      </w:r>
    </w:p>
    <w:p>
      <w:pPr>
        <w:pStyle w:val="ImageCaption"/>
      </w:pPr>
      <w:r>
        <w:t xml:space="preserve">Рисунок А.1 — Диаграмма состояний миграции версии</w:t>
      </w:r>
    </w:p>
    <w:bookmarkEnd w:id="159"/>
    <w:bookmarkEnd w:id="160"/>
    <w:bookmarkStart w:id="165" w:name="Xe9b041aaa13bc2d85aa0272880cededbe3cd285"/>
    <w:p>
      <w:pPr>
        <w:pStyle w:val="GOSTAppendixHeading"/>
      </w:pPr>
      <w:bookmarkStart w:id="215" w:name="GOSTHeading215"/>
      <w:r>
        <w:t xml:space="preserve">Приложение Б</w:t>
      </w:r>
      <w:bookmarkEnd w:id="215"/>
    </w:p>
    <w:p>
      <w:pPr>
        <w:pStyle w:val="GOSTAppendixTitle"/>
      </w:pPr>
      <w:r>
        <w:t xml:space="preserve">Модель данных Metadata и СПП�</w:t>
      </w:r>
    </w:p>
    <w:p>
      <w:pPr>
        <w:pStyle w:val="a2"/>
        <w:keepNext w:val="1"/>
      </w:pPr>
      <w:r>
        <w:t xml:space="preserve">Приложение относится к разделу 2.3.3 пояснительной записки и показывает таблицы, добавляемые в Metadata, таблицы базы СППР и связи между ними (Рисунок Б.1).</w:t>
      </w:r>
    </w:p>
    <w:bookmarkStart w:id="164" w:name="gost-fig:er"/>
    <w:p>
      <w:pPr>
        <w:pStyle w:val="CaptionedFigure"/>
        <w:keepNext w:val="1"/>
      </w:pPr>
      <w:r>
        <w:drawing>
          <wp:inline>
            <wp:extent cx="4732739" cy="6840000"/>
            <wp:effectExtent b="0" l="0" r="0" t="0"/>
            <wp:docPr descr="Модель данных Metadata и СППР" title="" id="162" name="Picture"/>
            <a:graphic>
              <a:graphicData uri="http://schemas.openxmlformats.org/drawingml/2006/picture">
                <pic:pic>
                  <pic:nvPicPr>
                    <pic:cNvPr descr="images/er.png" id="163" name="Picture"/>
                    <pic:cNvPicPr>
                      <a:picLocks noChangeArrowheads="1" noChangeAspect="1"/>
                    </pic:cNvPicPr>
                  </pic:nvPicPr>
                  <pic:blipFill>
                    <a:blip r:embed="rId161"/>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Б.1 — Модель данных Metadata и СППР</w:t>
      </w:r>
    </w:p>
    <w:bookmarkEnd w:id="164"/>
    <w:bookmarkEnd w:id="165"/>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161" Target="media/rId161.png" /><Relationship Type="http://schemas.openxmlformats.org/officeDocument/2006/relationships/image" Id="rId57" Target="media/rId57.png" /><Relationship Type="http://schemas.openxmlformats.org/officeDocument/2006/relationships/image" Id="rId156" Target="media/rId156.png" /><Relationship Type="http://schemas.openxmlformats.org/officeDocument/2006/relationships/image" Id="rId65" Target="media/rId65.png" /><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6"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3"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4"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5"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0"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52"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49"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1" Target="https://scikit-learn.org/stable/common_pitfalls.html" TargetMode="External" /><Relationship Type="http://schemas.openxmlformats.org/officeDocument/2006/relationships/hyperlink" Id="rId142" Target="https://scikit-learn.org/stable/modules/generated/sklearn.model_selection.TimeSeriesSplit.html" TargetMode="External" /><Relationship Type="http://schemas.openxmlformats.org/officeDocument/2006/relationships/hyperlink" Id="rId148" Target="https://www.omg.org/spec/BPMN/2.0.2/" TargetMode="External" /><Relationship Type="http://schemas.openxmlformats.org/officeDocument/2006/relationships/hyperlink" Id="rId147"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1"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6"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3"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4"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5"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0"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52"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49"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1" Target="https://scikit-learn.org/stable/common_pitfalls.html" TargetMode="External" /><Relationship Type="http://schemas.openxmlformats.org/officeDocument/2006/relationships/hyperlink" Id="rId142" Target="https://scikit-learn.org/stable/modules/generated/sklearn.model_selection.TimeSeriesSplit.html" TargetMode="External" /><Relationship Type="http://schemas.openxmlformats.org/officeDocument/2006/relationships/hyperlink" Id="rId148" Target="https://www.omg.org/spec/BPMN/2.0.2/" TargetMode="External" /><Relationship Type="http://schemas.openxmlformats.org/officeDocument/2006/relationships/hyperlink" Id="rId147"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1"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2026-10-25T15:24:32Z</dcterms:created>
  <dcterms:modified xsi:type="dcterms:W3CDTF">2026-10-25T15:24:32Z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