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4.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09">
            <w:r>
              <w:t>ВВЕДЕНИЕ</w:t>
            </w:r>
          </w:hyperlink>
          <w:r>
            <w:tab/>
          </w:r>
          <w:fldSimple w:instr="PAGEREF &quot;GOSTHeading209&quot; \h" w:dirty="true">
            <w:r>
              <w:t>—</w:t>
            </w:r>
          </w:fldSimple>
        </w:p>
        <w:p>
          <w:pPr>
            <w:pStyle w:val="10"/>
          </w:pPr>
          <w:hyperlink w:anchor="GOSTHeading210">
            <w:r>
              <w:t>ЛИТЕРАТУРНЫЙ ОБЗОР</w:t>
            </w:r>
          </w:hyperlink>
          <w:r>
            <w:tab/>
          </w:r>
          <w:fldSimple w:instr="PAGEREF &quot;GOSTHeading210&quot; \h" w:dirty="true">
            <w:r>
              <w:t>—</w:t>
            </w:r>
          </w:fldSimple>
        </w:p>
        <w:p>
          <w:pPr>
            <w:pStyle w:val="10"/>
          </w:pPr>
          <w:hyperlink w:anchor="GOSTHeading211">
            <w:r>
              <w:t>1 ИССЛЕДОВАТЕЛЬСКИЙ РАЗДЕЛ</w:t>
            </w:r>
          </w:hyperlink>
          <w:r>
            <w:tab/>
          </w:r>
          <w:fldSimple w:instr="PAGEREF &quot;GOSTHeading211&quot; \h" w:dirty="true">
            <w:r>
              <w:t>—</w:t>
            </w:r>
          </w:fldSimple>
        </w:p>
        <w:p>
          <w:pPr>
            <w:pStyle w:val="22"/>
          </w:pPr>
          <w:hyperlink w:anchor="GOSTHeading212">
            <w:r>
              <w:t>1.1 Анализ предметной области</w:t>
            </w:r>
          </w:hyperlink>
          <w:r>
            <w:tab/>
          </w:r>
          <w:fldSimple w:instr="PAGEREF &quot;GOSTHeading212&quot; \h" w:dirty="true">
            <w:r>
              <w:t>—</w:t>
            </w:r>
          </w:fldSimple>
        </w:p>
        <w:p>
          <w:pPr>
            <w:pStyle w:val="31"/>
          </w:pPr>
          <w:hyperlink w:anchor="GOSTHeading213">
            <w:r>
              <w:t>1.1.1 Предметная область и участники процесса</w:t>
            </w:r>
          </w:hyperlink>
          <w:r>
            <w:tab/>
          </w:r>
          <w:fldSimple w:instr="PAGEREF &quot;GOSTHeading213&quot; \h" w:dirty="true">
            <w:r>
              <w:t>—</w:t>
            </w:r>
          </w:fldSimple>
        </w:p>
        <w:p>
          <w:pPr>
            <w:pStyle w:val="31"/>
          </w:pPr>
          <w:hyperlink w:anchor="GOSTHeading214">
            <w:r>
              <w:t>1.1.2 Объектная модель и единица размещения</w:t>
            </w:r>
          </w:hyperlink>
          <w:r>
            <w:tab/>
          </w:r>
          <w:fldSimple w:instr="PAGEREF &quot;GOSTHeading214&quot; \h" w:dirty="true">
            <w:r>
              <w:t>—</w:t>
            </w:r>
          </w:fldSimple>
        </w:p>
        <w:p>
          <w:pPr>
            <w:pStyle w:val="31"/>
          </w:pPr>
          <w:hyperlink w:anchor="GOSTHeading215">
            <w:r>
              <w:t>1.1.3 Классы хранения и характеристики ресурсов</w:t>
            </w:r>
          </w:hyperlink>
          <w:r>
            <w:tab/>
          </w:r>
          <w:fldSimple w:instr="PAGEREF &quot;GOSTHeading215&quot; \h" w:dirty="true">
            <w:r>
              <w:t>—</w:t>
            </w:r>
          </w:fldSimple>
        </w:p>
        <w:p>
          <w:pPr>
            <w:pStyle w:val="31"/>
          </w:pPr>
          <w:hyperlink w:anchor="GOSTHeading216">
            <w:r>
              <w:t>1.1.4 Востребованность и история обращений</w:t>
            </w:r>
          </w:hyperlink>
          <w:r>
            <w:tab/>
          </w:r>
          <w:fldSimple w:instr="PAGEREF &quot;GOSTHeading216&quot; \h" w:dirty="true">
            <w:r>
              <w:t>—</w:t>
            </w:r>
          </w:fldSimple>
        </w:p>
        <w:p>
          <w:pPr>
            <w:pStyle w:val="31"/>
          </w:pPr>
          <w:hyperlink w:anchor="GOSTHeading217">
            <w:r>
              <w:t>1.1.5 Способы управления размещением</w:t>
            </w:r>
          </w:hyperlink>
          <w:r>
            <w:tab/>
          </w:r>
          <w:fldSimple w:instr="PAGEREF &quot;GOSTHeading217&quot; \h" w:dirty="true">
            <w:r>
              <w:t>—</w:t>
            </w:r>
          </w:fldSimple>
        </w:p>
        <w:p>
          <w:pPr>
            <w:pStyle w:val="31"/>
          </w:pPr>
          <w:hyperlink w:anchor="GOSTHeading218">
            <w:r>
              <w:t>1.1.6 Ресурсные ограничения и затраты</w:t>
            </w:r>
          </w:hyperlink>
          <w:r>
            <w:tab/>
          </w:r>
          <w:fldSimple w:instr="PAGEREF &quot;GOSTHeading218&quot; \h" w:dirty="true">
            <w:r>
              <w:t>—</w:t>
            </w:r>
          </w:fldSimple>
        </w:p>
        <w:p>
          <w:pPr>
            <w:pStyle w:val="31"/>
          </w:pPr>
          <w:hyperlink w:anchor="GOSTHeading219">
            <w:r>
              <w:t>1.1.7 Согласованность и безопасное перемещение</w:t>
            </w:r>
          </w:hyperlink>
          <w:r>
            <w:tab/>
          </w:r>
          <w:fldSimple w:instr="PAGEREF &quot;GOSTHeading219&quot; \h" w:dirty="true">
            <w:r>
              <w:t>—</w:t>
            </w:r>
          </w:fldSimple>
        </w:p>
        <w:p>
          <w:pPr>
            <w:pStyle w:val="31"/>
          </w:pPr>
          <w:hyperlink w:anchor="GOSTHeading220">
            <w:r>
              <w:t>1.1.8 Источники данных и условия исследования</w:t>
            </w:r>
          </w:hyperlink>
          <w:r>
            <w:tab/>
          </w:r>
          <w:fldSimple w:instr="PAGEREF &quot;GOSTHeading220&quot; \h" w:dirty="true">
            <w:r>
              <w:t>—</w:t>
            </w:r>
          </w:fldSimple>
        </w:p>
        <w:p>
          <w:pPr>
            <w:pStyle w:val="22"/>
          </w:pPr>
          <w:hyperlink w:anchor="GOSTHeading221">
            <w:r>
              <w:t>1.2 Анализ существующих решений</w:t>
            </w:r>
          </w:hyperlink>
          <w:r>
            <w:tab/>
          </w:r>
          <w:fldSimple w:instr="PAGEREF &quot;GOSTHeading221&quot; \h" w:dirty="true">
            <w:r>
              <w:t>—</w:t>
            </w:r>
          </w:fldSimple>
        </w:p>
        <w:p>
          <w:pPr>
            <w:pStyle w:val="31"/>
          </w:pPr>
          <w:hyperlink w:anchor="GOSTHeading222">
            <w:r>
              <w:t>1.2.1 Анализ критериев</w:t>
            </w:r>
          </w:hyperlink>
          <w:r>
            <w:tab/>
          </w:r>
          <w:fldSimple w:instr="PAGEREF &quot;GOSTHeading222&quot; \h" w:dirty="true">
            <w:r>
              <w:t>—</w:t>
            </w:r>
          </w:fldSimple>
        </w:p>
        <w:p>
          <w:pPr>
            <w:pStyle w:val="31"/>
          </w:pPr>
          <w:hyperlink w:anchor="GOSTHeading223">
            <w:r>
              <w:t>1.2.2 Обзор аналогов</w:t>
            </w:r>
          </w:hyperlink>
          <w:r>
            <w:tab/>
          </w:r>
          <w:fldSimple w:instr="PAGEREF &quot;GOSTHeading223&quot; \h" w:dirty="true">
            <w:r>
              <w:t>—</w:t>
            </w:r>
          </w:fldSimple>
        </w:p>
        <w:p>
          <w:pPr>
            <w:pStyle w:val="31"/>
          </w:pPr>
          <w:hyperlink w:anchor="GOSTHeading224">
            <w:r>
              <w:t>1.2.3 Сопоставление аналогов</w:t>
            </w:r>
          </w:hyperlink>
          <w:r>
            <w:tab/>
          </w:r>
          <w:fldSimple w:instr="PAGEREF &quot;GOSTHeading224&quot; \h" w:dirty="true">
            <w:r>
              <w:t>—</w:t>
            </w:r>
          </w:fldSimple>
        </w:p>
        <w:p>
          <w:pPr>
            <w:pStyle w:val="22"/>
          </w:pPr>
          <w:hyperlink w:anchor="GOSTHeading225">
            <w:r>
              <w:t>1.3 Требования к разрабатываемой системе</w:t>
            </w:r>
          </w:hyperlink>
          <w:r>
            <w:tab/>
          </w:r>
          <w:fldSimple w:instr="PAGEREF &quot;GOSTHeading225&quot; \h" w:dirty="true">
            <w:r>
              <w:t>—</w:t>
            </w:r>
          </w:fldSimple>
        </w:p>
        <w:p>
          <w:pPr>
            <w:pStyle w:val="31"/>
          </w:pPr>
          <w:hyperlink w:anchor="GOSTHeading226">
            <w:r>
              <w:t>1.3.1 Назначение и границы разрабатываемого расширения</w:t>
            </w:r>
          </w:hyperlink>
          <w:r>
            <w:tab/>
          </w:r>
          <w:fldSimple w:instr="PAGEREF &quot;GOSTHeading226&quot; \h" w:dirty="true">
            <w:r>
              <w:t>—</w:t>
            </w:r>
          </w:fldSimple>
        </w:p>
        <w:p>
          <w:pPr>
            <w:pStyle w:val="31"/>
          </w:pPr>
          <w:hyperlink w:anchor="GOSTHeading227">
            <w:r>
              <w:t>1.3.2 Требования к выполняемым функциям</w:t>
            </w:r>
          </w:hyperlink>
          <w:r>
            <w:tab/>
          </w:r>
          <w:fldSimple w:instr="PAGEREF &quot;GOSTHeading227&quot; \h" w:dirty="true">
            <w:r>
              <w:t>—</w:t>
            </w:r>
          </w:fldSimple>
        </w:p>
        <w:p>
          <w:pPr>
            <w:pStyle w:val="31"/>
          </w:pPr>
          <w:hyperlink w:anchor="GOSTHeading228">
            <w:r>
              <w:t>1.3.3 Требования к надёжности и сохранности данных</w:t>
            </w:r>
          </w:hyperlink>
          <w:r>
            <w:tab/>
          </w:r>
          <w:fldSimple w:instr="PAGEREF &quot;GOSTHeading228&quot; \h" w:dirty="true">
            <w:r>
              <w:t>—</w:t>
            </w:r>
          </w:fldSimple>
        </w:p>
        <w:p>
          <w:pPr>
            <w:pStyle w:val="31"/>
          </w:pPr>
          <w:hyperlink w:anchor="GOSTHeading229">
            <w:r>
              <w:t>1.3.4 Требования к доступу и интерфейсу администратора</w:t>
            </w:r>
          </w:hyperlink>
          <w:r>
            <w:tab/>
          </w:r>
          <w:fldSimple w:instr="PAGEREF &quot;GOSTHeading229&quot; \h" w:dirty="true">
            <w:r>
              <w:t>—</w:t>
            </w:r>
          </w:fldSimple>
        </w:p>
        <w:p>
          <w:pPr>
            <w:pStyle w:val="31"/>
          </w:pPr>
          <w:hyperlink w:anchor="GOSTHeading230">
            <w:r>
              <w:t>1.3.5 Требования к ресурсам, совместимости и контролю выполнения</w:t>
            </w:r>
          </w:hyperlink>
          <w:r>
            <w:tab/>
          </w:r>
          <w:fldSimple w:instr="PAGEREF &quot;GOSTHeading230&quot; \h" w:dirty="true">
            <w:r>
              <w:t>—</w:t>
            </w:r>
          </w:fldSimple>
        </w:p>
        <w:p>
          <w:pPr>
            <w:pStyle w:val="31"/>
          </w:pPr>
          <w:hyperlink w:anchor="GOSTHeading231">
            <w:r>
              <w:t>1.3.6 Требования к жизненному циклу модели</w:t>
            </w:r>
          </w:hyperlink>
          <w:r>
            <w:tab/>
          </w:r>
          <w:fldSimple w:instr="PAGEREF &quot;GOSTHeading231&quot; \h" w:dirty="true">
            <w:r>
              <w:t>—</w:t>
            </w:r>
          </w:fldSimple>
        </w:p>
        <w:p>
          <w:pPr>
            <w:pStyle w:val="31"/>
          </w:pPr>
          <w:hyperlink w:anchor="GOSTHeading232">
            <w:r>
              <w:t>1.3.7 Требования к проверке эффективности и минимальному результату</w:t>
            </w:r>
          </w:hyperlink>
          <w:r>
            <w:tab/>
          </w:r>
          <w:fldSimple w:instr="PAGEREF &quot;GOSTHeading232&quot; \h" w:dirty="true">
            <w:r>
              <w:t>—</w:t>
            </w:r>
          </w:fldSimple>
        </w:p>
        <w:p>
          <w:pPr>
            <w:pStyle w:val="22"/>
          </w:pPr>
          <w:hyperlink w:anchor="GOSTHeading233">
            <w:r>
              <w:t>1.4 Выводы по исследовательскому разделу</w:t>
            </w:r>
          </w:hyperlink>
          <w:r>
            <w:tab/>
          </w:r>
          <w:fldSimple w:instr="PAGEREF &quot;GOSTHeading233&quot; \h" w:dirty="true">
            <w:r>
              <w:t>—</w:t>
            </w:r>
          </w:fldSimple>
        </w:p>
        <w:p>
          <w:pPr>
            <w:pStyle w:val="10"/>
          </w:pPr>
          <w:hyperlink w:anchor="GOSTHeading234">
            <w:r>
              <w:t>2 АНАЛИТИЧЕСКИЙ РАЗДЕЛ</w:t>
            </w:r>
          </w:hyperlink>
          <w:r>
            <w:tab/>
          </w:r>
          <w:fldSimple w:instr="PAGEREF &quot;GOSTHeading234&quot; \h" w:dirty="true">
            <w:r>
              <w:t>—</w:t>
            </w:r>
          </w:fldSimple>
        </w:p>
        <w:p>
          <w:pPr>
            <w:pStyle w:val="22"/>
          </w:pPr>
          <w:hyperlink w:anchor="GOSTHeading235">
            <w:r>
              <w:t>2.1 Математическое и алгоритмическое обеспечение</w:t>
            </w:r>
          </w:hyperlink>
          <w:r>
            <w:tab/>
          </w:r>
          <w:fldSimple w:instr="PAGEREF &quot;GOSTHeading235&quot; \h" w:dirty="true">
            <w:r>
              <w:t>—</w:t>
            </w:r>
          </w:fldSimple>
        </w:p>
        <w:p>
          <w:pPr>
            <w:pStyle w:val="31"/>
          </w:pPr>
          <w:hyperlink w:anchor="GOSTHeading236">
            <w:r>
              <w:t>2.1.1 Постановка задачи размещения</w:t>
            </w:r>
          </w:hyperlink>
          <w:r>
            <w:tab/>
          </w:r>
          <w:fldSimple w:instr="PAGEREF &quot;GOSTHeading236&quot; \h" w:dirty="true">
            <w:r>
              <w:t>—</w:t>
            </w:r>
          </w:fldSimple>
        </w:p>
        <w:p>
          <w:pPr>
            <w:pStyle w:val="31"/>
          </w:pPr>
          <w:hyperlink w:anchor="GOSTHeading237">
            <w:r>
              <w:t>2.1.2 Модель прогнозирования востребованности</w:t>
            </w:r>
          </w:hyperlink>
          <w:r>
            <w:tab/>
          </w:r>
          <w:fldSimple w:instr="PAGEREF &quot;GOSTHeading237&quot; \h" w:dirty="true">
            <w:r>
              <w:t>—</w:t>
            </w:r>
          </w:fldSimple>
        </w:p>
        <w:p>
          <w:pPr>
            <w:pStyle w:val="31"/>
          </w:pPr>
          <w:hyperlink w:anchor="GOSTHeading238">
            <w:r>
              <w:t>2.1.3 Обработка данных и формирование обучающих примеров</w:t>
            </w:r>
          </w:hyperlink>
          <w:r>
            <w:tab/>
          </w:r>
          <w:fldSimple w:instr="PAGEREF &quot;GOSTHeading238&quot; \h" w:dirty="true">
            <w:r>
              <w:t>—</w:t>
            </w:r>
          </w:fldSimple>
        </w:p>
        <w:p>
          <w:pPr>
            <w:pStyle w:val="31"/>
          </w:pPr>
          <w:hyperlink w:anchor="GOSTHeading239">
            <w:r>
              <w:t>2.1.4 Обучение, проверка и ввод модели в работу</w:t>
            </w:r>
          </w:hyperlink>
          <w:r>
            <w:tab/>
          </w:r>
          <w:fldSimple w:instr="PAGEREF &quot;GOSTHeading239&quot; \h" w:dirty="true">
            <w:r>
              <w:t>—</w:t>
            </w:r>
          </w:fldSimple>
        </w:p>
        <w:p>
          <w:pPr>
            <w:pStyle w:val="31"/>
          </w:pPr>
          <w:hyperlink w:anchor="GOSTHeading240">
            <w:r>
              <w:t>2.1.5 Алгоритм формирования плана размещения</w:t>
            </w:r>
          </w:hyperlink>
          <w:r>
            <w:tab/>
          </w:r>
          <w:fldSimple w:instr="PAGEREF &quot;GOSTHeading240&quot; \h" w:dirty="true">
            <w:r>
              <w:t>—</w:t>
            </w:r>
          </w:fldSimple>
        </w:p>
        <w:p>
          <w:pPr>
            <w:pStyle w:val="31"/>
          </w:pPr>
          <w:hyperlink w:anchor="GOSTHeading241">
            <w:r>
              <w:t>2.1.6 Объяснение рекомендаций</w:t>
            </w:r>
          </w:hyperlink>
          <w:r>
            <w:tab/>
          </w:r>
          <w:fldSimple w:instr="PAGEREF &quot;GOSTHeading241&quot; \h" w:dirty="true">
            <w:r>
              <w:t>—</w:t>
            </w:r>
          </w:fldSimple>
        </w:p>
        <w:p>
          <w:pPr>
            <w:pStyle w:val="31"/>
          </w:pPr>
          <w:hyperlink w:anchor="GOSTHeading242">
            <w:r>
              <w:t>2.1.7 Протокол безопасного переноса</w:t>
            </w:r>
          </w:hyperlink>
          <w:r>
            <w:tab/>
          </w:r>
          <w:fldSimple w:instr="PAGEREF &quot;GOSTHeading242&quot; \h" w:dirty="true">
            <w:r>
              <w:t>—</w:t>
            </w:r>
          </w:fldSimple>
        </w:p>
        <w:p>
          <w:pPr>
            <w:pStyle w:val="22"/>
          </w:pPr>
          <w:hyperlink w:anchor="GOSTHeading243">
            <w:r>
              <w:t>2.2 Модели процессов</w:t>
            </w:r>
          </w:hyperlink>
          <w:r>
            <w:tab/>
          </w:r>
          <w:fldSimple w:instr="PAGEREF &quot;GOSTHeading243&quot; \h" w:dirty="true">
            <w:r>
              <w:t>—</w:t>
            </w:r>
          </w:fldSimple>
        </w:p>
        <w:p>
          <w:pPr>
            <w:pStyle w:val="31"/>
          </w:pPr>
          <w:hyperlink w:anchor="GOSTHeading244">
            <w:r>
              <w:t>2.2.1 Исходный процесс управления размещением</w:t>
            </w:r>
          </w:hyperlink>
          <w:r>
            <w:tab/>
          </w:r>
          <w:fldSimple w:instr="PAGEREF &quot;GOSTHeading244&quot; \h" w:dirty="true">
            <w:r>
              <w:t>—</w:t>
            </w:r>
          </w:fldSimple>
        </w:p>
        <w:p>
          <w:pPr>
            <w:pStyle w:val="31"/>
          </w:pPr>
          <w:hyperlink w:anchor="GOSTHeading245">
            <w:r>
              <w:t>2.2.2 Проектируемый процесс</w:t>
            </w:r>
          </w:hyperlink>
          <w:r>
            <w:tab/>
          </w:r>
          <w:fldSimple w:instr="PAGEREF &quot;GOSTHeading245&quot; \h" w:dirty="true">
            <w:r>
              <w:t>—</w:t>
            </w:r>
          </w:fldSimple>
        </w:p>
        <w:p>
          <w:pPr>
            <w:pStyle w:val="31"/>
          </w:pPr>
          <w:hyperlink w:anchor="GOSTHeading246">
            <w:r>
              <w:t>2.2.3 Сравнение процессов</w:t>
            </w:r>
          </w:hyperlink>
          <w:r>
            <w:tab/>
          </w:r>
          <w:fldSimple w:instr="PAGEREF &quot;GOSTHeading246&quot; \h" w:dirty="true">
            <w:r>
              <w:t>—</w:t>
            </w:r>
          </w:fldSimple>
        </w:p>
        <w:p>
          <w:pPr>
            <w:pStyle w:val="22"/>
          </w:pPr>
          <w:hyperlink w:anchor="GOSTHeading247">
            <w:r>
              <w:t>2.3 Архитектура системы</w:t>
            </w:r>
          </w:hyperlink>
          <w:r>
            <w:tab/>
          </w:r>
          <w:fldSimple w:instr="PAGEREF &quot;GOSTHeading247&quot; \h" w:dirty="true">
            <w:r>
              <w:t>—</w:t>
            </w:r>
          </w:fldSimple>
        </w:p>
        <w:p>
          <w:pPr>
            <w:pStyle w:val="31"/>
          </w:pPr>
          <w:hyperlink w:anchor="GOSTHeading248">
            <w:r>
              <w:t>2.3.1 Изменения компонентов OpenS3</w:t>
            </w:r>
          </w:hyperlink>
          <w:r>
            <w:tab/>
          </w:r>
          <w:fldSimple w:instr="PAGEREF &quot;GOSTHeading248&quot; \h" w:dirty="true">
            <w:r>
              <w:t>—</w:t>
            </w:r>
          </w:fldSimple>
        </w:p>
        <w:p>
          <w:pPr>
            <w:pStyle w:val="31"/>
          </w:pPr>
          <w:hyperlink w:anchor="GOSTHeading249">
            <w:r>
              <w:t>2.3.2 Компонентная модель</w:t>
            </w:r>
          </w:hyperlink>
          <w:r>
            <w:tab/>
          </w:r>
          <w:fldSimple w:instr="PAGEREF &quot;GOSTHeading249&quot; \h" w:dirty="true">
            <w:r>
              <w:t>—</w:t>
            </w:r>
          </w:fldSimple>
        </w:p>
        <w:p>
          <w:pPr>
            <w:pStyle w:val="31"/>
          </w:pPr>
          <w:hyperlink w:anchor="GOSTHeading250">
            <w:r>
              <w:t>2.3.3 Модель данных</w:t>
            </w:r>
          </w:hyperlink>
          <w:r>
            <w:tab/>
          </w:r>
          <w:fldSimple w:instr="PAGEREF &quot;GOSTHeading250&quot; \h" w:dirty="true">
            <w:r>
              <w:t>—</w:t>
            </w:r>
          </w:fldSimple>
        </w:p>
        <w:p>
          <w:pPr>
            <w:pStyle w:val="31"/>
          </w:pPr>
          <w:hyperlink w:anchor="GOSTHeading251">
            <w:r>
              <w:t>2.3.4 Анализ архитектуры</w:t>
            </w:r>
          </w:hyperlink>
          <w:r>
            <w:tab/>
          </w:r>
          <w:fldSimple w:instr="PAGEREF &quot;GOSTHeading251&quot; \h" w:dirty="true">
            <w:r>
              <w:t>—</w:t>
            </w:r>
          </w:fldSimple>
        </w:p>
        <w:p>
          <w:pPr>
            <w:pStyle w:val="31"/>
          </w:pPr>
          <w:hyperlink w:anchor="GOSTHeading252">
            <w:r>
              <w:t>2.3.5 Соответствие требованиям</w:t>
            </w:r>
          </w:hyperlink>
          <w:r>
            <w:tab/>
          </w:r>
          <w:fldSimple w:instr="PAGEREF &quot;GOSTHeading252&quot; \h" w:dirty="true">
            <w:r>
              <w:t>—</w:t>
            </w:r>
          </w:fldSimple>
        </w:p>
        <w:p>
          <w:pPr>
            <w:pStyle w:val="22"/>
          </w:pPr>
          <w:hyperlink w:anchor="GOSTHeading253">
            <w:r>
              <w:t>2.4 Обоснование инструментов реализации</w:t>
            </w:r>
          </w:hyperlink>
          <w:r>
            <w:tab/>
          </w:r>
          <w:fldSimple w:instr="PAGEREF &quot;GOSTHeading253&quot; \h" w:dirty="true">
            <w:r>
              <w:t>—</w:t>
            </w:r>
          </w:fldSimple>
        </w:p>
        <w:p>
          <w:pPr>
            <w:pStyle w:val="22"/>
          </w:pPr>
          <w:hyperlink w:anchor="GOSTHeading254">
            <w:r>
              <w:t>2.5 Выводы по аналитическому разделу</w:t>
            </w:r>
          </w:hyperlink>
          <w:r>
            <w:tab/>
          </w:r>
          <w:fldSimple w:instr="PAGEREF &quot;GOSTHeading254&quot; \h" w:dirty="true">
            <w:r>
              <w:t>—</w:t>
            </w:r>
          </w:fldSimple>
        </w:p>
        <w:p>
          <w:pPr>
            <w:pStyle w:val="10"/>
          </w:pPr>
          <w:hyperlink w:anchor="GOSTHeading255">
            <w:r>
              <w:t>3 ТЕХНОЛОГИЧЕСКИЙ РАЗДЕЛ</w:t>
            </w:r>
          </w:hyperlink>
          <w:r>
            <w:tab/>
          </w:r>
          <w:fldSimple w:instr="PAGEREF &quot;GOSTHeading255&quot; \h" w:dirty="true">
            <w:r>
              <w:t>—</w:t>
            </w:r>
          </w:fldSimple>
        </w:p>
        <w:p>
          <w:pPr>
            <w:pStyle w:val="22"/>
          </w:pPr>
          <w:hyperlink w:anchor="GOSTHeading256">
            <w:r>
              <w:t>3.1 Описание программной реализации</w:t>
            </w:r>
          </w:hyperlink>
          <w:r>
            <w:tab/>
          </w:r>
          <w:fldSimple w:instr="PAGEREF &quot;GOSTHeading256&quot; \h" w:dirty="true">
            <w:r>
              <w:t>—</w:t>
            </w:r>
          </w:fldSimple>
        </w:p>
        <w:p>
          <w:pPr>
            <w:pStyle w:val="31"/>
          </w:pPr>
          <w:hyperlink w:anchor="GOSTHeading257">
            <w:r>
              <w:t>3.1.1 Сбор истории обращений</w:t>
            </w:r>
          </w:hyperlink>
          <w:r>
            <w:tab/>
          </w:r>
          <w:fldSimple w:instr="PAGEREF &quot;GOSTHeading257&quot; \h" w:dirty="true">
            <w:r>
              <w:t>—</w:t>
            </w:r>
          </w:fldSimple>
        </w:p>
        <w:p>
          <w:pPr>
            <w:pStyle w:val="31"/>
          </w:pPr>
          <w:hyperlink w:anchor="GOSTHeading258">
            <w:r>
              <w:t>3.1.2 Планирование и исполнение переноса</w:t>
            </w:r>
          </w:hyperlink>
          <w:r>
            <w:tab/>
          </w:r>
          <w:fldSimple w:instr="PAGEREF &quot;GOSTHeading258&quot; \h" w:dirty="true">
            <w:r>
              <w:t>—</w:t>
            </w:r>
          </w:fldSimple>
        </w:p>
        <w:p>
          <w:pPr>
            <w:pStyle w:val="31"/>
          </w:pPr>
          <w:hyperlink w:anchor="GOSTHeading259">
            <w:r>
              <w:t>3.1.3 Управление и журналирование</w:t>
            </w:r>
          </w:hyperlink>
          <w:r>
            <w:tab/>
          </w:r>
          <w:fldSimple w:instr="PAGEREF &quot;GOSTHeading259&quot; \h" w:dirty="true">
            <w:r>
              <w:t>—</w:t>
            </w:r>
          </w:fldSimple>
        </w:p>
        <w:p>
          <w:pPr>
            <w:pStyle w:val="22"/>
          </w:pPr>
          <w:hyperlink w:anchor="GOSTHeading260">
            <w:r>
              <w:t>3.2 Подготовка данных и встраивание модели</w:t>
            </w:r>
          </w:hyperlink>
          <w:r>
            <w:tab/>
          </w:r>
          <w:fldSimple w:instr="PAGEREF &quot;GOSTHeading260&quot; \h" w:dirty="true">
            <w:r>
              <w:t>—</w:t>
            </w:r>
          </w:fldSimple>
        </w:p>
        <w:p>
          <w:pPr>
            <w:pStyle w:val="31"/>
          </w:pPr>
          <w:hyperlink w:anchor="GOSTHeading261">
            <w:r>
              <w:t>3.2.1 Источники и подготовка данных</w:t>
            </w:r>
          </w:hyperlink>
          <w:r>
            <w:tab/>
          </w:r>
          <w:fldSimple w:instr="PAGEREF &quot;GOSTHeading261&quot; \h" w:dirty="true">
            <w:r>
              <w:t>—</w:t>
            </w:r>
          </w:fldSimple>
        </w:p>
        <w:p>
          <w:pPr>
            <w:pStyle w:val="31"/>
          </w:pPr>
          <w:hyperlink w:anchor="GOSTHeading262">
            <w:r>
              <w:t>3.2.2 Признаки, метки и разделение выборки</w:t>
            </w:r>
          </w:hyperlink>
          <w:r>
            <w:tab/>
          </w:r>
          <w:fldSimple w:instr="PAGEREF &quot;GOSTHeading262&quot; \h" w:dirty="true">
            <w:r>
              <w:t>—</w:t>
            </w:r>
          </w:fldSimple>
        </w:p>
        <w:p>
          <w:pPr>
            <w:pStyle w:val="31"/>
          </w:pPr>
          <w:hyperlink w:anchor="GOSTHeading263">
            <w:r>
              <w:t>3.2.3 Обучение и ввод модели</w:t>
            </w:r>
          </w:hyperlink>
          <w:r>
            <w:tab/>
          </w:r>
          <w:fldSimple w:instr="PAGEREF &quot;GOSTHeading263&quot; \h" w:dirty="true">
            <w:r>
              <w:t>—</w:t>
            </w:r>
          </w:fldSimple>
        </w:p>
        <w:p>
          <w:pPr>
            <w:pStyle w:val="22"/>
          </w:pPr>
          <w:hyperlink w:anchor="GOSTHeading264">
            <w:r>
              <w:t>3.3 Тестирование программного обеспечения</w:t>
            </w:r>
          </w:hyperlink>
          <w:r>
            <w:tab/>
          </w:r>
          <w:fldSimple w:instr="PAGEREF &quot;GOSTHeading264&quot; \h" w:dirty="true">
            <w:r>
              <w:t>—</w:t>
            </w:r>
          </w:fldSimple>
        </w:p>
        <w:p>
          <w:pPr>
            <w:pStyle w:val="31"/>
          </w:pPr>
          <w:hyperlink w:anchor="GOSTHeading265">
            <w:r>
              <w:t>3.3.1 Проверка истории и данных</w:t>
            </w:r>
          </w:hyperlink>
          <w:r>
            <w:tab/>
          </w:r>
          <w:fldSimple w:instr="PAGEREF &quot;GOSTHeading265&quot; \h" w:dirty="true">
            <w:r>
              <w:t>—</w:t>
            </w:r>
          </w:fldSimple>
        </w:p>
        <w:p>
          <w:pPr>
            <w:pStyle w:val="31"/>
          </w:pPr>
          <w:hyperlink w:anchor="GOSTHeading266">
            <w:r>
              <w:t>3.3.2 Проверка сохранности</w:t>
            </w:r>
          </w:hyperlink>
          <w:r>
            <w:tab/>
          </w:r>
          <w:fldSimple w:instr="PAGEREF &quot;GOSTHeading266&quot; \h" w:dirty="true">
            <w:r>
              <w:t>—</w:t>
            </w:r>
          </w:fldSimple>
        </w:p>
        <w:p>
          <w:pPr>
            <w:pStyle w:val="31"/>
          </w:pPr>
          <w:hyperlink w:anchor="GOSTHeading267">
            <w:r>
              <w:t>3.3.3 Проверка управления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spacing w:before="0" w:after="0" w:line="1" w:lineRule="exact"/>
          </w:pPr>
          <w:r>
            <w:fldChar w:fldCharType="end"/>
          </w:r>
        </w:p>
      </w:sdtContent>
    </w:sdt>
    <w:bookmarkStart w:id="25" w:name="введение"/>
    <w:p>
      <w:pPr>
        <w:pStyle w:val="GOSTStructuralHeading"/>
      </w:pPr>
      <w:bookmarkStart w:id="209" w:name="GOSTHeading209"/>
      <w:r>
        <w:t xml:space="preserve">ВВЕДЕНИЕ</w:t>
      </w:r>
      <w:bookmarkEnd w:id="209"/>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0" w:name="GOSTHeading210"/>
      <w:r>
        <w:t xml:space="preserve">ЛИТЕРАТУРНЫЙ ОБЗОР</w:t>
      </w:r>
      <w:bookmarkEnd w:id="210"/>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1" w:name="GOSTHeading211"/>
      <w:r>
        <w:t xml:space="preserve">1 ИССЛЕДОВАТЕЛЬСКИЙ РАЗДЕЛ</w:t>
      </w:r>
      <w:bookmarkEnd w:id="211"/>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2" w:name="GOSTHeading212"/>
      <w:r>
        <w:t xml:space="preserve">1.1 Анализ предметной области</w:t>
      </w:r>
      <w:bookmarkEnd w:id="212"/>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213" w:name="GOSTHeading213"/>
      <w:r>
        <w:t xml:space="preserve">1.1.1 Предметная область и участники процесса</w:t>
      </w:r>
      <w:bookmarkEnd w:id="213"/>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4" w:name="GOSTHeading214"/>
      <w:r>
        <w:t xml:space="preserve">1.1.2 Объектная модель и единица размещения</w:t>
      </w:r>
      <w:bookmarkEnd w:id="214"/>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5" w:name="GOSTHeading215"/>
      <w:r>
        <w:t xml:space="preserve">1.1.3 Классы хранения и характеристики ресурсов</w:t>
      </w:r>
      <w:bookmarkEnd w:id="215"/>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6" w:name="GOSTHeading216"/>
      <w:r>
        <w:t xml:space="preserve">1.1.4 Востребованность и история обращений</w:t>
      </w:r>
      <w:bookmarkEnd w:id="216"/>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17" w:name="GOSTHeading217"/>
      <w:r>
        <w:t xml:space="preserve">1.1.5 Способы управления размещением</w:t>
      </w:r>
      <w:bookmarkEnd w:id="217"/>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18" w:name="GOSTHeading218"/>
      <w:r>
        <w:t xml:space="preserve">1.1.6 Ресурсные ограничения и затраты</w:t>
      </w:r>
      <w:bookmarkEnd w:id="218"/>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19" w:name="GOSTHeading219"/>
      <w:r>
        <w:t xml:space="preserve">1.1.7 Согласованность и безопасное перемещение</w:t>
      </w:r>
      <w:bookmarkEnd w:id="219"/>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0" w:name="GOSTHeading220"/>
      <w:r>
        <w:t xml:space="preserve">1.1.8 Источники данных и условия исследования</w:t>
      </w:r>
      <w:bookmarkEnd w:id="220"/>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1" w:name="GOSTHeading221"/>
      <w:r>
        <w:t xml:space="preserve">1.2 Анализ существующих решений</w:t>
      </w:r>
      <w:bookmarkEnd w:id="221"/>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2" w:name="GOSTHeading222"/>
      <w:r>
        <w:t xml:space="preserve">1.2.1 Анализ критериев</w:t>
      </w:r>
      <w:bookmarkEnd w:id="222"/>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3" w:name="GOSTHeading223"/>
      <w:r>
        <w:t xml:space="preserve">1.2.2 Обзор аналогов</w:t>
      </w:r>
      <w:bookmarkEnd w:id="223"/>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4" w:name="GOSTHeading224"/>
      <w:r>
        <w:t xml:space="preserve">1.2.3 Сопоставление аналогов</w:t>
      </w:r>
      <w:bookmarkEnd w:id="224"/>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5" w:name="GOSTHeading225"/>
      <w:r>
        <w:t xml:space="preserve">1.3 Требования к разрабатываемой системе</w:t>
      </w:r>
      <w:bookmarkEnd w:id="225"/>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226" w:name="GOSTHeading226"/>
      <w:r>
        <w:t xml:space="preserve">1.3.1 Назначение и границы разрабатываемого расширения</w:t>
      </w:r>
      <w:bookmarkEnd w:id="226"/>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27" w:name="GOSTHeading227"/>
      <w:r>
        <w:t xml:space="preserve">1.3.2 Требования к выполняемым функциям</w:t>
      </w:r>
      <w:bookmarkEnd w:id="227"/>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28" w:name="GOSTHeading228"/>
      <w:r>
        <w:t xml:space="preserve">1.3.3 Требования к надёжности и сохранности данных</w:t>
      </w:r>
      <w:bookmarkEnd w:id="228"/>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29" w:name="GOSTHeading229"/>
      <w:r>
        <w:t xml:space="preserve">1.3.4 Требования к доступу и интерфейсу администратора</w:t>
      </w:r>
      <w:bookmarkEnd w:id="229"/>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0" w:name="GOSTHeading230"/>
      <w:r>
        <w:t xml:space="preserve">1.3.5 Требования к ресурсам, совместимости и контролю выполнения</w:t>
      </w:r>
      <w:bookmarkEnd w:id="230"/>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1" w:name="GOSTHeading231"/>
      <w:r>
        <w:t xml:space="preserve">1.3.6 Требования к жизненному циклу модели</w:t>
      </w:r>
      <w:bookmarkEnd w:id="231"/>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2" w:name="GOSTHeading232"/>
      <w:r>
        <w:t xml:space="preserve">1.3.7 Требования к проверке эффективности и минимальному результату</w:t>
      </w:r>
      <w:bookmarkEnd w:id="232"/>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3" w:name="GOSTHeading233"/>
      <w:r>
        <w:t xml:space="preserve">1.4 Выводы по исследовательскому разделу</w:t>
      </w:r>
      <w:bookmarkEnd w:id="233"/>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4" w:name="GOSTHeading234"/>
      <w:r>
        <w:t xml:space="preserve">2 АНАЛИТИЧЕСКИЙ РАЗДЕЛ</w:t>
      </w:r>
      <w:bookmarkEnd w:id="234"/>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5" w:name="GOSTHeading235"/>
      <w:r>
        <w:t xml:space="preserve">2.1 Математическое и алгоритмическое обеспечение</w:t>
      </w:r>
      <w:bookmarkEnd w:id="235"/>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6" w:name="GOSTHeading236"/>
      <w:r>
        <w:t xml:space="preserve">2.1.1 Постановка задачи размещения</w:t>
      </w:r>
      <w:bookmarkEnd w:id="236"/>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37" w:name="GOSTHeading237"/>
      <w:r>
        <w:t xml:space="preserve">2.1.2 Модель прогнозирования востребованности</w:t>
      </w:r>
      <w:bookmarkEnd w:id="237"/>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38" w:name="GOSTHeading238"/>
      <w:r>
        <w:t xml:space="preserve">2.1.3 Обработка данных и формирование обучающих примеров</w:t>
      </w:r>
      <w:bookmarkEnd w:id="238"/>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39" w:name="GOSTHeading239"/>
      <w:r>
        <w:t xml:space="preserve">2.1.4 Обучение, проверка и ввод модели в работу</w:t>
      </w:r>
      <w:bookmarkEnd w:id="239"/>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0" w:name="GOSTHeading240"/>
      <w:r>
        <w:t xml:space="preserve">2.1.5 Алгоритм формирования плана размещения</w:t>
      </w:r>
      <w:bookmarkEnd w:id="240"/>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1" w:name="GOSTHeading241"/>
      <w:r>
        <w:t xml:space="preserve">2.1.6 Объяснение рекомендаций</w:t>
      </w:r>
      <w:bookmarkEnd w:id="241"/>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2" w:name="GOSTHeading242"/>
      <w:r>
        <w:t xml:space="preserve">2.1.7 Протокол безопасного переноса</w:t>
      </w:r>
      <w:bookmarkEnd w:id="242"/>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3" w:name="GOSTHeading243"/>
      <w:r>
        <w:t xml:space="preserve">2.2 Модели процессов</w:t>
      </w:r>
      <w:bookmarkEnd w:id="243"/>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4" w:name="GOSTHeading244"/>
      <w:r>
        <w:t xml:space="preserve">2.2.1 Исходный процесс управления размещением</w:t>
      </w:r>
      <w:bookmarkEnd w:id="244"/>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5" w:name="GOSTHeading245"/>
      <w:r>
        <w:t xml:space="preserve">2.2.2 Проектируемый процесс</w:t>
      </w:r>
      <w:bookmarkEnd w:id="245"/>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6" w:name="GOSTHeading246"/>
      <w:r>
        <w:t xml:space="preserve">2.2.3 Сравнение процессов</w:t>
      </w:r>
      <w:bookmarkEnd w:id="246"/>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47" w:name="GOSTHeading247"/>
      <w:r>
        <w:t xml:space="preserve">2.3 Архитектура системы</w:t>
      </w:r>
      <w:bookmarkEnd w:id="247"/>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48" w:name="GOSTHeading248"/>
      <w:r>
        <w:t xml:space="preserve">2.3.1 Изменения компонентов OpenS3</w:t>
      </w:r>
      <w:bookmarkEnd w:id="248"/>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49" w:name="GOSTHeading249"/>
      <w:r>
        <w:t xml:space="preserve">2.3.2 Компонентная модель</w:t>
      </w:r>
      <w:bookmarkEnd w:id="249"/>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0" w:name="GOSTHeading250"/>
      <w:r>
        <w:t xml:space="preserve">2.3.3 Модель данных</w:t>
      </w:r>
      <w:bookmarkEnd w:id="250"/>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1" w:name="GOSTHeading251"/>
      <w:r>
        <w:t xml:space="preserve">2.3.4 Анализ архитектуры</w:t>
      </w:r>
      <w:bookmarkEnd w:id="251"/>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2" w:name="GOSTHeading252"/>
      <w:r>
        <w:t xml:space="preserve">2.3.5 Соответствие требованиям</w:t>
      </w:r>
      <w:bookmarkEnd w:id="252"/>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3" w:name="GOSTHeading253"/>
      <w:r>
        <w:t xml:space="preserve">2.4 Обоснование инструментов реализации</w:t>
      </w:r>
      <w:bookmarkEnd w:id="253"/>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протокол удалённого вызова процедур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система управления базами данных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54" w:name="GOSTHeading254"/>
      <w:r>
        <w:t xml:space="preserve">2.5 Выводы по аналитическому разделу</w:t>
      </w:r>
      <w:bookmarkEnd w:id="254"/>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9" w:name="технологический-раздел"/>
    <w:p>
      <w:pPr>
        <w:pStyle w:val="1"/>
      </w:pPr>
      <w:bookmarkStart w:id="255" w:name="GOSTHeading255"/>
      <w:r>
        <w:t xml:space="preserve">3 ТЕХНОЛОГИЧЕСКИЙ РАЗДЕЛ</w:t>
      </w:r>
      <w:bookmarkEnd w:id="255"/>
    </w:p>
    <w:p>
      <w:pPr>
        <w:pStyle w:val="FirstParagraph"/>
      </w:pPr>
      <w:r>
        <w:t xml:space="preserve">В разделе описаны реализация СППР, подготовка модели и результаты проверки требований. Завершает раздел порядок работы администратора. Связь с проектом задают функциональные требования из Таблицы 1.4, архитектура на Рисунке 2.6 и протокол переноса на Рисунке 2.3.</w:t>
      </w:r>
    </w:p>
    <w:p>
      <w:pPr>
        <w:pStyle w:val="a2"/>
      </w:pPr>
      <w:r>
        <w:t xml:space="preserve">Жёлтым фоном отмечены проверки, для которых требуется завершённый протокол. Для остальных результатов указаны условия получения: симуляция, оценка прогноза на трассах или испытание работающих сервисов.</w:t>
      </w:r>
    </w:p>
    <w:bookmarkStart w:id="111" w:name="описание-программной-реализации"/>
    <w:p>
      <w:pPr>
        <w:pStyle w:val="21"/>
      </w:pPr>
      <w:bookmarkStart w:id="256" w:name="GOSTHeading256"/>
      <w:r>
        <w:t xml:space="preserve">3.1 Описание программной реализации</w:t>
      </w:r>
      <w:bookmarkEnd w:id="256"/>
    </w:p>
    <w:p>
      <w:pPr>
        <w:pStyle w:val="FirstParagraph"/>
      </w:pPr>
      <w:r>
        <w:t xml:space="preserve">Разработка велась инкрементно: от сбора истории и безопасного переноса к рекомендациям, управлению и обновлению модели. Каждый инкремент сопровождался модульными, интеграционными и сквозными проверками. Проверяется бета-версия СППР; незавершённые приёмочные испытания отмечены в таблицах результатов.</w:t>
      </w:r>
    </w:p>
    <w:p>
      <w:pPr>
        <w:pStyle w:val="a2"/>
      </w:pPr>
      <w:r>
        <w:t xml:space="preserve">Gateway обслуживает клиентские операции и публикует события, Metadata хранит расположение версий, Storage предоставляет классы HOT и COLD. Сервис СППР принимает историю, рассчитывает рекомендации и исполняет подтверждённые переносы. Модель обучает пакет</w:t>
      </w:r>
      <w:r>
        <w:t xml:space="preserve"> </w:t>
      </w:r>
      <w:r>
        <w:rPr>
          <w:i/>
          <w:iCs/>
        </w:rPr>
        <w:t xml:space="preserve">sppr_ml</w:t>
      </w:r>
      <w:r>
        <w:t xml:space="preserve"> </w:t>
      </w:r>
      <w:r>
        <w:t xml:space="preserve">на Python, прогноз вычисляется в Go. Обучение запускается внутри контейнера СППР и использует общую ресурсную квоту.</w:t>
      </w:r>
    </w:p>
    <w:p>
      <w:pPr>
        <w:pStyle w:val="a2"/>
      </w:pPr>
      <w:r>
        <w:t xml:space="preserve">Таблица 3.1 связывает требования с основными структурами и проверками. Обозначения D, M и C относятся к тестовым случаям Раздела 3.3.</w:t>
      </w:r>
    </w:p>
    <w:bookmarkStart w:id="106" w:name="gost-tbl:implementation_traceability"/>
    <w:p>
      <w:pPr>
        <w:pStyle w:val="TableCaption"/>
      </w:pPr>
      <w:r>
        <w:t xml:space="preserve">Таблица 3.1 – Соответствие требований реализации и проверкам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Соответствие требований реализации и проверкам"/>
      </w:tblPr>
      <w:tblGrid>
        <w:gridCol w:w="1698"/>
        <w:gridCol w:w="6133"/>
        <w:gridCol w:w="1807"/>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6133" w:type="dxa"/>
          </w:tcPr>
          <w:p>
            <w:pPr>
              <w:pStyle w:val="Compact"/>
              <w:keepNext w:val="0"/>
              <w:pageBreakBefore w:val="0"/>
              <w:suppressAutoHyphens w:val="1"/>
              <w:spacing w:before="0" w:after="0" w:line="240" w:lineRule="auto"/>
              <w:ind w:firstLine="0" w:left="0" w:right="0"/>
              <w:jc w:val="center"/>
            </w:pPr>
            <w:r>
              <w:rPr>
                <w:b w:val="1"/>
                <w:sz w:val="24"/>
                <w:szCs w:val="24"/>
              </w:rPr>
              <w:t xml:space="preserve">Основные структуры и назначение</w:t>
            </w:r>
          </w:p>
        </w:tc>
        <w:tc>
          <w:tcPr>
            <w:tcW w:w="180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Проверки</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ProduceObjectRead</w:t>
            </w:r>
            <w:r>
              <w:rPr>
                <w:sz w:val="24"/>
                <w:szCs w:val="24"/>
              </w:rPr>
              <w:t xml:space="preserve">,</w:t>
            </w:r>
            <w:r>
              <w:rPr>
                <w:sz w:val="24"/>
                <w:szCs w:val="24"/>
              </w:rPr>
              <w:t xml:space="preserve"> </w:t>
            </w:r>
            <w:r>
              <w:rPr>
                <w:i/>
                <w:iCs/>
                <w:sz w:val="24"/>
                <w:szCs w:val="24"/>
              </w:rPr>
              <w:t xml:space="preserve">ingestor.Ingest</w:t>
            </w:r>
            <w:r>
              <w:rPr>
                <w:sz w:val="24"/>
                <w:szCs w:val="24"/>
              </w:rPr>
              <w:t xml:space="preserve">,</w:t>
            </w:r>
            <w:r>
              <w:rPr>
                <w:sz w:val="24"/>
                <w:szCs w:val="24"/>
              </w:rPr>
              <w:t xml:space="preserve"> </w:t>
            </w:r>
            <w:r>
              <w:rPr>
                <w:i/>
                <w:iCs/>
                <w:sz w:val="24"/>
                <w:szCs w:val="24"/>
              </w:rPr>
              <w:t xml:space="preserve">repo.Store</w:t>
            </w:r>
            <w:r>
              <w:rPr>
                <w:sz w:val="24"/>
                <w:szCs w:val="24"/>
              </w:rPr>
              <w:t xml:space="preserve">: приём и однократный учёт чтений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D-01, D-02, D-05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F-08</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placementService</w:t>
            </w:r>
            <w:r>
              <w:rPr>
                <w:sz w:val="24"/>
                <w:szCs w:val="24"/>
              </w:rPr>
              <w:t xml:space="preserve">: каталог, проверка расположения и резервирование места</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 M-02, M-04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builder.Build</w:t>
            </w:r>
            <w:r>
              <w:rPr>
                <w:sz w:val="24"/>
                <w:szCs w:val="24"/>
              </w:rPr>
              <w:t xml:space="preserve">,</w:t>
            </w:r>
            <w:r>
              <w:rPr>
                <w:sz w:val="24"/>
                <w:szCs w:val="24"/>
              </w:rPr>
              <w:t xml:space="preserve"> </w:t>
            </w:r>
            <w:r>
              <w:rPr>
                <w:i/>
                <w:iCs/>
                <w:sz w:val="24"/>
                <w:szCs w:val="24"/>
              </w:rPr>
              <w:t xml:space="preserve">dataset.Rows</w:t>
            </w:r>
            <w:r>
              <w:rPr>
                <w:sz w:val="24"/>
                <w:szCs w:val="24"/>
              </w:rPr>
              <w:t xml:space="preserve">: признаки, качество истории и метки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D-03, D-04, D-06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sppr_ml.model.fit</w:t>
            </w:r>
            <w:r>
              <w:rPr>
                <w:sz w:val="24"/>
                <w:szCs w:val="24"/>
              </w:rPr>
              <w:t xml:space="preserve">,</w:t>
            </w:r>
            <w:r>
              <w:rPr>
                <w:sz w:val="24"/>
                <w:szCs w:val="24"/>
              </w:rPr>
              <w:t xml:space="preserve"> </w:t>
            </w:r>
            <w:r>
              <w:rPr>
                <w:i/>
                <w:iCs/>
                <w:sz w:val="24"/>
                <w:szCs w:val="24"/>
              </w:rPr>
              <w:t xml:space="preserve">Manager</w:t>
            </w:r>
            <w:r>
              <w:rPr>
                <w:sz w:val="24"/>
                <w:szCs w:val="24"/>
              </w:rPr>
              <w:t xml:space="preserve">,</w:t>
            </w:r>
            <w:r>
              <w:rPr>
                <w:sz w:val="24"/>
                <w:szCs w:val="24"/>
              </w:rPr>
              <w:t xml:space="preserve"> </w:t>
            </w:r>
            <w:r>
              <w:rPr>
                <w:i/>
                <w:iCs/>
                <w:sz w:val="24"/>
                <w:szCs w:val="24"/>
              </w:rPr>
              <w:t xml:space="preserve">ewma.Predict</w:t>
            </w:r>
            <w:r>
              <w:rPr>
                <w:sz w:val="24"/>
                <w:szCs w:val="24"/>
              </w:rPr>
              <w:t xml:space="preserve">: обучение, ввод модели и базовый прогноз</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C-05, C-06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planner.Build</w:t>
            </w:r>
            <w:r>
              <w:rPr>
                <w:sz w:val="24"/>
                <w:szCs w:val="24"/>
              </w:rPr>
              <w:t xml:space="preserve">: допустимый план с зависимостями и объяснениями</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C-01, C-02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plannerService.Execute</w:t>
            </w:r>
            <w:r>
              <w:rPr>
                <w:sz w:val="24"/>
                <w:szCs w:val="24"/>
              </w:rPr>
              <w:t xml:space="preserve">: команды администратора и журнал</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C-02–C-04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6133" w:type="dxa"/>
          </w:tcPr>
          <w:p>
            <w:pPr>
              <w:pStyle w:val="Compact"/>
              <w:keepNext w:val="0"/>
              <w:pageBreakBefore w:val="0"/>
              <w:suppressAutoHyphens w:val="1"/>
              <w:spacing w:before="0" w:after="0" w:line="240" w:lineRule="auto"/>
              <w:ind w:firstLine="0" w:left="0" w:right="0"/>
              <w:jc w:val="both"/>
            </w:pPr>
            <w:r>
              <w:rPr>
                <w:i/>
                <w:iCs/>
                <w:sz w:val="24"/>
                <w:szCs w:val="24"/>
              </w:rPr>
              <w:t xml:space="preserve">executor</w:t>
            </w:r>
            <w:r>
              <w:rPr>
                <w:sz w:val="24"/>
                <w:szCs w:val="24"/>
              </w:rPr>
              <w:t xml:space="preserve">,</w:t>
            </w:r>
            <w:r>
              <w:rPr>
                <w:sz w:val="24"/>
                <w:szCs w:val="24"/>
              </w:rPr>
              <w:t xml:space="preserve"> </w:t>
            </w:r>
            <w:r>
              <w:rPr>
                <w:i/>
                <w:iCs/>
                <w:sz w:val="24"/>
                <w:szCs w:val="24"/>
              </w:rPr>
              <w:t xml:space="preserve">cleanup.Step</w:t>
            </w:r>
            <w:r>
              <w:rPr>
                <w:sz w:val="24"/>
                <w:szCs w:val="24"/>
              </w:rPr>
              <w:t xml:space="preserve">: перенос, восстановление и очистка копий</w:t>
            </w:r>
          </w:p>
        </w:tc>
        <w:tc>
          <w:tcPr>
            <w:tcW w:w="1807" w:type="dxa"/>
          </w:tcPr>
          <w:p>
            <w:pPr>
              <w:pStyle w:val="Compact"/>
              <w:keepNext w:val="0"/>
              <w:pageBreakBefore w:val="0"/>
              <w:suppressAutoHyphens w:val="1"/>
              <w:spacing w:before="0" w:after="0" w:line="240" w:lineRule="auto"/>
              <w:ind w:firstLine="0" w:left="0" w:right="0"/>
              <w:jc w:val="both"/>
            </w:pPr>
            <w:r>
              <w:rPr>
                <w:sz w:val="24"/>
                <w:szCs w:val="24"/>
              </w:rPr>
              <w:t xml:space="preserve">M-01–M-06</w:t>
            </w:r>
          </w:p>
        </w:tc>
      </w:tr>
    </w:tbl>
    <w:bookmarkEnd w:id="106"/>
    <w:bookmarkStart w:id="107" w:name="сбор-истории-обращений"/>
    <w:p>
      <w:pPr>
        <w:pStyle w:val="30"/>
        <w:spacing w:before="480"/>
      </w:pPr>
      <w:bookmarkStart w:id="257" w:name="GOSTHeading257"/>
      <w:r>
        <w:t xml:space="preserve">3.1.1 Сбор истории обращений</w:t>
      </w:r>
      <w:bookmarkEnd w:id="257"/>
    </w:p>
    <w:p>
      <w:pPr>
        <w:pStyle w:val="FirstParagraph"/>
      </w:pPr>
      <w:r>
        <w:t xml:space="preserve">Метод</w:t>
      </w:r>
      <w:r>
        <w:t xml:space="preserve"> </w:t>
      </w:r>
      <w:r>
        <w:rPr>
          <w:i/>
          <w:iCs/>
        </w:rPr>
        <w:t xml:space="preserve">accessProducerService.ProduceObjectRead</w:t>
      </w:r>
      <w:r>
        <w:t xml:space="preserve"> </w:t>
      </w:r>
      <w:r>
        <w:t xml:space="preserve">(</w:t>
      </w:r>
      <w:r>
        <w:rPr>
          <w:rStyle w:val="VerbatimChar"/>
        </w:rPr>
        <w:t xml:space="preserve">services/gateway/internal/service/producer/access/object_read.go</w:t>
      </w:r>
      <w:r>
        <w:t xml:space="preserve">) создаёт событие после открытия потока чтения Storage. Спросом считается успешно начатое клиентское чтение: обрыв последующей передачи также учитывается, а объём равен запрошенной длине. HEAD и технические копирования спрос не увеличивают. Результаты неуспешных операций не регистрируются, поэтому F-01 выполнено частично.</w:t>
      </w:r>
    </w:p>
    <w:p>
      <w:pPr>
        <w:pStyle w:val="a2"/>
      </w:pPr>
      <w:r>
        <w:t xml:space="preserve">Метод</w:t>
      </w:r>
      <w:r>
        <w:t xml:space="preserve"> </w:t>
      </w:r>
      <w:r>
        <w:rPr>
          <w:i/>
          <w:iCs/>
        </w:rPr>
        <w:t xml:space="preserve">ingestor.Ingest</w:t>
      </w:r>
      <w:r>
        <w:t xml:space="preserve"> </w:t>
      </w:r>
      <w:r>
        <w:t xml:space="preserve">проверяет событие, а</w:t>
      </w:r>
      <w:r>
        <w:t xml:space="preserve"> </w:t>
      </w:r>
      <w:r>
        <w:rPr>
          <w:i/>
          <w:iCs/>
        </w:rPr>
        <w:t xml:space="preserve">repo.Store</w:t>
      </w:r>
      <w:r>
        <w:t xml:space="preserve"> </w:t>
      </w:r>
      <w:r>
        <w:t xml:space="preserve">сохраняет его вместе с минутным агрегатом в одной транзакции (</w:t>
      </w:r>
      <w:r>
        <w:rPr>
          <w:rStyle w:val="VerbatimChar"/>
        </w:rPr>
        <w:t xml:space="preserve">services/sppr/internal/service/ingestor/</w:t>
      </w:r>
      <w:r>
        <w:t xml:space="preserve">,</w:t>
      </w:r>
      <w:r>
        <w:t xml:space="preserve"> </w:t>
      </w:r>
      <w:r>
        <w:rPr>
          <w:rStyle w:val="VerbatimChar"/>
        </w:rPr>
        <w:t xml:space="preserve">internal/repository/event/</w:t>
      </w:r>
      <w:r>
        <w:t xml:space="preserve">). Смещение Kafka подтверждается после фиксации транзакции; повторная доставка не увеличивает спрос. Последовательные номера и служебные сообщения о состоянии потока (heartbeat) позволяют обнаружить пропуски, включая потерянный хвост потока. Метод</w:t>
      </w:r>
      <w:r>
        <w:t xml:space="preserve"> </w:t>
      </w:r>
      <w:r>
        <w:rPr>
          <w:i/>
          <w:iCs/>
        </w:rPr>
        <w:t xml:space="preserve">repo.Coverage</w:t>
      </w:r>
      <w:r>
        <w:t xml:space="preserve"> </w:t>
      </w:r>
      <w:r>
        <w:t xml:space="preserve">определяет границу полноты W: данные после неё не используются. При неполной или устаревшей истории прогнозные рекомендации приостанавливаются. Это реализует подготовку исходных данных для модели на Рисунке 2.1.</w:t>
      </w:r>
    </w:p>
    <w:bookmarkEnd w:id="107"/>
    <w:bookmarkStart w:id="108" w:name="планирование-и-исполнение-переноса"/>
    <w:p>
      <w:pPr>
        <w:pStyle w:val="30"/>
      </w:pPr>
      <w:bookmarkStart w:id="258" w:name="GOSTHeading258"/>
      <w:r>
        <w:t xml:space="preserve">3.1.2 Планирование и исполнение переноса</w:t>
      </w:r>
      <w:bookmarkEnd w:id="258"/>
    </w:p>
    <w:p>
      <w:pPr>
        <w:pStyle w:val="FirstParagraph"/>
      </w:pPr>
      <w:r>
        <w:t xml:space="preserve">Функция</w:t>
      </w:r>
      <w:r>
        <w:t xml:space="preserve"> </w:t>
      </w:r>
      <w:r>
        <w:rPr>
          <w:i/>
          <w:iCs/>
        </w:rPr>
        <w:t xml:space="preserve">planner.Build</w:t>
      </w:r>
      <w:r>
        <w:t xml:space="preserve"> </w:t>
      </w:r>
      <w:r>
        <w:t xml:space="preserve">(</w:t>
      </w:r>
      <w:r>
        <w:rPr>
          <w:rStyle w:val="VerbatimChar"/>
        </w:rPr>
        <w:t xml:space="preserve">services/sppr/internal/service/planner/build.go</w:t>
      </w:r>
      <w:r>
        <w:t xml:space="preserve">) реализует алгоритм на Рисунке 2.2. По прогнозам и снимку ресурсов она формирует план с учётом ёмкости, временных копий, бюджета, закреплений и интервала повторного переноса. Объяснение содержит прогноз, ожидаемый выигрыш, затраты и причины отклонения. Если для входа в HOT требуется вытеснение, действия связываются зависимостью. Жадный алгоритм обеспечивает допустимость плана, но не гарантирует глобальный оптимум; его сравнение с точным перебором включено в C-01.</w:t>
      </w:r>
    </w:p>
    <w:p>
      <w:pPr>
        <w:pStyle w:val="a2"/>
      </w:pPr>
      <w:r>
        <w:t xml:space="preserve">Структура</w:t>
      </w:r>
      <w:r>
        <w:t xml:space="preserve"> </w:t>
      </w:r>
      <w:r>
        <w:rPr>
          <w:i/>
          <w:iCs/>
        </w:rPr>
        <w:t xml:space="preserve">executor</w:t>
      </w:r>
      <w:r>
        <w:t xml:space="preserve"> </w:t>
      </w:r>
      <w:r>
        <w:t xml:space="preserve">(</w:t>
      </w:r>
      <w:r>
        <w:rPr>
          <w:rStyle w:val="VerbatimChar"/>
        </w:rPr>
        <w:t xml:space="preserve">services/sppr/internal/service/executor/</w:t>
      </w:r>
      <w:r>
        <w:t xml:space="preserve">) выполняет подтверждённый план по протоколу на Рисунке 2.3. Перед копированием</w:t>
      </w:r>
      <w:r>
        <w:t xml:space="preserve"> </w:t>
      </w:r>
      <w:r>
        <w:rPr>
          <w:i/>
          <w:iCs/>
        </w:rPr>
        <w:t xml:space="preserve">placementService.ReserveCopy</w:t>
      </w:r>
      <w:r>
        <w:t xml:space="preserve"> </w:t>
      </w:r>
      <w:r>
        <w:t xml:space="preserve">проверяет версию, поколение расположения и место. Копия сверяется по размеру и MD5, после чего</w:t>
      </w:r>
      <w:r>
        <w:t xml:space="preserve"> </w:t>
      </w:r>
      <w:r>
        <w:rPr>
          <w:i/>
          <w:iCs/>
        </w:rPr>
        <w:t xml:space="preserve">SwitchPlacement</w:t>
      </w:r>
      <w:r>
        <w:t xml:space="preserve"> </w:t>
      </w:r>
      <w:r>
        <w:t xml:space="preserve">меняет расположение через CAS. При конфликте поколения или повреждении копии исходное расположение сохраняется. Код Metadata находится в</w:t>
      </w:r>
      <w:r>
        <w:t xml:space="preserve"> </w:t>
      </w:r>
      <w:r>
        <w:rPr>
          <w:rStyle w:val="VerbatimChar"/>
        </w:rPr>
        <w:t xml:space="preserve">services/metadata/internal/service/placement/</w:t>
      </w:r>
      <w:r>
        <w:t xml:space="preserve">.</w:t>
      </w:r>
    </w:p>
    <w:p>
      <w:pPr>
        <w:pStyle w:val="a2"/>
      </w:pPr>
      <w:r>
        <w:t xml:space="preserve">Состояние переноса сохраняется до внешних действий. После перезапуска исполнитель сверяет его с Metadata и продолжает ту же операцию; повтор команды не создаёт вторую миграцию. Функция</w:t>
      </w:r>
      <w:r>
        <w:t xml:space="preserve"> </w:t>
      </w:r>
      <w:r>
        <w:rPr>
          <w:i/>
          <w:iCs/>
        </w:rPr>
        <w:t xml:space="preserve">cleanup.Step</w:t>
      </w:r>
      <w:r>
        <w:t xml:space="preserve"> </w:t>
      </w:r>
      <w:r>
        <w:t xml:space="preserve">удаляет ненужные копии, которые до удаления учитываются в занятости. Задержка удаления источника превышает предельную длительность чтения Gateway, чтобы ранее начатое чтение могло завершиться. Бюджет расходуется в обоих направлениях, включая неуспешные попытки. Текущая реализация допускает превышение окна повторной попыткой не более чем на объём одной попытки; строгое требование отсутствия превышений этим механизмом не обеспечено.</w:t>
      </w:r>
    </w:p>
    <w:bookmarkEnd w:id="108"/>
    <w:bookmarkStart w:id="110" w:name="управление-и-журналирование"/>
    <w:p>
      <w:pPr>
        <w:pStyle w:val="30"/>
      </w:pPr>
      <w:bookmarkStart w:id="259" w:name="GOSTHeading259"/>
      <w:r>
        <w:t xml:space="preserve">3.1.3 Управление и журналирование</w:t>
      </w:r>
      <w:bookmarkEnd w:id="259"/>
    </w:p>
    <w:p>
      <w:pPr>
        <w:pStyle w:val="FirstParagraph"/>
      </w:pPr>
      <w:r>
        <w:t xml:space="preserve">Метод</w:t>
      </w:r>
      <w:r>
        <w:t xml:space="preserve"> </w:t>
      </w:r>
      <w:r>
        <w:rPr>
          <w:i/>
          <w:iCs/>
        </w:rPr>
        <w:t xml:space="preserve">plannerService.Execute</w:t>
      </w:r>
      <w:r>
        <w:t xml:space="preserve"> </w:t>
      </w:r>
      <w:r>
        <w:t xml:space="preserve">(</w:t>
      </w:r>
      <w:r>
        <w:rPr>
          <w:rStyle w:val="VerbatimChar"/>
        </w:rPr>
        <w:t xml:space="preserve">services/sppr/internal/service/planner/commands.go</w:t>
      </w:r>
      <w:r>
        <w:t xml:space="preserve">) обслуживает API и формы веб-страниц. Сервер проверяет токен через Auth и право администратора (ADMIN) через AuthZ. Подтверждается только последняя ревизия плана с необходимыми предшественниками. Команда с тем же идентификатором возвращает прежний результат; изменение её полей вызывает конфликт. Рекомендация, команда и перенос связаны идентификаторами, поэтому решение прослеживается до результата исполнения (модель данных на Рисунке А.1).</w:t>
      </w:r>
    </w:p>
    <w:p>
      <w:pPr>
        <w:pStyle w:val="a2"/>
      </w:pPr>
      <w:r>
        <w:t xml:space="preserve">Основные операции приведены в Таблице 3.2. Принятие команды не требует ожидания копирования: его результат проверяется отдельно. Панель по адресу</w:t>
      </w:r>
      <w:r>
        <w:t xml:space="preserve"> </w:t>
      </w:r>
      <w:r>
        <w:rPr>
          <w:rStyle w:val="VerbatimChar"/>
        </w:rPr>
        <w:t xml:space="preserve">/admin</w:t>
      </w:r>
      <w:r>
        <w:t xml:space="preserve"> </w:t>
      </w:r>
      <w:r>
        <w:t xml:space="preserve">использует тот же сервис команд.</w:t>
      </w:r>
    </w:p>
    <w:bookmarkStart w:id="109" w:name="gost-tbl:admin_api"/>
    <w:p>
      <w:pPr>
        <w:pStyle w:val="TableCaption"/>
      </w:pPr>
      <w:r>
        <w:t xml:space="preserve">Таблица 3.2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Основные операции управления"/>
      </w:tblPr>
      <w:tblGrid>
        <w:gridCol w:w="3797"/>
        <w:gridCol w:w="5841"/>
      </w:tblGrid>
      <w:tr>
        <w:trPr>
          <w:tblHeader w:val="on"/>
          <w:cantSplit/>
        </w:trPr>
        <w:tc>
          <w:tcPr>
            <w:tcW w:w="379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41" w:type="dxa"/>
          </w:tcPr>
          <w:p>
            <w:pPr>
              <w:pStyle w:val="Compact"/>
              <w:keepNext w:val="0"/>
              <w:pageBreakBefore w:val="0"/>
              <w:suppressAutoHyphens w:val="1"/>
              <w:spacing w:before="0" w:after="0" w:line="240" w:lineRule="auto"/>
              <w:ind w:firstLine="0" w:left="0" w:right="0"/>
              <w:jc w:val="center"/>
            </w:pPr>
            <w:r>
              <w:rPr>
                <w:b w:val="1"/>
                <w:sz w:val="24"/>
                <w:szCs w:val="24"/>
              </w:rPr>
              <w:t xml:space="preserve">API</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GET /api/planner/status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/api/planner/plans/recompute</w:t>
            </w:r>
            <w:r>
              <w:rPr>
                <w:sz w:val="24"/>
                <w:szCs w:val="24"/>
              </w:rPr>
              <w:t xml:space="preserve">,</w:t>
            </w:r>
            <w:r>
              <w:rPr>
                <w:sz w:val="24"/>
                <w:szCs w:val="24"/>
              </w:rPr>
              <w:t xml:space="preserve"> </w:t>
            </w:r>
            <w:r>
              <w:rPr>
                <w:rStyle w:val="VerbatimChar"/>
                <w:sz w:val="24"/>
                <w:szCs w:val="24"/>
              </w:rPr>
              <w:t xml:space="preserve">GET /api/planner/plans</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/api/planner/plans/{id}/confirm</w:t>
            </w:r>
            <w:r>
              <w:rPr>
                <w:sz w:val="24"/>
                <w:szCs w:val="24"/>
              </w:rPr>
              <w:t xml:space="preserve">,</w:t>
            </w:r>
            <w:r>
              <w:rPr>
                <w:sz w:val="24"/>
                <w:szCs w:val="24"/>
              </w:rPr>
              <w:t xml:space="preserve"> </w:t>
            </w:r>
            <w:r>
              <w:rPr>
                <w:rStyle w:val="VerbatimChar"/>
                <w:sz w:val="24"/>
                <w:szCs w:val="24"/>
              </w:rPr>
              <w:t xml:space="preserve">.../reject</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/api/planner/commands/cancel-pending</w:t>
            </w:r>
            <w:r>
              <w:rPr>
                <w:sz w:val="24"/>
                <w:szCs w:val="24"/>
              </w:rPr>
              <w:t xml:space="preserve">,</w:t>
            </w:r>
            <w:r>
              <w:rPr>
                <w:sz w:val="24"/>
                <w:szCs w:val="24"/>
              </w:rPr>
              <w:t xml:space="preserve"> </w:t>
            </w:r>
            <w:r>
              <w:rPr>
                <w:rStyle w:val="VerbatimChar"/>
                <w:sz w:val="24"/>
                <w:szCs w:val="24"/>
              </w:rPr>
              <w:t xml:space="preserve">.../pause</w:t>
            </w:r>
            <w:r>
              <w:rPr>
                <w:sz w:val="24"/>
                <w:szCs w:val="24"/>
              </w:rPr>
              <w:t xml:space="preserve">,</w:t>
            </w:r>
            <w:r>
              <w:rPr>
                <w:sz w:val="24"/>
                <w:szCs w:val="24"/>
              </w:rPr>
              <w:t xml:space="preserve"> </w:t>
            </w:r>
            <w:r>
              <w:rPr>
                <w:rStyle w:val="VerbatimChar"/>
                <w:sz w:val="24"/>
                <w:szCs w:val="24"/>
              </w:rPr>
              <w:t xml:space="preserve">.../resume</w:t>
            </w:r>
          </w:p>
        </w:tc>
      </w:tr>
      <w:tr>
        <w:trPr>
          <w:cantSplit/>
        </w:trPr>
        <w:tc>
          <w:tcPr>
            <w:tcW w:w="3797"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41" w:type="dxa"/>
          </w:tcPr>
          <w:p>
            <w:pPr>
              <w:pStyle w:val="Compact"/>
              <w:keepNext w:val="0"/>
              <w:pageBreakBefore w:val="0"/>
              <w:suppressAutoHyphens w:val="1"/>
              <w:spacing w:before="0" w:after="0" w:line="240" w:lineRule="auto"/>
              <w:ind w:firstLine="0" w:left="0" w:right="0"/>
              <w:jc w:val="both"/>
            </w:pPr>
            <w:r>
              <w:rPr>
                <w:rStyle w:val="VerbatimChar"/>
                <w:sz w:val="24"/>
                <w:szCs w:val="24"/>
              </w:rPr>
              <w:t xml:space="preserve">POST /api/planner/model/retrain</w:t>
            </w:r>
          </w:p>
        </w:tc>
      </w:tr>
    </w:tbl>
    <w:bookmarkEnd w:id="109"/>
    <w:bookmarkEnd w:id="110"/>
    <w:bookmarkEnd w:id="111"/>
    <w:bookmarkStart w:id="116" w:name="подготовка-данных-и-встраивание-модели"/>
    <w:p>
      <w:pPr>
        <w:pStyle w:val="21"/>
        <w:spacing w:before="480"/>
      </w:pPr>
      <w:bookmarkStart w:id="260" w:name="GOSTHeading260"/>
      <w:r>
        <w:t xml:space="preserve">3.2 Подготовка данных и встраивание модели</w:t>
      </w:r>
      <w:bookmarkEnd w:id="260"/>
    </w:p>
    <w:p>
      <w:pPr>
        <w:pStyle w:val="FirstParagraph"/>
      </w:pPr>
      <w:r>
        <w:t xml:space="preserve">Конвейер связывает историю чтений с моделью на Рисунке 2.1: получение данных → признаки и метки → обучение → проверка комплекта → ввод модели. Источники и границы их применения определены в Таблице 1.2.</w:t>
      </w:r>
    </w:p>
    <w:bookmarkStart w:id="113" w:name="источники-и-подготовка-данных"/>
    <w:p>
      <w:pPr>
        <w:pStyle w:val="30"/>
      </w:pPr>
      <w:bookmarkStart w:id="261" w:name="GOSTHeading261"/>
      <w:r>
        <w:t xml:space="preserve">3.2.1 Источники и подготовка данных</w:t>
      </w:r>
      <w:bookmarkEnd w:id="261"/>
    </w:p>
    <w:p>
      <w:pPr>
        <w:pStyle w:val="FirstParagraph"/>
      </w:pPr>
      <w:r>
        <w:t xml:space="preserve">Основной источник — синтетическая история с известным каталогом. Структура</w:t>
      </w:r>
      <w:r>
        <w:t xml:space="preserve"> </w:t>
      </w:r>
      <w:r>
        <w:rPr>
          <w:i/>
          <w:iCs/>
        </w:rPr>
        <w:t xml:space="preserve">Generator</w:t>
      </w:r>
      <w:r>
        <w:t xml:space="preserve"> </w:t>
      </w:r>
      <w:r>
        <w:t xml:space="preserve">(</w:t>
      </w:r>
      <w:r>
        <w:rPr>
          <w:rStyle w:val="VerbatimChar"/>
        </w:rPr>
        <w:t xml:space="preserve">services/sppr/internal/experiment/synthetic/generator.go</w:t>
      </w:r>
      <w:r>
        <w:t xml:space="preserve">) воспроизводит шесть сценариев: стабильную популярность, снижение интереса, периодический спрос, всплеск, смену востребованного набора и равномерный выбор. Скрытая популярность и будущие изменения спроса модели не передаются.</w:t>
      </w:r>
    </w:p>
    <w:p>
      <w:pPr>
        <w:pStyle w:val="a2"/>
      </w:pPr>
      <w:r>
        <w:t xml:space="preserve">Основной профиль содержит 10 000 объектов по 1 МиБ и 20 чтений в секунду. Из семи суток двое отведены обучению, третьи — настройке, последние четверо — итоговой оценке. Горизонт равен часу, обучающие срезы формируются раз в 15 мин. Функция</w:t>
      </w:r>
      <w:r>
        <w:t xml:space="preserve"> </w:t>
      </w:r>
      <w:r>
        <w:rPr>
          <w:i/>
          <w:iCs/>
        </w:rPr>
        <w:t xml:space="preserve">dataset.Write</w:t>
      </w:r>
      <w:r>
        <w:t xml:space="preserve"> </w:t>
      </w:r>
      <w:r>
        <w:t xml:space="preserve">сохраняет набор из Таблицы 3.3. Начальное значение генератора псевдослучайных чисел определяет последовательность; в сравнении используются значения от 0 до 9.</w:t>
      </w:r>
    </w:p>
    <w:bookmarkStart w:id="112" w:name="gost-tbl:dataset_artifacts"/>
    <w:p>
      <w:pPr>
        <w:pStyle w:val="TableCaption"/>
      </w:pPr>
      <w:r>
        <w:t xml:space="preserve">Таблица 3.3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Результаты подготовки выборки"/>
      </w:tblPr>
      <w:tblGrid>
        <w:gridCol w:w="3151"/>
        <w:gridCol w:w="6487"/>
      </w:tblGrid>
      <w:tr>
        <w:trPr>
          <w:tblHeader w:val="on"/>
          <w:cantSplit/>
        </w:trPr>
        <w:tc>
          <w:tcPr>
            <w:tcW w:w="315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Файл</w:t>
            </w:r>
          </w:p>
        </w:tc>
        <w:tc>
          <w:tcPr>
            <w:tcW w:w="6487"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catalog.json</w:t>
            </w:r>
            <w:r>
              <w:rPr>
                <w:sz w:val="24"/>
                <w:szCs w:val="24"/>
              </w:rPr>
              <w:t xml:space="preserve">,</w:t>
            </w:r>
            <w:r>
              <w:rPr>
                <w:sz w:val="24"/>
                <w:szCs w:val="24"/>
              </w:rPr>
              <w:t xml:space="preserve"> </w:t>
            </w:r>
            <w:r>
              <w:rPr>
                <w:rStyle w:val="VerbatimChar"/>
                <w:sz w:val="24"/>
                <w:szCs w:val="24"/>
              </w:rPr>
              <w:t xml:space="preserve">events.jsonl</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версий и история чтений</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slices.jsonl</w:t>
            </w:r>
            <w:r>
              <w:rPr>
                <w:sz w:val="24"/>
                <w:szCs w:val="24"/>
              </w:rPr>
              <w:t xml:space="preserve"> </w:t>
            </w:r>
            <w:r>
              <w:rPr>
                <w:sz w:val="24"/>
                <w:szCs w:val="24"/>
              </w:rPr>
              <w:t xml:space="preserve">или сжатые CSV по периодам</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метки и причины исключения строк</w:t>
            </w:r>
          </w:p>
        </w:tc>
      </w:tr>
      <w:tr>
        <w:trPr>
          <w:cantSplit/>
        </w:trPr>
        <w:tc>
          <w:tcPr>
            <w:tcW w:w="3151"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manifest.json</w:t>
            </w:r>
          </w:p>
        </w:tc>
        <w:tc>
          <w:tcPr>
            <w:tcW w:w="6487" w:type="dxa"/>
          </w:tcPr>
          <w:p>
            <w:pPr>
              <w:pStyle w:val="Compact"/>
              <w:keepNext w:val="0"/>
              <w:pageBreakBefore w:val="0"/>
              <w:suppressAutoHyphens w:val="1"/>
              <w:spacing w:before="0" w:after="0" w:line="240" w:lineRule="auto"/>
              <w:ind w:firstLine="0" w:left="0" w:right="0"/>
              <w:jc w:val="both"/>
            </w:pPr>
            <w:r>
              <w:rPr>
                <w:sz w:val="24"/>
                <w:szCs w:val="24"/>
              </w:rPr>
              <w:t xml:space="preserve">Конфигурация, временные границы, версии правил и контрольные суммы файлов по алгоритму SHA-256</w:t>
            </w:r>
          </w:p>
        </w:tc>
      </w:tr>
    </w:tbl>
    <w:bookmarkEnd w:id="112"/>
    <w:p>
      <w:pPr>
        <w:pStyle w:val="a2"/>
        <w:spacing w:before="120"/>
      </w:pPr>
      <w:r>
        <w:t xml:space="preserve">Дополнительно оценён прогноз на открытых трассах Meta CDN, IBM Cloud Object Storage и IBM Docker Registry. Команда</w:t>
      </w:r>
      <w:r>
        <w:t xml:space="preserve"> </w:t>
      </w:r>
      <w:r>
        <w:rPr>
          <w:i/>
          <w:iCs/>
        </w:rPr>
        <w:t xml:space="preserve">trace-convert</w:t>
      </w:r>
      <w:r>
        <w:t xml:space="preserve"> </w:t>
      </w:r>
      <w:r>
        <w:t xml:space="preserve">приводит их к общему формату. В Meta CDN и IBM COS нет кода ответа, поэтому успех чтения предполагается; полного контракта версий S3 в трассах нет. Каталог IBM COS восстановлен из обращений и может раскрывать будущее через объекты, ещё не читанные к моменту среза. Поэтому трассы используются для оценки прогноза с отдельным контролем утечки, а сохранность переносов проверяется на стенде.</w:t>
      </w:r>
    </w:p>
    <w:bookmarkEnd w:id="113"/>
    <w:bookmarkStart w:id="114" w:name="признаки-метки-и-разделение-выборки"/>
    <w:p>
      <w:pPr>
        <w:pStyle w:val="30"/>
      </w:pPr>
      <w:bookmarkStart w:id="262" w:name="GOSTHeading262"/>
      <w:r>
        <w:t xml:space="preserve">3.2.2 Признаки, метки и разделение выборки</w:t>
      </w:r>
      <w:bookmarkEnd w:id="262"/>
    </w:p>
    <w:p>
      <w:pPr>
        <w:pStyle w:val="FirstParagraph"/>
      </w:pPr>
      <w:r>
        <w:t xml:space="preserve">Метод</w:t>
      </w:r>
      <w:r>
        <w:t xml:space="preserve"> </w:t>
      </w:r>
      <w:r>
        <w:rPr>
          <w:i/>
          <w:iCs/>
        </w:rPr>
        <w:t xml:space="preserve">builder.Build</w:t>
      </w:r>
      <w:r>
        <w:t xml:space="preserve"> </w:t>
      </w:r>
      <w:r>
        <w:t xml:space="preserve">(</w:t>
      </w:r>
      <w:r>
        <w:rPr>
          <w:rStyle w:val="VerbatimChar"/>
        </w:rPr>
        <w:t xml:space="preserve">services/sppr/internal/service/features/build.go</w:t>
      </w:r>
      <w:r>
        <w:t xml:space="preserve">) рассчитывает 17 признаков из Таблицы 2.2 по истории версии за 24 ч до среза. Текущий класс хранения и задержка чтения в признаки не входят. Этот компонент общий для подготовки выборки, работающего сервиса и симулятора, что предотвращает расхождение правил расчёта. Отсутствующая давность чтения передаётся как специальное значение NaN (англ. Not a Number — не число); нулевые счётчики допустимы только при подтверждённой полноте истории.</w:t>
      </w:r>
    </w:p>
    <w:p>
      <w:pPr>
        <w:pStyle w:val="a2"/>
      </w:pPr>
      <w:r>
        <w:t xml:space="preserve">Функция</w:t>
      </w:r>
      <w:r>
        <w:t xml:space="preserve"> </w:t>
      </w:r>
      <w:r>
        <w:rPr>
          <w:i/>
          <w:iCs/>
        </w:rPr>
        <w:t xml:space="preserve">dataset.Rows</w:t>
      </w:r>
      <w:r>
        <w:t xml:space="preserve"> </w:t>
      </w:r>
      <w:r>
        <w:t xml:space="preserve">сначала фиксирует признаки, затем отдельно вычисляет метку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строки, у которых горизонт метки пересекает границу периодов. Будущая дата удаления служит воспроизведению каталога и моделью не используется. Строки с неполной историей исключаются, объекты без чтений сохраняются. При обучении по текущему каталогу Metadata ранее удалённые версии недоступны — это ограничение отражается в манифесте.</w:t>
      </w:r>
    </w:p>
    <w:p>
      <w:pPr>
        <w:pStyle w:val="a2"/>
      </w:pPr>
      <w:r>
        <w:t xml:space="preserve">Выборки не перемешиваются; аугментация, искусственная балансировка и масштабирование не применяются. На периоде настройки реальных трасс доля нулевых меток составляет 98,7–99,5 %, поэтому наряду с вероятностными метриками оценивается покрытие будущих чтений выбранными объектами.</w:t>
      </w:r>
    </w:p>
    <w:bookmarkEnd w:id="114"/>
    <w:bookmarkStart w:id="115" w:name="обучение-и-ввод-модели"/>
    <w:p>
      <w:pPr>
        <w:pStyle w:val="30"/>
      </w:pPr>
      <w:bookmarkStart w:id="263" w:name="GOSTHeading263"/>
      <w:r>
        <w:t xml:space="preserve">3.2.3 Обучение и ввод модели</w:t>
      </w:r>
      <w:bookmarkEnd w:id="263"/>
    </w:p>
    <w:p>
      <w:pPr>
        <w:pStyle w:val="FirstParagraph"/>
      </w:pPr>
      <w:r>
        <w:t xml:space="preserve">Функция</w:t>
      </w:r>
      <w:r>
        <w:t xml:space="preserve"> </w:t>
      </w:r>
      <w:r>
        <w:rPr>
          <w:i/>
          <w:iCs/>
        </w:rPr>
        <w:t xml:space="preserve">sppr_ml.model.fit</w:t>
      </w:r>
      <w:r>
        <w:t xml:space="preserve"> </w:t>
      </w:r>
      <w:r>
        <w:t xml:space="preserve">(</w:t>
      </w:r>
      <w:r>
        <w:rPr>
          <w:rStyle w:val="VerbatimChar"/>
        </w:rPr>
        <w:t xml:space="preserve">services/sppr/ml/sppr_ml/model.py</w:t>
      </w:r>
      <w:r>
        <w:t xml:space="preserve">) обучает классификатор LightGBM на всех допустимых строках, регрессор — на положительных метках числа чтений сверх первого. Итоговый прогноз рассчитывается по формулам (2.7) и (2.8). Число деревьев определяется на последних 8 ч обучающего периода с остановкой после 50 итераций без улучшения, затем обучение повторяется на всём обучающем периоде. Фиксируются начальное значение генератора и два вычислительных потока.</w:t>
      </w:r>
    </w:p>
    <w:p>
      <w:pPr>
        <w:pStyle w:val="a2"/>
      </w:pPr>
      <w:r>
        <w:t xml:space="preserve">Подбор 24 вариантов выполняется по покрытию</w:t>
      </w:r>
      <w:r>
        <w:t xml:space="preserve"> </w:t>
      </w:r>
      <m:oMath>
        <m:sSub>
          <m:e>
            <m:r>
              <m:rPr>
                <m:sty m:val="p"/>
              </m:rPr>
              <m:t>C</m:t>
            </m:r>
            <m:r>
              <m:rPr>
                <m:sty m:val="p"/>
              </m:rPr>
              <m:t>o</m:t>
            </m:r>
            <m:r>
              <m:rPr>
                <m:sty m:val="p"/>
              </m:rPr>
              <m:t>v</m:t>
            </m:r>
          </m:e>
          <m:sub>
            <m:r>
              <m:t>K</m:t>
            </m:r>
          </m:sub>
        </m:sSub>
      </m:oMath>
      <w:r>
        <w:t xml:space="preserve"> </w:t>
      </w:r>
      <w:r>
        <w:t xml:space="preserve">на периоде настройки; при близких значениях используется оценка Брайера. Для основной серии выбраны 15 листьев, скорость обучения 0,03, не менее 20 строк в листе и L2-регуляризация 1. Параметры сохранены до итогового теста в</w:t>
      </w:r>
      <w:r>
        <w:t xml:space="preserve"> </w:t>
      </w:r>
      <w:r>
        <w:rPr>
          <w:rStyle w:val="VerbatimChar"/>
        </w:rPr>
        <w:t xml:space="preserve">services/sppr/experiments/main.json</w:t>
      </w:r>
      <w:r>
        <w:t xml:space="preserve"> </w:t>
      </w:r>
      <w:r>
        <w:t xml:space="preserve">и по его результатам не менялись.</w:t>
      </w:r>
    </w:p>
    <w:p>
      <w:pPr>
        <w:pStyle w:val="a2"/>
      </w:pPr>
      <w:r>
        <w:t xml:space="preserve">Функция</w:t>
      </w:r>
      <w:r>
        <w:t xml:space="preserve"> </w:t>
      </w:r>
      <w:r>
        <w:rPr>
          <w:i/>
          <w:iCs/>
        </w:rPr>
        <w:t xml:space="preserve">sppr_ml.export.write</w:t>
      </w:r>
      <w:r>
        <w:t xml:space="preserve"> </w:t>
      </w:r>
      <w:r>
        <w:t xml:space="preserve">сохраняет две модели, манифест и контрольные прогнозы Python. Загрузчик</w:t>
      </w:r>
      <w:r>
        <w:t xml:space="preserve"> </w:t>
      </w:r>
      <w:r>
        <w:rPr>
          <w:i/>
          <w:iCs/>
        </w:rPr>
        <w:t xml:space="preserve">lgbm.Load</w:t>
      </w:r>
      <w:r>
        <w:t xml:space="preserve"> </w:t>
      </w:r>
      <w:r>
        <w:t xml:space="preserve">проверяет контрольные суммы, горизонт, версии и порядок признаков, затем сравнивает результаты Python и Go с относительным допуском</w:t>
      </w:r>
      <w:r>
        <w:t xml:space="preserve"> </w:t>
      </w:r>
      <m:oMath>
        <m:sSup>
          <m:e>
            <m:r>
              <m:t>10</m:t>
            </m:r>
          </m:e>
          <m:sup>
            <m:r>
              <m:rPr>
                <m:sty m:val="p"/>
              </m:rPr>
              <m:t>−</m:t>
            </m:r>
            <m:r>
              <m:t>9</m:t>
            </m:r>
          </m:sup>
        </m:sSup>
      </m:oMath>
      <w:r>
        <w:t xml:space="preserve">. Несовместимый комплект отклоняется.</w:t>
      </w:r>
    </w:p>
    <w:p>
      <w:pPr>
        <w:pStyle w:val="a2"/>
      </w:pPr>
      <w:r>
        <w:t xml:space="preserve">За обновление отвечает</w:t>
      </w:r>
      <w:r>
        <w:t xml:space="preserve"> </w:t>
      </w:r>
      <w:r>
        <w:rPr>
          <w:i/>
          <w:iCs/>
        </w:rPr>
        <w:t xml:space="preserve">Manager</w:t>
      </w:r>
      <w:r>
        <w:t xml:space="preserve"> </w:t>
      </w:r>
      <w:r>
        <w:t xml:space="preserve">(</w:t>
      </w:r>
      <w:r>
        <w:rPr>
          <w:rStyle w:val="VerbatimChar"/>
        </w:rPr>
        <w:t xml:space="preserve">services/sppr/internal/service/modelmanager/</w:t>
      </w:r>
      <w:r>
        <w:t xml:space="preserve">). При успешной проверке он атомарно активирует модель и сохраняет версию в журнале. Ошибка обучения сохраняет предыдущую пригодную модель; отсутствие или устаревание модели включает</w:t>
      </w:r>
      <w:r>
        <w:t xml:space="preserve"> </w:t>
      </w:r>
      <w:r>
        <w:rPr>
          <w:i/>
          <w:iCs/>
        </w:rPr>
        <w:t xml:space="preserve">ewma.Predict</w:t>
      </w:r>
      <w:r>
        <w:t xml:space="preserve">. Один цикл планирования использует одну зафиксированную версию. По умолчанию обновление выполняется раз в сутки, предел возраста равен 72 ч; вне расписания обучение запускает администратор. Неполнота истории блокирует прогнозные рекомендации при любом методе.</w:t>
      </w:r>
    </w:p>
    <w:bookmarkEnd w:id="115"/>
    <w:bookmarkEnd w:id="116"/>
    <w:bookmarkStart w:id="123" w:name="тестирование-программного-обеспечения"/>
    <w:p>
      <w:pPr>
        <w:pStyle w:val="21"/>
      </w:pPr>
      <w:bookmarkStart w:id="264" w:name="GOSTHeading264"/>
      <w:r>
        <w:t xml:space="preserve">3.3 Тестирование программного обеспечения</w:t>
      </w:r>
      <w:bookmarkEnd w:id="264"/>
    </w:p>
    <w:p>
      <w:pPr>
        <w:pStyle w:val="FirstParagraph"/>
      </w:pPr>
      <w:r>
        <w:t xml:space="preserve">Испытания проводит автор ВКР. Протокол от 28.10.2026 относится к ревизии bef0671: тесты Go без детектора гонок завершились без ошибок для 36 пакетов СППР, а также для Gateway, Metadata, Storage, Auth и Users, Python прошёл 55 тестов. Запуск 39 пакетов СППР с тегом integration также завершился без ошибок, но не подтверждает условно включаемые проверки БД и стенда без соответствующих переменных окружения. Источники —</w:t>
      </w:r>
      <w:r>
        <w:t xml:space="preserve"> </w:t>
      </w:r>
      <w:r>
        <w:rPr>
          <w:rStyle w:val="VerbatimChar"/>
        </w:rPr>
        <w:t xml:space="preserve">build/stage12/test-protocol.md</w:t>
      </w:r>
      <w:r>
        <w:t xml:space="preserve"> </w:t>
      </w:r>
      <w:r>
        <w:t xml:space="preserve">и</w:t>
      </w:r>
      <w:r>
        <w:t xml:space="preserve"> </w:t>
      </w:r>
      <w:r>
        <w:rPr>
          <w:rStyle w:val="VerbatimChar"/>
        </w:rPr>
        <w:t xml:space="preserve">build/stage11/tests/</w:t>
      </w:r>
      <w:r>
        <w:t xml:space="preserve"> </w:t>
      </w:r>
      <w:r>
        <w:t xml:space="preserve">репозитория OpenS3.</w:t>
      </w:r>
    </w:p>
    <w:p>
      <w:pPr>
        <w:pStyle w:val="a2"/>
      </w:pPr>
      <w:r>
        <w:t xml:space="preserve">Успешный сквозной проверочный сценарий обновления модели включает переобучение, повтор команды, подтверждение плана, перенос с чтением, перезапуск и сохранение модели при ошибке обучения. Первоначальный запуск завершился таймаутом AuthZ; в журнале зафиксирован успешный повтор. Полнота приёмки оценивается по отдельным случаям, а не только по коду завершения команды.</w:t>
      </w:r>
    </w:p>
    <w:bookmarkStart w:id="118" w:name="проверка-истории-и-данных"/>
    <w:p>
      <w:pPr>
        <w:pStyle w:val="30"/>
      </w:pPr>
      <w:bookmarkStart w:id="265" w:name="GOSTHeading265"/>
      <w:r>
        <w:t xml:space="preserve">3.3.1 Проверка истории и данных</w:t>
      </w:r>
      <w:bookmarkEnd w:id="265"/>
    </w:p>
    <w:p>
      <w:pPr>
        <w:pStyle w:val="FirstParagraph"/>
      </w:pPr>
      <w:r>
        <w:t xml:space="preserve">Модульные проверки расположены в каталогах</w:t>
      </w:r>
      <w:r>
        <w:t xml:space="preserve"> </w:t>
      </w:r>
      <w:r>
        <w:rPr>
          <w:i/>
          <w:iCs/>
        </w:rPr>
        <w:t xml:space="preserve">ingestor</w:t>
      </w:r>
      <w:r>
        <w:t xml:space="preserve">,</w:t>
      </w:r>
      <w:r>
        <w:t xml:space="preserve"> </w:t>
      </w:r>
      <w:r>
        <w:rPr>
          <w:i/>
          <w:iCs/>
        </w:rPr>
        <w:t xml:space="preserve">features</w:t>
      </w:r>
      <w:r>
        <w:t xml:space="preserve">,</w:t>
      </w:r>
      <w:r>
        <w:t xml:space="preserve"> </w:t>
      </w:r>
      <w:r>
        <w:rPr>
          <w:i/>
          <w:iCs/>
        </w:rPr>
        <w:t xml:space="preserve">predictor</w:t>
      </w:r>
      <w:r>
        <w:t xml:space="preserve"> </w:t>
      </w:r>
      <w:r>
        <w:t xml:space="preserve">и</w:t>
      </w:r>
      <w:r>
        <w:t xml:space="preserve"> </w:t>
      </w:r>
      <w:r>
        <w:rPr>
          <w:i/>
          <w:iCs/>
        </w:rPr>
        <w:t xml:space="preserve">experiment/dataset</w:t>
      </w:r>
      <w:r>
        <w:t xml:space="preserve"> </w:t>
      </w:r>
      <w:r>
        <w:t xml:space="preserve">сервиса СППР; интеграционные — в</w:t>
      </w:r>
      <w:r>
        <w:t xml:space="preserve"> </w:t>
      </w:r>
      <w:r>
        <w:rPr>
          <w:i/>
          <w:iCs/>
        </w:rPr>
        <w:t xml:space="preserve">internal/repository/event</w:t>
      </w:r>
      <w:r>
        <w:t xml:space="preserve">. Последовательность «подготовить вход → выполнить действие → проверить результат» приведена в Таблице 3.4. Сценарий</w:t>
      </w:r>
      <w:r>
        <w:t xml:space="preserve"> </w:t>
      </w:r>
      <w:r>
        <w:rPr>
          <w:rStyle w:val="VerbatimChar"/>
        </w:rPr>
        <w:t xml:space="preserve">make smoke-history-local</w:t>
      </w:r>
      <w:r>
        <w:t xml:space="preserve"> </w:t>
      </w:r>
      <w:r>
        <w:t xml:space="preserve">проверяет взаимодействие Gateway, Kafka и СППР.</w:t>
      </w:r>
    </w:p>
    <w:bookmarkStart w:id="117" w:name="gost-tbl:data_test_cases"/>
    <w:p>
      <w:pPr>
        <w:pStyle w:val="TableCaption"/>
      </w:pPr>
      <w:r>
        <w:t xml:space="preserve">Таблица 3.4 – Проверки истории и подготовки данных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Проверки истории и подготовки данных"/>
      </w:tblPr>
      <w:tblGrid>
        <w:gridCol w:w="1918"/>
        <w:gridCol w:w="4849"/>
        <w:gridCol w:w="2871"/>
      </w:tblGrid>
      <w:tr>
        <w:trPr>
          <w:tblHeader w:val="on"/>
          <w:cantSplit/>
        </w:trPr>
        <w:tc>
          <w:tcPr>
            <w:tcW w:w="1918"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849"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871"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D-01; F-01, F-11</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событие: спрос не меняется; иное содержимое под тем же ID отклоняется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D-02;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Пропустить номер, остановить и возобновить поток: потеря обнаружена, полнота пересчитана</w:t>
            </w:r>
          </w:p>
        </w:tc>
        <w:tc>
          <w:tcPr>
            <w:tcW w:w="2871"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интеграционный протокол</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D-03;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Сравнить ручной пример и чтения на границах среза: признаки используют прошлое, метки — заданный горизонт</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D-04;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новый объект, нулевой спрос и неполную историю: состояния различаются</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D-05; F-01, F-03</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Подать клиентское чтение и техническое копирование: учитывается только первое</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интеграционная</w:t>
            </w:r>
          </w:p>
        </w:tc>
      </w:tr>
      <w:tr>
        <w:trPr>
          <w:cantSplit/>
        </w:trPr>
        <w:tc>
          <w:tcPr>
            <w:tcW w:w="1918" w:type="dxa"/>
          </w:tcPr>
          <w:p>
            <w:pPr>
              <w:pStyle w:val="Compact"/>
              <w:keepNext w:val="0"/>
              <w:pageBreakBefore w:val="0"/>
              <w:suppressAutoHyphens w:val="1"/>
              <w:spacing w:before="0" w:after="0" w:line="240" w:lineRule="auto"/>
              <w:ind w:firstLine="0" w:left="0" w:right="0"/>
              <w:jc w:val="left"/>
            </w:pPr>
            <w:r>
              <w:rPr>
                <w:sz w:val="24"/>
                <w:szCs w:val="24"/>
              </w:rPr>
              <w:t xml:space="preserve">D-06; F-03, F-12</w:t>
            </w:r>
          </w:p>
        </w:tc>
        <w:tc>
          <w:tcPr>
            <w:tcW w:w="4849"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выгрузку и проверить границы периодов: хеши совпадают, пересекающие границу метки исключены</w:t>
            </w:r>
          </w:p>
        </w:tc>
        <w:tc>
          <w:tcPr>
            <w:tcW w:w="2871"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bl>
    <w:bookmarkEnd w:id="117"/>
    <w:bookmarkEnd w:id="118"/>
    <w:bookmarkStart w:id="120" w:name="проверка-сохранности"/>
    <w:p>
      <w:pPr>
        <w:pStyle w:val="30"/>
        <w:spacing w:before="480"/>
      </w:pPr>
      <w:bookmarkStart w:id="266" w:name="GOSTHeading266"/>
      <w:r>
        <w:t xml:space="preserve">3.3.2 Проверка сохранности</w:t>
      </w:r>
      <w:bookmarkEnd w:id="266"/>
    </w:p>
    <w:p>
      <w:pPr>
        <w:pStyle w:val="FirstParagraph"/>
      </w:pPr>
      <w:r>
        <w:t xml:space="preserve">Набор</w:t>
      </w:r>
      <w:r>
        <w:t xml:space="preserve"> </w:t>
      </w:r>
      <w:r>
        <w:rPr>
          <w:i/>
          <w:iCs/>
        </w:rPr>
        <w:t xml:space="preserve">PlacementProtocolSuite</w:t>
      </w:r>
      <w:r>
        <w:t xml:space="preserve"> </w:t>
      </w:r>
      <w:r>
        <w:t xml:space="preserve">в</w:t>
      </w:r>
      <w:r>
        <w:t xml:space="preserve"> </w:t>
      </w:r>
      <w:r>
        <w:rPr>
          <w:rStyle w:val="VerbatimChar"/>
        </w:rPr>
        <w:t xml:space="preserve">services/metadata/internal/service/placement/tests/</w:t>
      </w:r>
      <w:r>
        <w:t xml:space="preserve"> </w:t>
      </w:r>
      <w:r>
        <w:t xml:space="preserve">проверяет резервирование и переключение с PostgreSQL. Тесты</w:t>
      </w:r>
      <w:r>
        <w:t xml:space="preserve"> </w:t>
      </w:r>
      <w:r>
        <w:rPr>
          <w:i/>
          <w:iCs/>
        </w:rPr>
        <w:t xml:space="preserve">failures_integration_test.go</w:t>
      </w:r>
      <w:r>
        <w:t xml:space="preserve"> </w:t>
      </w:r>
      <w:r>
        <w:t xml:space="preserve">и</w:t>
      </w:r>
      <w:r>
        <w:t xml:space="preserve"> </w:t>
      </w:r>
      <w:r>
        <w:rPr>
          <w:i/>
          <w:iCs/>
        </w:rPr>
        <w:t xml:space="preserve">restart_integration_test.go</w:t>
      </w:r>
      <w:r>
        <w:t xml:space="preserve"> </w:t>
      </w:r>
      <w:r>
        <w:t xml:space="preserve">исполнителя СППР используют Metadata и два Storage на разных томах. Отказы внедряются повреждением байтов, обрывом передачи и потерей ответа; нехватка места моделируется отказом резервирования. Проверки сведены в Таблицу 3.5.</w:t>
      </w:r>
    </w:p>
    <w:bookmarkStart w:id="119" w:name="gost-tbl:migration_test_cases"/>
    <w:p>
      <w:pPr>
        <w:pStyle w:val="TableCaption"/>
      </w:pPr>
      <w:r>
        <w:t xml:space="preserve">Таблица 3.5 – Проверки переноса версии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роверки переноса версии"/>
      </w:tblPr>
      <w:tblGrid>
        <w:gridCol w:w="1934"/>
        <w:gridCol w:w="4952"/>
        <w:gridCol w:w="2752"/>
      </w:tblGrid>
      <w:tr>
        <w:trPr>
          <w:tblHeader w:val="on"/>
          <w:cantSplit/>
        </w:trPr>
        <w:tc>
          <w:tcPr>
            <w:tcW w:w="1934"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952" w:type="dxa"/>
          </w:tcPr>
          <w:p>
            <w:pPr>
              <w:pStyle w:val="Compact"/>
              <w:keepNext w:val="0"/>
              <w:pageBreakBefore w:val="0"/>
              <w:suppressAutoHyphens w:val="1"/>
              <w:spacing w:before="0" w:after="0" w:line="240" w:lineRule="auto"/>
              <w:ind w:firstLine="0" w:left="0" w:right="0"/>
              <w:jc w:val="center"/>
            </w:pPr>
            <w:r>
              <w:rPr>
                <w:b w:val="1"/>
                <w:sz w:val="24"/>
                <w:szCs w:val="24"/>
              </w:rPr>
              <w:t xml:space="preserve">Вход, действие и ожидаемый результат</w:t>
            </w:r>
          </w:p>
        </w:tc>
        <w:tc>
          <w:tcPr>
            <w:tcW w:w="2752"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M-01; F-02,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COLD → HOT → COLD, полное и диапазонное чтение: ключ, версия и байты сохранены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M-01</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M-02; F-08, F-09</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Перезаписать или удалить объект во время копирования: устаревшее переключение отклонено</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M-02</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M-03;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Повредить копию или отключить цель: источник остаётся действующим</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M-03</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M-04; F-08</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Исчерпать место и бюджет: новый перенос не запускается, временные копии учтены</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M-04; бюджет повторов</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M-05;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Перезапустить исполнитель на шагах протокола: продолжается прежняя миграция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M-05</w:t>
            </w:r>
          </w:p>
        </w:tc>
      </w:tr>
      <w:tr>
        <w:trPr>
          <w:cantSplit/>
        </w:trPr>
        <w:tc>
          <w:tcPr>
            <w:tcW w:w="1934" w:type="dxa"/>
          </w:tcPr>
          <w:p>
            <w:pPr>
              <w:pStyle w:val="Compact"/>
              <w:keepNext w:val="0"/>
              <w:pageBreakBefore w:val="0"/>
              <w:suppressAutoHyphens w:val="1"/>
              <w:spacing w:before="0" w:after="0" w:line="240" w:lineRule="auto"/>
              <w:ind w:firstLine="0" w:left="0" w:right="0"/>
              <w:jc w:val="left"/>
            </w:pPr>
            <w:r>
              <w:rPr>
                <w:sz w:val="24"/>
                <w:szCs w:val="24"/>
              </w:rPr>
              <w:t xml:space="preserve">M-06; F-09, F-10</w:t>
            </w:r>
          </w:p>
        </w:tc>
        <w:tc>
          <w:tcPr>
            <w:tcW w:w="4952" w:type="dxa"/>
          </w:tcPr>
          <w:p>
            <w:pPr>
              <w:pStyle w:val="Compact"/>
              <w:keepNext w:val="0"/>
              <w:pageBreakBefore w:val="0"/>
              <w:suppressAutoHyphens w:val="1"/>
              <w:spacing w:before="0" w:after="0" w:line="240" w:lineRule="auto"/>
              <w:ind w:firstLine="0" w:left="0" w:right="0"/>
              <w:jc w:val="both"/>
            </w:pPr>
            <w:r>
              <w:rPr>
                <w:sz w:val="24"/>
                <w:szCs w:val="24"/>
              </w:rPr>
              <w:t xml:space="preserve">Читать при переключении, вызвать отказ очистки: чтение корректно, место освобождается после удаления</w:t>
            </w:r>
          </w:p>
        </w:tc>
        <w:tc>
          <w:tcPr>
            <w:tcW w:w="2752"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Полный протокол M-06</w:t>
            </w:r>
          </w:p>
        </w:tc>
      </w:tr>
    </w:tbl>
    <w:bookmarkEnd w:id="119"/>
    <w:p>
      <w:pPr>
        <w:pStyle w:val="a2"/>
        <w:spacing w:before="120"/>
      </w:pPr>
      <w:r>
        <w:t xml:space="preserve">Сквозной сценарий обновления подтверждает перенос и восстановление только в своём сценарии. Он не заменяет полную серию M-01–M-06 и измерение восстановления в пределах 60 с.</w:t>
      </w:r>
    </w:p>
    <w:bookmarkEnd w:id="120"/>
    <w:bookmarkStart w:id="122" w:name="проверка-управления"/>
    <w:p>
      <w:pPr>
        <w:pStyle w:val="30"/>
      </w:pPr>
      <w:bookmarkStart w:id="267" w:name="GOSTHeading267"/>
      <w:r>
        <w:t xml:space="preserve">3.3.3 Проверка управления</w:t>
      </w:r>
      <w:bookmarkEnd w:id="267"/>
    </w:p>
    <w:p>
      <w:pPr>
        <w:pStyle w:val="FirstParagraph"/>
      </w:pPr>
      <w:r>
        <w:t xml:space="preserve">Модульные тесты находятся в</w:t>
      </w:r>
      <w:r>
        <w:t xml:space="preserve"> </w:t>
      </w:r>
      <w:r>
        <w:rPr>
          <w:i/>
          <w:iCs/>
        </w:rPr>
        <w:t xml:space="preserve">internal/service/planner</w:t>
      </w:r>
      <w:r>
        <w:t xml:space="preserve"> </w:t>
      </w:r>
      <w:r>
        <w:t xml:space="preserve">и</w:t>
      </w:r>
      <w:r>
        <w:t xml:space="preserve"> </w:t>
      </w:r>
      <w:r>
        <w:rPr>
          <w:i/>
          <w:iCs/>
        </w:rPr>
        <w:t xml:space="preserve">internal/handler</w:t>
      </w:r>
      <w:r>
        <w:t xml:space="preserve"> </w:t>
      </w:r>
      <w:r>
        <w:t xml:space="preserve">СППР, интеграционные используют PostgreSQL, сквозные — команды</w:t>
      </w:r>
      <w:r>
        <w:t xml:space="preserve"> </w:t>
      </w:r>
      <w:r>
        <w:rPr>
          <w:rStyle w:val="VerbatimChar"/>
        </w:rPr>
        <w:t xml:space="preserve">make smoke-planner-local</w:t>
      </w:r>
      <w:r>
        <w:t xml:space="preserve"> </w:t>
      </w:r>
      <w:r>
        <w:t xml:space="preserve">и</w:t>
      </w:r>
      <w:r>
        <w:t xml:space="preserve"> </w:t>
      </w:r>
      <w:r>
        <w:rPr>
          <w:rStyle w:val="VerbatimChar"/>
        </w:rPr>
        <w:t xml:space="preserve">make smoke-ml-update-local</w:t>
      </w:r>
      <w:r>
        <w:t xml:space="preserve">. Таблица 3.6 показывает проверяемые действия. формы веб-страниц проверены запросами к обработчикам;</w:t>
      </w:r>
      <w:r>
        <w:t xml:space="preserve"> </w:t>
      </w:r>
      <w:r>
        <w:rPr>
          <w:highlight w:val="yellow"/>
        </w:rPr>
        <w:t xml:space="preserve">пользовательская проверка интерфейса</w:t>
      </w:r>
      <w:r>
        <w:t xml:space="preserve"> </w:t>
      </w:r>
      <w:r>
        <w:t xml:space="preserve">остаётся отдельным испытанием.</w:t>
      </w:r>
    </w:p>
    <w:bookmarkStart w:id="121" w:name="gost-tbl:control_test_cases"/>
    <w:p>
      <w:pPr>
        <w:pStyle w:val="TableCaption"/>
      </w:pPr>
      <w:r>
        <w:t xml:space="preserve">Таблица 3.6 – Проверки планирования и команд</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роверки планирования и команд"/>
      </w:tblPr>
      <w:tblGrid>
        <w:gridCol w:w="1867"/>
        <w:gridCol w:w="4277"/>
        <w:gridCol w:w="3494"/>
      </w:tblGrid>
      <w:tr>
        <w:trPr>
          <w:tblHeader w:val="on"/>
          <w:cantSplit/>
        </w:trPr>
        <w:tc>
          <w:tcPr>
            <w:tcW w:w="1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Случай и требование</w:t>
            </w:r>
          </w:p>
        </w:tc>
        <w:tc>
          <w:tcPr>
            <w:tcW w:w="4277"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и ожидаемый результат</w:t>
            </w:r>
          </w:p>
        </w:tc>
        <w:tc>
          <w:tcPr>
            <w:tcW w:w="3494" w:type="dxa"/>
          </w:tcPr>
          <w:p>
            <w:pPr>
              <w:pStyle w:val="Compact"/>
              <w:keepNext w:val="0"/>
              <w:pageBreakBefore w:val="0"/>
              <w:suppressAutoHyphens w:val="1"/>
              <w:spacing w:before="0" w:after="0" w:line="240" w:lineRule="auto"/>
              <w:ind w:firstLine="0" w:left="0" w:right="0"/>
              <w:jc w:val="center"/>
            </w:pPr>
            <w:r>
              <w:rPr>
                <w:b w:val="1"/>
                <w:sz w:val="24"/>
                <w:szCs w:val="24"/>
              </w:rPr>
              <w:t xml:space="preserve">Фактический результат</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C-01; F-05, F-06</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Ограничить ресурсы, сравнить с точным перебором: план допустим, объяснение соответствует расчёту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пройдены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C-02; F-07</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Подтвердить неполный набор зависимостей, затем полный: первый отклонён, второй принят</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пройден в сквозном сценарии;</w:t>
            </w:r>
            <w:r>
              <w:rPr>
                <w:sz w:val="24"/>
                <w:szCs w:val="24"/>
              </w:rPr>
              <w:t xml:space="preserve"> </w:t>
            </w:r>
            <w:r>
              <w:rPr>
                <w:sz w:val="24"/>
                <w:szCs w:val="24"/>
                <w:highlight w:val="yellow"/>
              </w:rPr>
              <w:t xml:space="preserve">полный случай зависимостей</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C-03;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команду, отменить ожидание, включить паузу: повтор однократен, начатое не отменяется</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Повтор пройден в сквозном сценарии;</w:t>
            </w:r>
            <w:r>
              <w:rPr>
                <w:sz w:val="24"/>
                <w:szCs w:val="24"/>
              </w:rPr>
              <w:t xml:space="preserve"> </w:t>
            </w:r>
            <w:r>
              <w:rPr>
                <w:sz w:val="24"/>
                <w:szCs w:val="24"/>
                <w:highlight w:val="yellow"/>
              </w:rPr>
              <w:t xml:space="preserve">полный случай отмены и паузы</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C-04; F-07, F-11</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Выполнить команду без токена и без ADMIN: доступ отклонён</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Модульная часть пройдена;</w:t>
            </w:r>
            <w:r>
              <w:rPr>
                <w:sz w:val="24"/>
                <w:szCs w:val="24"/>
              </w:rPr>
              <w:t xml:space="preserve"> </w:t>
            </w:r>
            <w:r>
              <w:rPr>
                <w:sz w:val="24"/>
                <w:szCs w:val="24"/>
                <w:highlight w:val="yellow"/>
              </w:rPr>
              <w:t xml:space="preserve">сквозная</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C-05; F-04, 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Вызвать ошибку, устаревание и замену модели: пригодная сохраняется, иначе работает EWMA</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Модульные тесты и сквозной сценарий пройдены;</w:t>
            </w:r>
            <w:r>
              <w:rPr>
                <w:sz w:val="24"/>
                <w:szCs w:val="24"/>
              </w:rPr>
              <w:t xml:space="preserve"> </w:t>
            </w:r>
            <w:r>
              <w:rPr>
                <w:sz w:val="24"/>
                <w:szCs w:val="24"/>
                <w:highlight w:val="yellow"/>
              </w:rPr>
              <w:t xml:space="preserve">интеграционный журнал</w:t>
            </w:r>
          </w:p>
        </w:tc>
      </w:tr>
      <w:tr>
        <w:trPr>
          <w:cantSplit/>
        </w:trPr>
        <w:tc>
          <w:tcPr>
            <w:tcW w:w="1867" w:type="dxa"/>
          </w:tcPr>
          <w:p>
            <w:pPr>
              <w:pStyle w:val="Compact"/>
              <w:keepNext w:val="0"/>
              <w:pageBreakBefore w:val="0"/>
              <w:suppressAutoHyphens w:val="1"/>
              <w:spacing w:before="0" w:after="0" w:line="240" w:lineRule="auto"/>
              <w:ind w:firstLine="0" w:left="0" w:right="0"/>
              <w:jc w:val="left"/>
            </w:pPr>
            <w:r>
              <w:rPr>
                <w:sz w:val="24"/>
                <w:szCs w:val="24"/>
              </w:rPr>
              <w:t xml:space="preserve">C-06; F-01–F-12</w:t>
            </w:r>
          </w:p>
        </w:tc>
        <w:tc>
          <w:tcPr>
            <w:tcW w:w="4277" w:type="dxa"/>
          </w:tcPr>
          <w:p>
            <w:pPr>
              <w:pStyle w:val="Compact"/>
              <w:keepNext w:val="0"/>
              <w:pageBreakBefore w:val="0"/>
              <w:suppressAutoHyphens w:val="1"/>
              <w:spacing w:before="0" w:after="0" w:line="240" w:lineRule="auto"/>
              <w:ind w:firstLine="0" w:left="0" w:right="0"/>
              <w:jc w:val="both"/>
            </w:pPr>
            <w:r>
              <w:rPr>
                <w:sz w:val="24"/>
                <w:szCs w:val="24"/>
              </w:rPr>
              <w:t xml:space="preserve">Чтения → план → подтверждение → перенос → чтение: цикл прослеживается по журналу</w:t>
            </w:r>
          </w:p>
        </w:tc>
        <w:tc>
          <w:tcPr>
            <w:tcW w:w="3494" w:type="dxa"/>
          </w:tcPr>
          <w:p>
            <w:pPr>
              <w:pStyle w:val="Compact"/>
              <w:keepNext w:val="0"/>
              <w:pageBreakBefore w:val="0"/>
              <w:suppressAutoHyphens w:val="1"/>
              <w:spacing w:before="0" w:after="0" w:line="240" w:lineRule="auto"/>
              <w:ind w:firstLine="0" w:left="0" w:right="0"/>
              <w:jc w:val="both"/>
            </w:pPr>
            <w:r>
              <w:rPr>
                <w:sz w:val="24"/>
                <w:szCs w:val="24"/>
              </w:rPr>
              <w:t xml:space="preserve">ML пройден в сквозном сценарии;</w:t>
            </w:r>
            <w:r>
              <w:rPr>
                <w:sz w:val="24"/>
                <w:szCs w:val="24"/>
              </w:rPr>
              <w:t xml:space="preserve"> </w:t>
            </w:r>
            <w:r>
              <w:rPr>
                <w:sz w:val="24"/>
                <w:szCs w:val="24"/>
                <w:highlight w:val="yellow"/>
              </w:rPr>
              <w:t xml:space="preserve">отдельный прогон EWMA</w:t>
            </w:r>
          </w:p>
        </w:tc>
      </w:tr>
    </w:tbl>
    <w:bookmarkEnd w:id="121"/>
    <w:bookmarkEnd w:id="122"/>
    <w:bookmarkEnd w:id="123"/>
    <w:bookmarkStart w:id="133" w:name="X759af35c9299631592eb12b28630520288f3b17"/>
    <w:p>
      <w:pPr>
        <w:pStyle w:val="21"/>
        <w:spacing w:before="480"/>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24"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ML с общим планировщиком. Каталог содержит 10 000 объектов по 1 МиБ, ёмкости HOT и COLD — 1 и 12 ГиБ, допустимая занятость — 90 % с временными копиями. Цикл планирования равен 300 с; бюджеты 64, 256 и 512 МиБ проверяются отдельно. Параллелизм переносов равен единице, минимальный интервал — 60 мин, подтверждение поступает через 5 с. Все политики начинают итоговый тест с каталога в COLD.</w:t>
      </w:r>
    </w:p>
    <w:p>
      <w:pPr>
        <w:pStyle w:val="a2"/>
      </w:pPr>
      <w:r>
        <w:t xml:space="preserve">Симулятор</w:t>
      </w:r>
      <w:r>
        <w:t xml:space="preserve"> </w:t>
      </w:r>
      <w:r>
        <w:rPr>
          <w:i/>
          <w:iCs/>
        </w:rPr>
        <w:t xml:space="preserve">Engine</w:t>
      </w:r>
      <w:r>
        <w:t xml:space="preserve"> </w:t>
      </w:r>
      <w:r>
        <w:t xml:space="preserve">(</w:t>
      </w:r>
      <w:r>
        <w:rPr>
          <w:rStyle w:val="VerbatimChar"/>
        </w:rPr>
        <w:t xml:space="preserve">services/sppr/internal/experiment/sim/</w:t>
      </w:r>
      <w:r>
        <w:t xml:space="preserve">) вызывает рабочие компоненты признаков и планирования. Он учитывает очередь на восемь мест обслуживания и конкуренцию копирования с чтением. Время полного чтения 1 МиБ задано как 10 мс для HOT и 40 мс для COLD; это параметры модели, а не измерения устройств. Задержка отсчитывается от заданного поступления запроса до завершения, включая очередь. Физическая проверка копии и отложенная очистка симулятором не воспроизводятся.</w:t>
      </w:r>
    </w:p>
    <w:p>
      <w:pPr>
        <w:pStyle w:val="a2"/>
      </w:pPr>
      <w:r>
        <w:t xml:space="preserve">Основная серия включает 6 сценариев, 10 парных начальных значений генератора, 3 бюджета и 5 политик — 900 вариантов размещения. Модель обновляется ежесуточно по доступной прошлой истории. Для каждого сравнения 95-процентный интервал строится по десяти парным прогонам с 10 000 повторными выборками с возвращением; отдельные запросы не считаются независимыми наблюдениями. Конфигурация и результаты сохранены в</w:t>
      </w:r>
      <w:r>
        <w:t xml:space="preserve"> </w:t>
      </w:r>
      <w:r>
        <w:rPr>
          <w:rStyle w:val="VerbatimChar"/>
        </w:rPr>
        <w:t xml:space="preserve">services/sppr/experiments/main.json</w:t>
      </w:r>
      <w:r>
        <w:t xml:space="preserve"> </w:t>
      </w:r>
      <w:r>
        <w:t xml:space="preserve">и</w:t>
      </w:r>
      <w:r>
        <w:t xml:space="preserve"> </w:t>
      </w:r>
      <w:r>
        <w:rPr>
          <w:rStyle w:val="VerbatimChar"/>
        </w:rPr>
        <w:t xml:space="preserve">build/stage11/experiment-main-report.md</w:t>
      </w:r>
      <w:r>
        <w:t xml:space="preserve">.</w:t>
      </w:r>
    </w:p>
    <w:bookmarkEnd w:id="124"/>
    <w:bookmarkStart w:id="126"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3.7 сопоставляет доступные измерения с требованиями. Полная приёмка надёжности требует серии отказов из Таблицы 3.5.</w:t>
      </w:r>
    </w:p>
    <w:bookmarkStart w:id="125" w:name="gost-tbl:technology_acceptance"/>
    <w:p>
      <w:pPr>
        <w:pStyle w:val="TableCaption"/>
      </w:pPr>
      <w:r>
        <w:t xml:space="preserve">Таблица 3.7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Системные показатели и требования"/>
      </w:tblPr>
      <w:tblGrid>
        <w:gridCol w:w="2732"/>
        <w:gridCol w:w="2632"/>
        <w:gridCol w:w="4274"/>
      </w:tblGrid>
      <w:tr>
        <w:trPr>
          <w:tblHeader w:val="on"/>
          <w:cantSplit/>
        </w:trPr>
        <w:tc>
          <w:tcPr>
            <w:tcW w:w="27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263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427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 и соответствие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Полная серия отказов и время восстановления</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Стенд: максимум и p95 246 мс по 7 планам; выполнено в измеренном режиме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Автономный расчёт: куча памяти Go 276–278 МиБ;</w:t>
            </w:r>
            <w:r>
              <w:rPr>
                <w:sz w:val="24"/>
                <w:szCs w:val="24"/>
              </w:rPr>
              <w:t xml:space="preserve"> </w:t>
            </w:r>
            <w:r>
              <w:rPr>
                <w:sz w:val="24"/>
                <w:szCs w:val="24"/>
                <w:highlight w:val="yellow"/>
              </w:rPr>
              <w:t xml:space="preserve">полный расчёт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Потребление при обучении и нагрузке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19,9 мин, пик 1,59 ГиБ вне квоты;</w:t>
            </w:r>
            <w:r>
              <w:rPr>
                <w:sz w:val="24"/>
                <w:szCs w:val="24"/>
              </w:rPr>
              <w:t xml:space="preserve"> </w:t>
            </w:r>
            <w:r>
              <w:rPr>
                <w:sz w:val="24"/>
                <w:szCs w:val="24"/>
                <w:highlight w:val="yellow"/>
              </w:rPr>
              <w:t xml:space="preserve">приёмка в квоте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Измерение в работающем сервисе</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среднего и p95 не более 5 %</w:t>
            </w:r>
          </w:p>
        </w:tc>
        <w:tc>
          <w:tcPr>
            <w:tcW w:w="4274" w:type="dxa"/>
          </w:tcPr>
          <w:p>
            <w:pPr>
              <w:pStyle w:val="Compact"/>
              <w:keepNext w:val="0"/>
              <w:pageBreakBefore w:val="0"/>
              <w:suppressAutoHyphens w:val="1"/>
              <w:spacing w:before="0" w:after="0" w:line="240" w:lineRule="auto"/>
              <w:ind w:firstLine="0" w:left="0" w:right="0"/>
              <w:jc w:val="both"/>
            </w:pPr>
            <w:r>
              <w:rPr>
                <w:sz w:val="24"/>
                <w:szCs w:val="24"/>
                <w:highlight w:val="yellow"/>
              </w:rPr>
              <w:t xml:space="preserve">Измерения без обучения и при обновлении</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p95 не более 2 с</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4,9 и 2,4 мс без авторизации;</w:t>
            </w:r>
            <w:r>
              <w:rPr>
                <w:sz w:val="24"/>
                <w:szCs w:val="24"/>
              </w:rPr>
              <w:t xml:space="preserve"> </w:t>
            </w:r>
            <w:r>
              <w:rPr>
                <w:sz w:val="24"/>
                <w:szCs w:val="24"/>
                <w:highlight w:val="yellow"/>
              </w:rPr>
              <w:t xml:space="preserve">полная проверка API</w:t>
            </w:r>
          </w:p>
        </w:tc>
      </w:tr>
      <w:tr>
        <w:trPr>
          <w:cantSplit/>
        </w:trPr>
        <w:tc>
          <w:tcPr>
            <w:tcW w:w="2732"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и бюджет</w:t>
            </w:r>
          </w:p>
        </w:tc>
        <w:tc>
          <w:tcPr>
            <w:tcW w:w="2632" w:type="dxa"/>
          </w:tcPr>
          <w:p>
            <w:pPr>
              <w:pStyle w:val="Compact"/>
              <w:keepNext w:val="0"/>
              <w:pageBreakBefore w:val="0"/>
              <w:suppressAutoHyphens w:val="1"/>
              <w:spacing w:before="0" w:after="0" w:line="240" w:lineRule="auto"/>
              <w:ind w:firstLine="0" w:left="0" w:right="0"/>
              <w:jc w:val="both"/>
            </w:pPr>
            <w:r>
              <w:rPr>
                <w:sz w:val="24"/>
                <w:szCs w:val="24"/>
              </w:rPr>
              <w:t xml:space="preserve">Без превышений</w:t>
            </w:r>
          </w:p>
        </w:tc>
        <w:tc>
          <w:tcPr>
            <w:tcW w:w="4274" w:type="dxa"/>
          </w:tcPr>
          <w:p>
            <w:pPr>
              <w:pStyle w:val="Compact"/>
              <w:keepNext w:val="0"/>
              <w:pageBreakBefore w:val="0"/>
              <w:suppressAutoHyphens w:val="1"/>
              <w:spacing w:before="0" w:after="0" w:line="240" w:lineRule="auto"/>
              <w:ind w:firstLine="0" w:left="0" w:right="0"/>
              <w:jc w:val="both"/>
            </w:pPr>
            <w:r>
              <w:rPr>
                <w:sz w:val="24"/>
                <w:szCs w:val="24"/>
              </w:rPr>
              <w:t xml:space="preserve">В симуляции инварианты соблюдены;</w:t>
            </w:r>
            <w:r>
              <w:rPr>
                <w:sz w:val="24"/>
                <w:szCs w:val="24"/>
              </w:rPr>
              <w:t xml:space="preserve"> </w:t>
            </w:r>
            <w:r>
              <w:rPr>
                <w:sz w:val="24"/>
                <w:szCs w:val="24"/>
                <w:highlight w:val="yellow"/>
              </w:rPr>
              <w:t xml:space="preserve">стенд и бюджет повторов</w:t>
            </w:r>
          </w:p>
        </w:tc>
      </w:tr>
    </w:tbl>
    <w:bookmarkEnd w:id="125"/>
    <w:p>
      <w:pPr>
        <w:pStyle w:val="a2"/>
        <w:spacing w:before="120"/>
      </w:pPr>
      <w:r>
        <w:t xml:space="preserve">Измерение производительности</w:t>
      </w:r>
      <w:r>
        <w:t xml:space="preserve"> </w:t>
      </w:r>
      <w:r>
        <w:rPr>
          <w:rStyle w:val="VerbatimChar"/>
        </w:rPr>
        <w:t xml:space="preserve">build/stage11/bench-admin-stand-lgbm.json</w:t>
      </w:r>
      <w:r>
        <w:t xml:space="preserve"> </w:t>
      </w:r>
      <w:r>
        <w:t xml:space="preserve">выполнен на 10 000 объектов под клиентской нагрузкой: 100 запросов первой страницы и 100 команд</w:t>
      </w:r>
      <w:r>
        <w:t xml:space="preserve"> </w:t>
      </w:r>
      <w:r>
        <w:rPr>
          <w:i/>
          <w:iCs/>
        </w:rPr>
        <w:t xml:space="preserve">resume</w:t>
      </w:r>
      <w:r>
        <w:t xml:space="preserve"> </w:t>
      </w:r>
      <w:r>
        <w:t xml:space="preserve">со скоростью 2 запроса/с. Авторизация отключена, команда не меняла состояние. Из семи планов один имеет статус</w:t>
      </w:r>
      <w:r>
        <w:t xml:space="preserve"> </w:t>
      </w:r>
      <w:r>
        <w:rPr>
          <w:i/>
          <w:iCs/>
        </w:rPr>
        <w:t xml:space="preserve">history_incomplete</w:t>
      </w:r>
      <w:r>
        <w:t xml:space="preserve">. Эти условия ограничивают перенос результатов на другие команды и полную приёмку.</w:t>
      </w:r>
    </w:p>
    <w:p>
      <w:pPr>
        <w:pStyle w:val="a2"/>
      </w:pPr>
      <w:r>
        <w:t xml:space="preserve">Три автономных запуска</w:t>
      </w:r>
      <w:r>
        <w:t xml:space="preserve"> </w:t>
      </w:r>
      <w:r>
        <w:rPr>
          <w:rStyle w:val="VerbatimChar"/>
        </w:rPr>
        <w:t xml:space="preserve">bench-plan-*.json</w:t>
      </w:r>
      <w:r>
        <w:t xml:space="preserve"> </w:t>
      </w:r>
      <w:r>
        <w:t xml:space="preserve">дали 0,731–0,927 с для ML по истории в памяти. Чтение базы данных, удалённые вызовы, загрузка модели и сохранение плана не измерялись. Первоначальная подготовка включала 16,8 мин расчёта признаков и 3,1 мин обучения на рабочей станции. Эти замеры не подтверждают ресурсы контейнера при одновременной нагрузке.</w:t>
      </w:r>
    </w:p>
    <w:bookmarkEnd w:id="126"/>
    <w:bookmarkStart w:id="129"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приходящихся на K объектов с наибольшим прогнозом. Для оценки на трассах K составляет 9,21 % каталога. Результаты периода настройки из</w:t>
      </w:r>
      <w:r>
        <w:t xml:space="preserve"> </w:t>
      </w:r>
      <w:r>
        <w:rPr>
          <w:rStyle w:val="VerbatimChar"/>
        </w:rPr>
        <w:t xml:space="preserve">docs/ml-report.md</w:t>
      </w:r>
      <w:r>
        <w:t xml:space="preserve"> </w:t>
      </w:r>
      <w:r>
        <w:t xml:space="preserve">приведены в Таблице 3.8; они использовались при настройке и не являются независимым итоговым тестом.</w:t>
      </w:r>
    </w:p>
    <w:bookmarkStart w:id="127" w:name="gost-tbl:ml_validation"/>
    <w:p>
      <w:pPr>
        <w:pStyle w:val="TableCaption"/>
      </w:pPr>
      <w:r>
        <w:t xml:space="preserve">Таблица 3.8 – Покрытие чтений на периоде настройки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Покрытие чтений на периоде настройки"/>
      </w:tblPr>
      <w:tblGrid>
        <w:gridCol w:w="3123"/>
        <w:gridCol w:w="823"/>
        <w:gridCol w:w="2815"/>
        <w:gridCol w:w="2877"/>
      </w:tblGrid>
      <w:tr>
        <w:trPr>
          <w:tblHeader w:val="on"/>
          <w:cantSplit/>
        </w:trPr>
        <w:tc>
          <w:tcPr>
            <w:tcW w:w="312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823"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2815"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287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интервал</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Meta CDN, eag, 0,4 %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+0,139 [0,120; 0,158]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syd01</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+0,094 [0,078; 0,115]</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000, 10 % ключей</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+0,029 [0,021; 0,038]</w:t>
            </w:r>
          </w:p>
        </w:tc>
      </w:tr>
      <w:tr>
        <w:trPr>
          <w:cantSplit/>
        </w:trPr>
        <w:tc>
          <w:tcPr>
            <w:tcW w:w="3123" w:type="dxa"/>
          </w:tcPr>
          <w:p>
            <w:pPr>
              <w:pStyle w:val="Compact"/>
              <w:keepNext w:val="0"/>
              <w:pageBreakBefore w:val="0"/>
              <w:suppressAutoHyphens w:val="1"/>
              <w:spacing w:before="0" w:after="0" w:line="240" w:lineRule="auto"/>
              <w:ind w:firstLine="0" w:left="0" w:right="0"/>
              <w:jc w:val="left"/>
            </w:pPr>
            <w:r>
              <w:rPr>
                <w:sz w:val="24"/>
                <w:szCs w:val="24"/>
              </w:rPr>
              <w:t xml:space="preserve">IBM COS 002, 407 объектов</w:t>
            </w:r>
          </w:p>
        </w:tc>
        <w:tc>
          <w:tcPr>
            <w:tcW w:w="823"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2815"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0,096</w:t>
            </w:r>
          </w:p>
        </w:tc>
        <w:tc>
          <w:tcPr>
            <w:tcW w:w="2877" w:type="dxa"/>
          </w:tcPr>
          <w:p>
            <w:pPr>
              <w:pStyle w:val="Compact"/>
              <w:keepNext w:val="0"/>
              <w:pageBreakBefore w:val="0"/>
              <w:suppressAutoHyphens w:val="1"/>
              <w:spacing w:before="0" w:after="0" w:line="240" w:lineRule="auto"/>
              <w:ind w:firstLine="0" w:left="0" w:right="0"/>
              <w:jc w:val="both"/>
            </w:pPr>
            <w:r>
              <w:rPr>
                <w:sz w:val="24"/>
                <w:szCs w:val="24"/>
              </w:rPr>
              <w:t xml:space="preserve">0,000</w:t>
            </w:r>
          </w:p>
        </w:tc>
      </w:tr>
    </w:tbl>
    <w:bookmarkEnd w:id="127"/>
    <w:p>
      <w:pPr>
        <w:pStyle w:val="a2"/>
        <w:spacing w:before="120"/>
      </w:pPr>
      <w:r>
        <w:t xml:space="preserve">IBM COS 002 содержит регулярный обход объектов без возможности улучшить покрытие; COS 001 исключён из-за утечки через восстановленный каталог.</w:t>
      </w:r>
      <w:r>
        <w:t xml:space="preserve"> </w:t>
      </w:r>
      <w:r>
        <w:rPr>
          <w:highlight w:val="yellow"/>
        </w:rPr>
        <w:t xml:space="preserve">Независимая оценка на итоговом тесте реальных трасс</w:t>
      </w:r>
      <w:r>
        <w:t xml:space="preserve"> </w:t>
      </w:r>
      <w:r>
        <w:t xml:space="preserve">ещё требуется.</w:t>
      </w:r>
    </w:p>
    <w:p>
      <w:pPr>
        <w:pStyle w:val="a2"/>
      </w:pPr>
      <w:r>
        <w:t xml:space="preserve">Для стабильного синтетического теста получены результаты Таблицы 3.9, усреднённые по десяти начальным значениям генератора (</w:t>
      </w:r>
      <w:r>
        <w:rPr>
          <w:rStyle w:val="VerbatimChar"/>
        </w:rPr>
        <w:t xml:space="preserve">build/stage11/forecast-quality/stable-*/evaluate.json</w:t>
      </w:r>
      <w:r>
        <w:t xml:space="preserve">).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8" w:name="gost-tbl:forecast_quality"/>
    <w:p>
      <w:pPr>
        <w:pStyle w:val="TableCaption"/>
      </w:pPr>
      <w:r>
        <w:t xml:space="preserve">Таблица 3.9 – Качество прогноза на стабильном итоговом тесте</w:t>
      </w:r>
    </w:p>
    <w:tbl>
      <w:tblPr>
        <w:tblStyle w:val="Table"/>
        <w:tblW w:type="dxa" w:w="727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Качество прогноза на стабильном итоговом тесте"/>
      </w:tblPr>
      <w:tblGrid>
        <w:gridCol w:w="5062"/>
        <w:gridCol w:w="1002"/>
        <w:gridCol w:w="1214"/>
      </w:tblGrid>
      <w:tr>
        <w:trPr>
          <w:tblHeader w:val="on"/>
          <w:cantSplit/>
        </w:trPr>
        <w:tc>
          <w:tcPr>
            <w:tcW w:w="5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002" w:type="dxa"/>
          </w:tcPr>
          <w:p>
            <w:pPr>
              <w:pStyle w:val="Compact"/>
              <w:keepNext w:val="0"/>
              <w:pageBreakBefore w:val="0"/>
              <w:suppressAutoHyphens w:val="1"/>
              <w:spacing w:before="0" w:after="0" w:line="240" w:lineRule="auto"/>
              <w:ind w:firstLine="0" w:left="0" w:right="0"/>
              <w:jc w:val="center"/>
            </w:pPr>
            <w:r>
              <w:rPr>
                <w:b w:val="1"/>
                <w:sz w:val="24"/>
                <w:szCs w:val="24"/>
              </w:rPr>
              <w:t xml:space="preserve">ML</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PR-AUC</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06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002"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8"/>
    <w:p>
      <w:pPr>
        <w:pStyle w:val="a2"/>
        <w:spacing w:before="120"/>
      </w:pPr>
      <w:r>
        <w:t xml:space="preserve">ML точнее оценивает вероятность и число чтений, но покрытие после округления совпадает с EWMA. При одинаковых размерах и спросе, раскрывающемся через историю, улучшение численной оценки не даёт сопоставимого улучшения ранжирования. Поэтому вывод о полезности модели делается по размещению.</w:t>
      </w:r>
    </w:p>
    <w:bookmarkEnd w:id="129"/>
    <w:bookmarkStart w:id="132"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p95 не более 5 %. Таблица 3.10 показывает основной бюджет; нижняя граница — наименьшая среди четырёх сравнений.</w:t>
      </w:r>
    </w:p>
    <w:bookmarkStart w:id="130" w:name="gost-tbl:policy_results"/>
    <w:p>
      <w:pPr>
        <w:pStyle w:val="TableCaption"/>
      </w:pPr>
      <w:r>
        <w:t xml:space="preserve">Таблица 3.10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Симуляция при бюджете 256 МиБ за цикл"/>
      </w:tblPr>
      <w:tblGrid>
        <w:gridCol w:w="2943"/>
        <w:gridCol w:w="3245"/>
        <w:gridCol w:w="3450"/>
      </w:tblGrid>
      <w:tr>
        <w:trPr>
          <w:tblHeader w:val="on"/>
          <w:cantSplit/>
        </w:trPr>
        <w:tc>
          <w:tcPr>
            <w:tcW w:w="2943"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245"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450"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943"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245"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450"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30"/>
    <w:p>
      <w:pPr>
        <w:pStyle w:val="a2"/>
        <w:spacing w:before="120"/>
      </w:pPr>
      <w:r>
        <w:t xml:space="preserve">Во всех вариантах p95 равен 40 мс. Критерий не выполнен ни в одном сценарии и бюджете. Наибольшее уменьшение относительно EWMA — 3,91 % с интервалом [3,88; 3,95] % при смене набора и бюджете 256 МиБ. В том же случае выигрыш относительно возраста, давности и частоты составляет 52,46 %, 45,53 % и 37,75 %. Таким образом, модель превосходит простые эвристики в отдельных сценариях, но не подтверждает заданное преимущество над каждой базовой политикой.</w:t>
      </w:r>
    </w:p>
    <w:p>
      <w:pPr>
        <w:pStyle w:val="a2"/>
      </w:pPr>
      <w:r>
        <w:t xml:space="preserve">Зависимость от бюджета сведена в Таблицу 3.11. Для остальных сценариев нижняя граница близка к нулю при всех трёх бюджетах.</w:t>
      </w:r>
    </w:p>
    <w:bookmarkStart w:id="131" w:name="gost-tbl:budget_effect"/>
    <w:p>
      <w:pPr>
        <w:pStyle w:val="TableCaption"/>
      </w:pPr>
      <w:r>
        <w:t xml:space="preserve">Таблица 3.11 – Влияние бюджета при смене набора</w:t>
      </w:r>
    </w:p>
    <w:tbl>
      <w:tblPr>
        <w:tblStyle w:val="Table"/>
        <w:tblW w:type="dxa" w:w="9636"/>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1 – Влияние бюджета при смене набора"/>
      </w:tblPr>
      <w:tblGrid>
        <w:gridCol w:w="2798"/>
        <w:gridCol w:w="3317"/>
        <w:gridCol w:w="3521"/>
      </w:tblGrid>
      <w:tr>
        <w:trPr>
          <w:tblHeader w:val="on"/>
          <w:cantSplit/>
        </w:trPr>
        <w:tc>
          <w:tcPr>
            <w:tcW w:w="2798"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3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ML, мс</w:t>
            </w:r>
          </w:p>
        </w:tc>
        <w:tc>
          <w:tcPr>
            <w:tcW w:w="352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798"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317"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521"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31"/>
    <w:p>
      <w:pPr>
        <w:pStyle w:val="a2"/>
        <w:spacing w:before="120"/>
      </w:pPr>
      <w:r>
        <w:t xml:space="preserve">Проба с горячим набором в 30 % каталога и распределением Ципфа внутри него также не подтвердила критерий: при смене набора ML лучше EWMA на 0,77 % [0,64; 0,90] % по трём начальным значениям генератора (</w:t>
      </w:r>
      <w:r>
        <w:rPr>
          <w:rStyle w:val="VerbatimChar"/>
        </w:rPr>
        <w:t xml:space="preserve">build/stage11/probe-skew30-report.md</w:t>
      </w:r>
      <w:r>
        <w:t xml:space="preserve">).</w:t>
      </w:r>
      <w:r>
        <w:t xml:space="preserve"> </w:t>
      </w:r>
      <w:r>
        <w:rPr>
          <w:highlight w:val="yellow"/>
        </w:rPr>
        <w:t xml:space="preserve">Завершённая проверка накладных расходов и системных инвариантов на стенде</w:t>
      </w:r>
      <w:r>
        <w:t xml:space="preserve"> </w:t>
      </w:r>
      <w:r>
        <w:t xml:space="preserve">необходима для вывода о пригодности к целевому развёртыванию.</w:t>
      </w:r>
    </w:p>
    <w:p>
      <w:pPr>
        <w:pStyle w:val="a2"/>
      </w:pPr>
      <w:r>
        <w:t xml:space="preserve">На стенде Docker Compose выполнен один двухчасовой прогон каждой политики при смене набора, бюджете 256 МиБ и нагрузке 20 чтений/с (ревизия 9975645,</w:t>
      </w:r>
      <w:r>
        <w:t xml:space="preserve"> </w:t>
      </w:r>
      <w:r>
        <w:rPr>
          <w:rStyle w:val="VerbatimChar"/>
        </w:rPr>
        <w:t xml:space="preserve">build/stage11/stand-main-report.md</w:t>
      </w:r>
      <w:r>
        <w:t xml:space="preserve">). Средняя задержка ML — 7,8653 мс, EWMA — 10,0176 мс; p95 — 11,6227 и 13,2066 мс. Каждая политика завершила 144 000 чтений без ошибок. Однако у EWMA отмечены два пропуска истории, а ёмкость и бюджет полностью не проверены. Один прогон с различием полноты истории не доказывает преимущество метода.</w:t>
      </w:r>
    </w:p>
    <w:bookmarkEnd w:id="132"/>
    <w:bookmarkEnd w:id="133"/>
    <w:bookmarkStart w:id="137"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открывается по адресу</w:t>
      </w:r>
      <w:r>
        <w:t xml:space="preserve"> </w:t>
      </w:r>
      <w:r>
        <w:rPr>
          <w:rStyle w:val="VerbatimChar"/>
        </w:rPr>
        <w:t xml:space="preserve">http://localhost:8086/admin</w:t>
      </w:r>
      <w:r>
        <w:t xml:space="preserve"> </w:t>
      </w:r>
      <w:r>
        <w:t xml:space="preserve">локального развёртывания. Вход требует учётной записи Auth с правом ADMIN на</w:t>
      </w:r>
      <w:r>
        <w:t xml:space="preserve"> </w:t>
      </w:r>
      <w:r>
        <w:rPr>
          <w:rStyle w:val="VerbatimChar"/>
        </w:rPr>
        <w:t xml:space="preserve">system:placement</w:t>
      </w:r>
      <w:r>
        <w:t xml:space="preserve">. На странице «Состояние» проверяются полнота истории, метод и возраст модели, занятость классов и остаток бюджета. Доступность HTTP-службы сама по себе не означает готовности к расчёту рекомендаций.</w:t>
      </w:r>
    </w:p>
    <w:bookmarkStart w:id="134"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администратор задаёт допустимую загрузку классов, бюджет, интервал повторных переносов и закрепления. В основном профиле используются загрузка 0,9, бюджет 268 435 456 байт за 300 с и интервал 3600 с. Параллелизм задаётся конфигурацией развёртывания. После сохранения для немедленного применения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w:t>
      </w:r>
      <w:r>
        <w:t xml:space="preserve"> </w:t>
      </w:r>
      <w:r>
        <w:rPr>
          <w:rStyle w:val="VerbatimChar"/>
        </w:rPr>
        <w:t xml:space="preserve">history_incomplete</w:t>
      </w:r>
      <w:r>
        <w:t xml:space="preserve"> </w:t>
      </w:r>
      <w:r>
        <w:t xml:space="preserve">восстановить сбор истории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DEPENDENCY_REQUIRED добавить перечисленные действия; система не добавляет их автоматически.</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p>
      <w:pPr>
        <w:pStyle w:val="FirstParagraph"/>
      </w:pPr>
      <w:r>
        <w:t xml:space="preserve">Для отказа используется «Отклонить план». Если появилась новая ревизия, прежний выбор требуется пересмотреть. Обучение вне расписания запускается кнопкой «Переобучить модель», результат доступен на странице «Модели».</w:t>
      </w:r>
    </w:p>
    <w:bookmarkEnd w:id="134"/>
    <w:bookmarkStart w:id="136"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выдачу новых переносов; начатые операции завершаются, очистка продолжается. Действие «Отменить ожидающие действия плана» отменяет ещё не начатые переносы вместе с зависимыми. После сетевого сбоя следует проверить статус исходной команды или повторить её с прежним идентификатором. Основные ситуации сведены в Таблицу 3.12.</w:t>
      </w:r>
    </w:p>
    <w:bookmarkStart w:id="135" w:name="gost-tbl:admin_exceptions"/>
    <w:p>
      <w:pPr>
        <w:pStyle w:val="TableCaption"/>
      </w:pPr>
      <w:r>
        <w:t xml:space="preserve">Таблица 3.12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2 – Действия при отказах и блокировках"/>
      </w:tblPr>
      <w:tblGrid>
        <w:gridCol w:w="4200"/>
        <w:gridCol w:w="5438"/>
      </w:tblGrid>
      <w:tr>
        <w:trPr>
          <w:tblHeader w:val="on"/>
          <w:cantSplit/>
        </w:trPr>
        <w:tc>
          <w:tcPr>
            <w:tcW w:w="4200"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43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PLAN_STALE, DEPENDENCY_REQUIRED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ACCESS_DENIED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проверить ADMIN; при недоступности — Auth и AuthZ</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history_incomplete</w:t>
            </w:r>
            <w:r>
              <w:rPr>
                <w:sz w:val="24"/>
                <w:szCs w:val="24"/>
              </w:rPr>
              <w:t xml:space="preserve">, устаревшая модель</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200" w:type="dxa"/>
          </w:tcPr>
          <w:p>
            <w:pPr>
              <w:pStyle w:val="Compact"/>
              <w:keepNext w:val="0"/>
              <w:pageBreakBefore w:val="0"/>
              <w:suppressAutoHyphens w:val="1"/>
              <w:spacing w:before="0" w:after="0" w:line="240" w:lineRule="auto"/>
              <w:ind w:firstLine="0" w:left="0" w:right="0"/>
              <w:jc w:val="left"/>
            </w:pPr>
            <w:r>
              <w:rPr>
                <w:rStyle w:val="VerbatimChar"/>
                <w:sz w:val="24"/>
                <w:szCs w:val="24"/>
              </w:rPr>
              <w:t xml:space="preserve">verify_mismatch</w:t>
            </w:r>
            <w:r>
              <w:rPr>
                <w:sz w:val="24"/>
                <w:szCs w:val="24"/>
              </w:rPr>
              <w:t xml:space="preserve">,</w:t>
            </w:r>
            <w:r>
              <w:rPr>
                <w:sz w:val="24"/>
                <w:szCs w:val="24"/>
              </w:rPr>
              <w:t xml:space="preserve"> </w:t>
            </w:r>
            <w:r>
              <w:rPr>
                <w:rStyle w:val="VerbatimChar"/>
                <w:sz w:val="24"/>
                <w:szCs w:val="24"/>
              </w:rPr>
              <w:t xml:space="preserve">stale</w:t>
            </w:r>
            <w:r>
              <w:rPr>
                <w:sz w:val="24"/>
                <w:szCs w:val="24"/>
              </w:rPr>
              <w:t xml:space="preserve">,</w:t>
            </w:r>
            <w:r>
              <w:rPr>
                <w:sz w:val="24"/>
                <w:szCs w:val="24"/>
              </w:rPr>
              <w:t xml:space="preserve"> </w:t>
            </w:r>
            <w:r>
              <w:rPr>
                <w:rStyle w:val="VerbatimChar"/>
                <w:sz w:val="24"/>
                <w:szCs w:val="24"/>
              </w:rPr>
              <w:t xml:space="preserve">cleanup_failed</w:t>
            </w:r>
          </w:p>
        </w:tc>
        <w:tc>
          <w:tcPr>
            <w:tcW w:w="5438"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5"/>
    <w:p>
      <w:pPr>
        <w:pStyle w:val="a2"/>
        <w:spacing w:before="120"/>
      </w:pPr>
      <w:r>
        <w:t xml:space="preserve">Формы и расшифровки отказов проверены модульными тестами обработчиков.</w:t>
      </w:r>
      <w:r>
        <w:t xml:space="preserve"> </w:t>
      </w:r>
      <w:r>
        <w:rPr>
          <w:highlight w:val="yellow"/>
        </w:rPr>
        <w:t xml:space="preserve">Пользовательская проверка понимания зависимостей, подтверждения и результата переноса</w:t>
      </w:r>
      <w:r>
        <w:t xml:space="preserve"> </w:t>
      </w:r>
      <w:r>
        <w:t xml:space="preserve">не заменяется этими тестами.</w:t>
      </w:r>
    </w:p>
    <w:bookmarkEnd w:id="136"/>
    <w:bookmarkEnd w:id="137"/>
    <w:bookmarkStart w:id="138" w:name="выводы-по-технологическому-разделу"/>
    <w:p>
      <w:pPr>
        <w:pStyle w:val="21"/>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Основная симуляционная серия воспроизводима, но заданное преимущество над каждой базовой политикой не подтверждено. Наибольший выигрыш относительно EWMA составляет 3,91 %, ниже порога 5 %. Результаты настройки на реальных трассах показывают перспективность прогноза для разреженного спроса; независимый итоговый тест и стендовая приёмка необходимы для окончательного вывода.</w:t>
      </w:r>
    </w:p>
    <w:bookmarkEnd w:id="138"/>
    <w:bookmarkEnd w:id="139"/>
    <w:bookmarkStart w:id="140"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w:t>
      </w:r>
      <w:r>
        <w:t xml:space="preserve"> </w:t>
      </w:r>
      <w:r>
        <w:rPr>
          <w:highlight w:val="yellow"/>
        </w:rPr>
        <w:t xml:space="preserve">Полная проверка сохранности при одиночных отказах и измерение восстановления по M-01–M-06</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и отделены результаты периода настройки реальных трасс от ожидаемой итоговой оценки на тестовом периоде.</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ML и эвристики. Математическая модель, протокол переноса и разделение прогноза, выбора и исполнения могут использоваться при проектировании управления классами хранения с другими моделями спроса.</w:t>
      </w:r>
    </w:p>
    <w:p>
      <w:pPr>
        <w:pStyle w:val="a2"/>
      </w:pPr>
      <w:r>
        <w:t xml:space="preserve">Результаты не подтверждают безусловного преимущества ML. В сценарии смены набора при бюджете 256 МиБ средняя задержка уменьшилась на 52,46 % относительно возраста, на 45,53 % относительно давности и на 37,75 % относительно частоты. Относительно EWMA выигрыш составил 3,91 % с 95-процентным интервалом [3,88; 3,95] %. Ни один сценарий и бюджет не выполнил заранее заданный критерий нижней границы не менее 5 % против каждой базовой политики при допустимом p95. На стабильной синтетике улучшение оценка Брайера и средняя абсолютная ошибка сопровождается практически одинаковым ранжированием, поэтому точность численной оценки сама по себе не обеспечивает лучшего использования HOT.</w:t>
      </w:r>
    </w:p>
    <w:p>
      <w:pPr>
        <w:pStyle w:val="a2"/>
      </w:pPr>
      <w:r>
        <w:t xml:space="preserve">На периоде VALIDATION модель лучше лучшей базовой оценки по покрытию на Meta CDN, Docker Registry и IBM COS 000. Эти результаты показывают целесообразность дальнейшей проверки на разреженном реальном спросе с различающимися метаданными, но не заменяют итоговый тест и измерение задержек после размещения.</w:t>
      </w:r>
      <w:r>
        <w:t xml:space="preserve"> </w:t>
      </w:r>
      <w:r>
        <w:rPr>
          <w:highlight w:val="yellow"/>
        </w:rPr>
        <w:t xml:space="preserve">Итоговый тест реальных трасс, повторное стендовое сравнение ML и EWMA и измерения накладных расходов.</w:t>
      </w:r>
    </w:p>
    <w:p>
      <w:pPr>
        <w:pStyle w:val="a2"/>
      </w:pPr>
      <w:r>
        <w:t xml:space="preserve">Дальнейшая работа включает независимый итоговый тест без повторного подбора параметров,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bookmarkEnd w:id="140"/>
    <w:bookmarkStart w:id="202"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41">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4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4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44">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5">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6">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7">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8">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9">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50">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51">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52">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53">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54">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5">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6">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7">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8">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9">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60">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6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6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6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64">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7">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8">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9">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70">
        <w:r>
          <w:rPr>
            <w:rStyle w:val="af4"/>
          </w:rPr>
          <w:t xml:space="preserve">10.14778/3357377.3357381</w:t>
        </w:r>
      </w:hyperlink>
      <w:r>
        <w:t xml:space="preserve">. URL:</w:t>
      </w:r>
      <w:r>
        <w:t xml:space="preserve"> </w:t>
      </w:r>
      <w:hyperlink r:id="rId171">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72">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73">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74">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5">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6">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7">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8">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9">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80">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81">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82">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83">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84">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5">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6">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7">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8">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9">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90">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91">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92">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93">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94">
        <w:r>
          <w:rPr>
            <w:rStyle w:val="af4"/>
          </w:rPr>
          <w:t xml:space="preserve">https://​protect.​gost.​ru/​gost/​details/​0c85e066-​f89e-​433d-​a6d3-​b7f746bd0c7c</w:t>
        </w:r>
      </w:hyperlink>
      <w:r>
        <w:t xml:space="preserve">, текст стандарта:</w:t>
      </w:r>
      <w:r>
        <w:t xml:space="preserve"> </w:t>
      </w:r>
      <w:hyperlink r:id="rId195">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6">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7">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8">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9">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200">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201">
        <w:r>
          <w:rPr>
            <w:rStyle w:val="af4"/>
          </w:rPr>
          <w:t xml:space="preserve">https://​www.​rabbitmq.​com/​docs/​streams</w:t>
        </w:r>
      </w:hyperlink>
      <w:r>
        <w:t xml:space="preserve"> </w:t>
      </w:r>
      <w:r>
        <w:t xml:space="preserve">(дата обращения: 26.10.2026).</w:t>
      </w:r>
    </w:p>
    <w:bookmarkEnd w:id="202"/>
    <w:bookmarkStart w:id="203"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bookmarkEnd w:id="203"/>
    <w:bookmarkStart w:id="208"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7" w:name="gost-fig:er"/>
    <w:p>
      <w:pPr>
        <w:pStyle w:val="CaptionedFigure"/>
        <w:keepNext w:val="1"/>
      </w:pPr>
      <w:r>
        <w:drawing>
          <wp:inline>
            <wp:extent cx="4732739" cy="6840000"/>
            <wp:effectExtent b="0" l="0" r="0" t="0"/>
            <wp:docPr descr="Модель данных метаданных и СППР" title="" id="205" name="Picture"/>
            <a:graphic>
              <a:graphicData uri="http://schemas.openxmlformats.org/drawingml/2006/picture">
                <pic:pic>
                  <pic:nvPicPr>
                    <pic:cNvPr descr="images/er.png" id="206" name="Picture"/>
                    <pic:cNvPicPr>
                      <a:picLocks noChangeArrowheads="1" noChangeAspect="1"/>
                    </pic:cNvPicPr>
                  </pic:nvPicPr>
                  <pic:blipFill>
                    <a:blip r:embed="rId204"/>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7"/>
    <w:bookmarkEnd w:id="208"/>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4" Target="media/rId204.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80" Target="https://arxiv.org/abs/2207.08815" TargetMode="External" /><Relationship Type="http://schemas.openxmlformats.org/officeDocument/2006/relationships/hyperlink" Id="rId157" Target="https://arxiv.org/abs/2305.14818" TargetMode="External" /><Relationship Type="http://schemas.openxmlformats.org/officeDocument/2006/relationships/hyperlink" Id="rId159" Target="https://aws.amazon.com/s3/pricing/" TargetMode="External" /><Relationship Type="http://schemas.openxmlformats.org/officeDocument/2006/relationships/hyperlink" Id="rId161" Target="https://cachelib.org/docs/Cache_Library_User_Guides/Cachebench_FB_HW_eval/" TargetMode="External" /><Relationship Type="http://schemas.openxmlformats.org/officeDocument/2006/relationships/hyperlink" Id="rId199" Target="https://catboost.ai/docs/en/concepts/loss-functions-regression" TargetMode="External" /><Relationship Type="http://schemas.openxmlformats.org/officeDocument/2006/relationships/hyperlink" Id="rId200" Target="https://dev.mysql.com/doc/refman/8.4/en/innodb-introduction.html" TargetMode="External" /><Relationship Type="http://schemas.openxmlformats.org/officeDocument/2006/relationships/hyperlink" Id="rId155" Target="https://docs.aws.amazon.com/AmazonS3/latest/API/API_GetObject.html" TargetMode="External" /><Relationship Type="http://schemas.openxmlformats.org/officeDocument/2006/relationships/hyperlink" Id="rId156" Target="https://docs.aws.amazon.com/AmazonS3/latest/userguide/LogFormat.html" TargetMode="External" /><Relationship Type="http://schemas.openxmlformats.org/officeDocument/2006/relationships/hyperlink" Id="rId174" Target="https://docs.aws.amazon.com/AmazonS3/latest/userguide/ServerLogs.html" TargetMode="External" /><Relationship Type="http://schemas.openxmlformats.org/officeDocument/2006/relationships/hyperlink" Id="rId148" Target="https://docs.aws.amazon.com/AmazonS3/latest/userguide/Versioning.html" TargetMode="External" /><Relationship Type="http://schemas.openxmlformats.org/officeDocument/2006/relationships/hyperlink" Id="rId160" Target="https://docs.aws.amazon.com/AmazonS3/latest/userguide/Welcome.html" TargetMode="External" /><Relationship Type="http://schemas.openxmlformats.org/officeDocument/2006/relationships/hyperlink" Id="rId186" Target="https://docs.aws.amazon.com/AmazonS3/latest/userguide/checking-object-integrity-upload.html" TargetMode="External" /><Relationship Type="http://schemas.openxmlformats.org/officeDocument/2006/relationships/hyperlink" Id="rId144" Target="https://docs.aws.amazon.com/AmazonS3/latest/userguide/intelligent-tiering-overview.html" TargetMode="External" /><Relationship Type="http://schemas.openxmlformats.org/officeDocument/2006/relationships/hyperlink" Id="rId150" Target="https://docs.aws.amazon.com/AmazonS3/latest/userguide/lifecycle-transition-general-considerations.html" TargetMode="External" /><Relationship Type="http://schemas.openxmlformats.org/officeDocument/2006/relationships/hyperlink" Id="rId147" Target="https://docs.aws.amazon.com/AmazonS3/latest/userguide/object-keys.html" TargetMode="External" /><Relationship Type="http://schemas.openxmlformats.org/officeDocument/2006/relationships/hyperlink" Id="rId143" Target="https://docs.aws.amazon.com/AmazonS3/latest/userguide/object-lifecycle-mgmt.html" TargetMode="External" /><Relationship Type="http://schemas.openxmlformats.org/officeDocument/2006/relationships/hyperlink" Id="rId142" Target="https://docs.aws.amazon.com/AmazonS3/latest/userguide/storage-class-intro.html" TargetMode="External" /><Relationship Type="http://schemas.openxmlformats.org/officeDocument/2006/relationships/hyperlink" Id="rId152" Target="https://docs.ceph.com/en/squid/rados/operations/crush-map-edits/" TargetMode="External" /><Relationship Type="http://schemas.openxmlformats.org/officeDocument/2006/relationships/hyperlink" Id="rId173" Target="https://docs.ceph.com/en/squid/radosgw/layout/" TargetMode="External" /><Relationship Type="http://schemas.openxmlformats.org/officeDocument/2006/relationships/hyperlink" Id="rId151" Target="https://docs.ceph.com/en/squid/radosgw/placement/" TargetMode="External" /><Relationship Type="http://schemas.openxmlformats.org/officeDocument/2006/relationships/hyperlink" Id="rId153" Target="https://docs.min.io/aistor/administration/object-lifecycle-management/" TargetMode="External" /><Relationship Type="http://schemas.openxmlformats.org/officeDocument/2006/relationships/hyperlink" Id="rId154" Target="https://docs.min.io/aistor/administration/object-lifecycle-management/object-tiering/" TargetMode="External" /><Relationship Type="http://schemas.openxmlformats.org/officeDocument/2006/relationships/hyperlink" Id="rId175" Target="https://doi.org/10.1007/978-3-540-24777-7" TargetMode="External" /><Relationship Type="http://schemas.openxmlformats.org/officeDocument/2006/relationships/hyperlink" Id="rId176" Target="https://doi.org/10.1016/0304-4076(86)90002-3" TargetMode="External" /><Relationship Type="http://schemas.openxmlformats.org/officeDocument/2006/relationships/hyperlink" Id="rId145" Target="https://doi.org/10.1016/j.comcom.2026.108437" TargetMode="External" /><Relationship Type="http://schemas.openxmlformats.org/officeDocument/2006/relationships/hyperlink" Id="rId172" Target="https://doi.org/10.1109/FiCloud66139.2025.00024" TargetMode="External" /><Relationship Type="http://schemas.openxmlformats.org/officeDocument/2006/relationships/hyperlink" Id="rId183" Target="https://doi.org/10.1145/1143844.1143874" TargetMode="External" /><Relationship Type="http://schemas.openxmlformats.org/officeDocument/2006/relationships/hyperlink" Id="rId141" Target="https://doi.org/10.1145/3803857" TargetMode="External" /><Relationship Type="http://schemas.openxmlformats.org/officeDocument/2006/relationships/hyperlink" Id="rId184" Target="https://doi.org/10.1175/1520-0493(1950)078%3C0001:VOFEIT%3E2.0.CO;2" TargetMode="External" /><Relationship Type="http://schemas.openxmlformats.org/officeDocument/2006/relationships/hyperlink" Id="rId177" Target="https://doi.org/10.1214/aos/1013203451" TargetMode="External" /><Relationship Type="http://schemas.openxmlformats.org/officeDocument/2006/relationships/hyperlink" Id="rId185" Target="https://doi.org/10.1287/opre.5.2.266" TargetMode="External" /><Relationship Type="http://schemas.openxmlformats.org/officeDocument/2006/relationships/hyperlink" Id="rId170" Target="https://doi.org/10.14778/3357377.3357381" TargetMode="External" /><Relationship Type="http://schemas.openxmlformats.org/officeDocument/2006/relationships/hyperlink" Id="rId146" Target="https://doi.org/10.17586/2226-1494-2023-23-6-1171-1177" TargetMode="External" /><Relationship Type="http://schemas.openxmlformats.org/officeDocument/2006/relationships/hyperlink" Id="rId179" Target="https://doi.org/10.2307/2344614" TargetMode="External" /><Relationship Type="http://schemas.openxmlformats.org/officeDocument/2006/relationships/hyperlink" Id="rId149" Target="https://github.com/alesplll/opens3-rebac/tree/ac858c748b5d3af96f0440864f4b299e7b617d76" TargetMode="External" /><Relationship Type="http://schemas.openxmlformats.org/officeDocument/2006/relationships/hyperlink" Id="rId163" Target="https://github.com/cacheMon/cache_dataset" TargetMode="External" /><Relationship Type="http://schemas.openxmlformats.org/officeDocument/2006/relationships/hyperlink" Id="rId190" Target="https://github.com/dmitryikh/leaves" TargetMode="External" /><Relationship Type="http://schemas.openxmlformats.org/officeDocument/2006/relationships/hyperlink" Id="rId168" Target="https://github.com/ds2-lab/IBM-docker-registry-traces" TargetMode="External" /><Relationship Type="http://schemas.openxmlformats.org/officeDocument/2006/relationships/hyperlink" Id="rId162" Target="https://github.com/facebook/CacheLib/blob/0f7e808335599ca5d0e935d35aad75db8dc63f16/cachelib/cachebench/util/Request.h" TargetMode="External" /><Relationship Type="http://schemas.openxmlformats.org/officeDocument/2006/relationships/hyperlink" Id="rId193" Target="https://github.com/yalue/onnxruntime_go" TargetMode="External" /><Relationship Type="http://schemas.openxmlformats.org/officeDocument/2006/relationships/hyperlink" Id="rId166" Target="https://iotta.snia.org/tracetypes/17" TargetMode="External" /><Relationship Type="http://schemas.openxmlformats.org/officeDocument/2006/relationships/hyperlink" Id="rId192" Target="https://kafka.apache.org/documentation/#semantics" TargetMode="External" /><Relationship Type="http://schemas.openxmlformats.org/officeDocument/2006/relationships/hyperlink" Id="rId178" Target="https://lightgbm.readthedocs.io/en/latest/Parameters.html" TargetMode="External" /><Relationship Type="http://schemas.openxmlformats.org/officeDocument/2006/relationships/hyperlink" Id="rId189" Target="https://papers.nips.cc/paper/6907-lightgbm-a-highly-efficient-gradient-boosting-decision-tree" TargetMode="External" /><Relationship Type="http://schemas.openxmlformats.org/officeDocument/2006/relationships/hyperlink" Id="rId194" Target="https://protect.gost.ru/gost/details/0c85e066-f89e-433d-a6d3-b7f746bd0c7c" TargetMode="External" /><Relationship Type="http://schemas.openxmlformats.org/officeDocument/2006/relationships/hyperlink" Id="rId164" Target="https://s3.amazonaws.com/cache-datasets/index.html" TargetMode="External" /><Relationship Type="http://schemas.openxmlformats.org/officeDocument/2006/relationships/hyperlink" Id="rId181" Target="https://scikit-learn.org/stable/common_pitfalls.html" TargetMode="External" /><Relationship Type="http://schemas.openxmlformats.org/officeDocument/2006/relationships/hyperlink" Id="rId182" Target="https://scikit-learn.org/stable/modules/generated/sklearn.model_selection.TimeSeriesSplit.html" TargetMode="External" /><Relationship Type="http://schemas.openxmlformats.org/officeDocument/2006/relationships/hyperlink" Id="rId196" Target="https://www.itl.nist.gov/div898/handbook/pmc/section3/pmc324.htm" TargetMode="External" /><Relationship Type="http://schemas.openxmlformats.org/officeDocument/2006/relationships/hyperlink" Id="rId188" Target="https://www.omg.org/spec/BPMN/2.0.2/" TargetMode="External" /><Relationship Type="http://schemas.openxmlformats.org/officeDocument/2006/relationships/hyperlink" Id="rId187" Target="https://www.omg.org/spec/UML/2.5.1/" TargetMode="External" /><Relationship Type="http://schemas.openxmlformats.org/officeDocument/2006/relationships/hyperlink" Id="rId169" Target="https://www.pdl.cmu.edu/CILES/" TargetMode="External" /><Relationship Type="http://schemas.openxmlformats.org/officeDocument/2006/relationships/hyperlink" Id="rId191" Target="https://www.postgresql.org/docs/16/mvcc.html" TargetMode="External" /><Relationship Type="http://schemas.openxmlformats.org/officeDocument/2006/relationships/hyperlink" Id="rId201" Target="https://www.rabbitmq.com/docs/streams" TargetMode="External" /><Relationship Type="http://schemas.openxmlformats.org/officeDocument/2006/relationships/hyperlink" Id="rId197" Target="https://www.rfc-editor.org/rfc/rfc1321" TargetMode="External" /><Relationship Type="http://schemas.openxmlformats.org/officeDocument/2006/relationships/hyperlink" Id="rId165" Target="https://www.snia.org/sites/default/files/SDCEMEA/2021/snia-evaluating-cache-performance-using-cloud-storage-traces.pdf" TargetMode="External" /><Relationship Type="http://schemas.openxmlformats.org/officeDocument/2006/relationships/hyperlink" Id="rId195" Target="https://www.swrit.ru/doc/espd/19.701-90.pdf" TargetMode="External" /><Relationship Type="http://schemas.openxmlformats.org/officeDocument/2006/relationships/hyperlink" Id="rId167" Target="https://www.usenix.org/conference/fast18/presentation/anwar" TargetMode="External" /><Relationship Type="http://schemas.openxmlformats.org/officeDocument/2006/relationships/hyperlink" Id="rId158" Target="https://www.usenix.org/conference/fast24/presentation/wong" TargetMode="External" /><Relationship Type="http://schemas.openxmlformats.org/officeDocument/2006/relationships/hyperlink" Id="rId171" Target="https://www.vldb.org/pvldb/vol13/p43-herodotou.pdf" TargetMode="External" /><Relationship Type="http://schemas.openxmlformats.org/officeDocument/2006/relationships/hyperlink" Id="rId198"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2026-10-29T02:51:22Z</dcterms:created>
  <dcterms:modified xsi:type="dcterms:W3CDTF">2026-10-29T02:51:22Z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