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4.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09">
            <w:r>
              <w:t>ВВЕДЕНИЕ</w:t>
            </w:r>
          </w:hyperlink>
          <w:r>
            <w:tab/>
          </w:r>
          <w:fldSimple w:instr="PAGEREF &quot;GOSTHeading209&quot; \h" w:dirty="true">
            <w:r>
              <w:t>—</w:t>
            </w:r>
          </w:fldSimple>
        </w:p>
        <w:p>
          <w:pPr>
            <w:pStyle w:val="10"/>
          </w:pPr>
          <w:hyperlink w:anchor="GOSTHeading210">
            <w:r>
              <w:t>ЛИТЕРАТУРНЫЙ ОБЗОР</w:t>
            </w:r>
          </w:hyperlink>
          <w:r>
            <w:tab/>
          </w:r>
          <w:fldSimple w:instr="PAGEREF &quot;GOSTHeading210&quot; \h" w:dirty="true">
            <w:r>
              <w:t>—</w:t>
            </w:r>
          </w:fldSimple>
        </w:p>
        <w:p>
          <w:pPr>
            <w:pStyle w:val="10"/>
          </w:pPr>
          <w:hyperlink w:anchor="GOSTHeading211">
            <w:r>
              <w:t>1 ИССЛЕДОВАТЕЛЬСКИЙ РАЗДЕЛ</w:t>
            </w:r>
          </w:hyperlink>
          <w:r>
            <w:tab/>
          </w:r>
          <w:fldSimple w:instr="PAGEREF &quot;GOSTHeading211&quot; \h" w:dirty="true">
            <w:r>
              <w:t>—</w:t>
            </w:r>
          </w:fldSimple>
        </w:p>
        <w:p>
          <w:pPr>
            <w:pStyle w:val="22"/>
          </w:pPr>
          <w:hyperlink w:anchor="GOSTHeading212">
            <w:r>
              <w:t>1.1 Анализ предметной области</w:t>
            </w:r>
          </w:hyperlink>
          <w:r>
            <w:tab/>
          </w:r>
          <w:fldSimple w:instr="PAGEREF &quot;GOSTHeading212&quot; \h" w:dirty="true">
            <w:r>
              <w:t>—</w:t>
            </w:r>
          </w:fldSimple>
        </w:p>
        <w:p>
          <w:pPr>
            <w:pStyle w:val="31"/>
          </w:pPr>
          <w:hyperlink w:anchor="GOSTHeading213">
            <w:r>
              <w:t>1.1.1 Предметная область и участники процесса</w:t>
            </w:r>
          </w:hyperlink>
          <w:r>
            <w:tab/>
          </w:r>
          <w:fldSimple w:instr="PAGEREF &quot;GOSTHeading213&quot; \h" w:dirty="true">
            <w:r>
              <w:t>—</w:t>
            </w:r>
          </w:fldSimple>
        </w:p>
        <w:p>
          <w:pPr>
            <w:pStyle w:val="31"/>
          </w:pPr>
          <w:hyperlink w:anchor="GOSTHeading214">
            <w:r>
              <w:t>1.1.2 Объектная модель и единица размещения</w:t>
            </w:r>
          </w:hyperlink>
          <w:r>
            <w:tab/>
          </w:r>
          <w:fldSimple w:instr="PAGEREF &quot;GOSTHeading214&quot; \h" w:dirty="true">
            <w:r>
              <w:t>—</w:t>
            </w:r>
          </w:fldSimple>
        </w:p>
        <w:p>
          <w:pPr>
            <w:pStyle w:val="31"/>
          </w:pPr>
          <w:hyperlink w:anchor="GOSTHeading215">
            <w:r>
              <w:t>1.1.3 Классы хранения и характеристики ресурсов</w:t>
            </w:r>
          </w:hyperlink>
          <w:r>
            <w:tab/>
          </w:r>
          <w:fldSimple w:instr="PAGEREF &quot;GOSTHeading215&quot; \h" w:dirty="true">
            <w:r>
              <w:t>—</w:t>
            </w:r>
          </w:fldSimple>
        </w:p>
        <w:p>
          <w:pPr>
            <w:pStyle w:val="31"/>
          </w:pPr>
          <w:hyperlink w:anchor="GOSTHeading216">
            <w:r>
              <w:t>1.1.4 Востребованность и история обращений</w:t>
            </w:r>
          </w:hyperlink>
          <w:r>
            <w:tab/>
          </w:r>
          <w:fldSimple w:instr="PAGEREF &quot;GOSTHeading216&quot; \h" w:dirty="true">
            <w:r>
              <w:t>—</w:t>
            </w:r>
          </w:fldSimple>
        </w:p>
        <w:p>
          <w:pPr>
            <w:pStyle w:val="31"/>
          </w:pPr>
          <w:hyperlink w:anchor="GOSTHeading217">
            <w:r>
              <w:t>1.1.5 Способы управления размещением</w:t>
            </w:r>
          </w:hyperlink>
          <w:r>
            <w:tab/>
          </w:r>
          <w:fldSimple w:instr="PAGEREF &quot;GOSTHeading217&quot; \h" w:dirty="true">
            <w:r>
              <w:t>—</w:t>
            </w:r>
          </w:fldSimple>
        </w:p>
        <w:p>
          <w:pPr>
            <w:pStyle w:val="31"/>
          </w:pPr>
          <w:hyperlink w:anchor="GOSTHeading218">
            <w:r>
              <w:t>1.1.6 Ресурсные ограничения и затраты</w:t>
            </w:r>
          </w:hyperlink>
          <w:r>
            <w:tab/>
          </w:r>
          <w:fldSimple w:instr="PAGEREF &quot;GOSTHeading218&quot; \h" w:dirty="true">
            <w:r>
              <w:t>—</w:t>
            </w:r>
          </w:fldSimple>
        </w:p>
        <w:p>
          <w:pPr>
            <w:pStyle w:val="31"/>
          </w:pPr>
          <w:hyperlink w:anchor="GOSTHeading219">
            <w:r>
              <w:t>1.1.7 Согласованность и безопасное перемещение</w:t>
            </w:r>
          </w:hyperlink>
          <w:r>
            <w:tab/>
          </w:r>
          <w:fldSimple w:instr="PAGEREF &quot;GOSTHeading219&quot; \h" w:dirty="true">
            <w:r>
              <w:t>—</w:t>
            </w:r>
          </w:fldSimple>
        </w:p>
        <w:p>
          <w:pPr>
            <w:pStyle w:val="31"/>
          </w:pPr>
          <w:hyperlink w:anchor="GOSTHeading220">
            <w:r>
              <w:t>1.1.8 Источники данных и условия исследования</w:t>
            </w:r>
          </w:hyperlink>
          <w:r>
            <w:tab/>
          </w:r>
          <w:fldSimple w:instr="PAGEREF &quot;GOSTHeading220&quot; \h" w:dirty="true">
            <w:r>
              <w:t>—</w:t>
            </w:r>
          </w:fldSimple>
        </w:p>
        <w:p>
          <w:pPr>
            <w:pStyle w:val="22"/>
          </w:pPr>
          <w:hyperlink w:anchor="GOSTHeading221">
            <w:r>
              <w:t>1.2 Анализ существующих решений</w:t>
            </w:r>
          </w:hyperlink>
          <w:r>
            <w:tab/>
          </w:r>
          <w:fldSimple w:instr="PAGEREF &quot;GOSTHeading221&quot; \h" w:dirty="true">
            <w:r>
              <w:t>—</w:t>
            </w:r>
          </w:fldSimple>
        </w:p>
        <w:p>
          <w:pPr>
            <w:pStyle w:val="31"/>
          </w:pPr>
          <w:hyperlink w:anchor="GOSTHeading222">
            <w:r>
              <w:t>1.2.1 Анализ критериев</w:t>
            </w:r>
          </w:hyperlink>
          <w:r>
            <w:tab/>
          </w:r>
          <w:fldSimple w:instr="PAGEREF &quot;GOSTHeading222&quot; \h" w:dirty="true">
            <w:r>
              <w:t>—</w:t>
            </w:r>
          </w:fldSimple>
        </w:p>
        <w:p>
          <w:pPr>
            <w:pStyle w:val="31"/>
          </w:pPr>
          <w:hyperlink w:anchor="GOSTHeading223">
            <w:r>
              <w:t>1.2.2 Обзор аналогов</w:t>
            </w:r>
          </w:hyperlink>
          <w:r>
            <w:tab/>
          </w:r>
          <w:fldSimple w:instr="PAGEREF &quot;GOSTHeading223&quot; \h" w:dirty="true">
            <w:r>
              <w:t>—</w:t>
            </w:r>
          </w:fldSimple>
        </w:p>
        <w:p>
          <w:pPr>
            <w:pStyle w:val="31"/>
          </w:pPr>
          <w:hyperlink w:anchor="GOSTHeading224">
            <w:r>
              <w:t>1.2.3 Сопоставление аналогов</w:t>
            </w:r>
          </w:hyperlink>
          <w:r>
            <w:tab/>
          </w:r>
          <w:fldSimple w:instr="PAGEREF &quot;GOSTHeading224&quot; \h" w:dirty="true">
            <w:r>
              <w:t>—</w:t>
            </w:r>
          </w:fldSimple>
        </w:p>
        <w:p>
          <w:pPr>
            <w:pStyle w:val="22"/>
          </w:pPr>
          <w:hyperlink w:anchor="GOSTHeading225">
            <w:r>
              <w:t>1.3 Требования к разрабатываемой системе</w:t>
            </w:r>
          </w:hyperlink>
          <w:r>
            <w:tab/>
          </w:r>
          <w:fldSimple w:instr="PAGEREF &quot;GOSTHeading225&quot; \h" w:dirty="true">
            <w:r>
              <w:t>—</w:t>
            </w:r>
          </w:fldSimple>
        </w:p>
        <w:p>
          <w:pPr>
            <w:pStyle w:val="31"/>
          </w:pPr>
          <w:hyperlink w:anchor="GOSTHeading226">
            <w:r>
              <w:t>1.3.1 Назначение и границы разрабатываемого расширения</w:t>
            </w:r>
          </w:hyperlink>
          <w:r>
            <w:tab/>
          </w:r>
          <w:fldSimple w:instr="PAGEREF &quot;GOSTHeading226&quot; \h" w:dirty="true">
            <w:r>
              <w:t>—</w:t>
            </w:r>
          </w:fldSimple>
        </w:p>
        <w:p>
          <w:pPr>
            <w:pStyle w:val="31"/>
          </w:pPr>
          <w:hyperlink w:anchor="GOSTHeading227">
            <w:r>
              <w:t>1.3.2 Требования к выполняемым функциям</w:t>
            </w:r>
          </w:hyperlink>
          <w:r>
            <w:tab/>
          </w:r>
          <w:fldSimple w:instr="PAGEREF &quot;GOSTHeading227&quot; \h" w:dirty="true">
            <w:r>
              <w:t>—</w:t>
            </w:r>
          </w:fldSimple>
        </w:p>
        <w:p>
          <w:pPr>
            <w:pStyle w:val="31"/>
          </w:pPr>
          <w:hyperlink w:anchor="GOSTHeading228">
            <w:r>
              <w:t>1.3.3 Требования к надёжности и сохранности данных</w:t>
            </w:r>
          </w:hyperlink>
          <w:r>
            <w:tab/>
          </w:r>
          <w:fldSimple w:instr="PAGEREF &quot;GOSTHeading228&quot; \h" w:dirty="true">
            <w:r>
              <w:t>—</w:t>
            </w:r>
          </w:fldSimple>
        </w:p>
        <w:p>
          <w:pPr>
            <w:pStyle w:val="31"/>
          </w:pPr>
          <w:hyperlink w:anchor="GOSTHeading229">
            <w:r>
              <w:t>1.3.4 Требования к доступу и интерфейсу администратора</w:t>
            </w:r>
          </w:hyperlink>
          <w:r>
            <w:tab/>
          </w:r>
          <w:fldSimple w:instr="PAGEREF &quot;GOSTHeading229&quot; \h" w:dirty="true">
            <w:r>
              <w:t>—</w:t>
            </w:r>
          </w:fldSimple>
        </w:p>
        <w:p>
          <w:pPr>
            <w:pStyle w:val="31"/>
          </w:pPr>
          <w:hyperlink w:anchor="GOSTHeading230">
            <w:r>
              <w:t>1.3.5 Требования к ресурсам, совместимости и контролю выполнения</w:t>
            </w:r>
          </w:hyperlink>
          <w:r>
            <w:tab/>
          </w:r>
          <w:fldSimple w:instr="PAGEREF &quot;GOSTHeading230&quot; \h" w:dirty="true">
            <w:r>
              <w:t>—</w:t>
            </w:r>
          </w:fldSimple>
        </w:p>
        <w:p>
          <w:pPr>
            <w:pStyle w:val="31"/>
          </w:pPr>
          <w:hyperlink w:anchor="GOSTHeading231">
            <w:r>
              <w:t>1.3.6 Требования к жизненному циклу модели</w:t>
            </w:r>
          </w:hyperlink>
          <w:r>
            <w:tab/>
          </w:r>
          <w:fldSimple w:instr="PAGEREF &quot;GOSTHeading231&quot; \h" w:dirty="true">
            <w:r>
              <w:t>—</w:t>
            </w:r>
          </w:fldSimple>
        </w:p>
        <w:p>
          <w:pPr>
            <w:pStyle w:val="31"/>
          </w:pPr>
          <w:hyperlink w:anchor="GOSTHeading232">
            <w:r>
              <w:t>1.3.7 Требования к проверке эффективности и минимальному результату</w:t>
            </w:r>
          </w:hyperlink>
          <w:r>
            <w:tab/>
          </w:r>
          <w:fldSimple w:instr="PAGEREF &quot;GOSTHeading232&quot; \h" w:dirty="true">
            <w:r>
              <w:t>—</w:t>
            </w:r>
          </w:fldSimple>
        </w:p>
        <w:p>
          <w:pPr>
            <w:pStyle w:val="22"/>
          </w:pPr>
          <w:hyperlink w:anchor="GOSTHeading233">
            <w:r>
              <w:t>1.4 Выводы по исследовательскому разделу</w:t>
            </w:r>
          </w:hyperlink>
          <w:r>
            <w:tab/>
          </w:r>
          <w:fldSimple w:instr="PAGEREF &quot;GOSTHeading233&quot; \h" w:dirty="true">
            <w:r>
              <w:t>—</w:t>
            </w:r>
          </w:fldSimple>
        </w:p>
        <w:p>
          <w:pPr>
            <w:pStyle w:val="10"/>
          </w:pPr>
          <w:hyperlink w:anchor="GOSTHeading234">
            <w:r>
              <w:t>2 АНАЛИТИЧЕСКИЙ РАЗДЕЛ</w:t>
            </w:r>
          </w:hyperlink>
          <w:r>
            <w:tab/>
          </w:r>
          <w:fldSimple w:instr="PAGEREF &quot;GOSTHeading234&quot; \h" w:dirty="true">
            <w:r>
              <w:t>—</w:t>
            </w:r>
          </w:fldSimple>
        </w:p>
        <w:p>
          <w:pPr>
            <w:pStyle w:val="22"/>
          </w:pPr>
          <w:hyperlink w:anchor="GOSTHeading235">
            <w:r>
              <w:t>2.1 Математическое и алгоритмическое обеспечение</w:t>
            </w:r>
          </w:hyperlink>
          <w:r>
            <w:tab/>
          </w:r>
          <w:fldSimple w:instr="PAGEREF &quot;GOSTHeading235&quot; \h" w:dirty="true">
            <w:r>
              <w:t>—</w:t>
            </w:r>
          </w:fldSimple>
        </w:p>
        <w:p>
          <w:pPr>
            <w:pStyle w:val="31"/>
          </w:pPr>
          <w:hyperlink w:anchor="GOSTHeading236">
            <w:r>
              <w:t>2.1.1 Постановка задачи размещения</w:t>
            </w:r>
          </w:hyperlink>
          <w:r>
            <w:tab/>
          </w:r>
          <w:fldSimple w:instr="PAGEREF &quot;GOSTHeading236&quot; \h" w:dirty="true">
            <w:r>
              <w:t>—</w:t>
            </w:r>
          </w:fldSimple>
        </w:p>
        <w:p>
          <w:pPr>
            <w:pStyle w:val="31"/>
          </w:pPr>
          <w:hyperlink w:anchor="GOSTHeading237">
            <w:r>
              <w:t>2.1.2 Модель прогнозирования востребованности</w:t>
            </w:r>
          </w:hyperlink>
          <w:r>
            <w:tab/>
          </w:r>
          <w:fldSimple w:instr="PAGEREF &quot;GOSTHeading237&quot; \h" w:dirty="true">
            <w:r>
              <w:t>—</w:t>
            </w:r>
          </w:fldSimple>
        </w:p>
        <w:p>
          <w:pPr>
            <w:pStyle w:val="31"/>
          </w:pPr>
          <w:hyperlink w:anchor="GOSTHeading238">
            <w:r>
              <w:t>2.1.3 Обработка данных и формирование обучающих примеров</w:t>
            </w:r>
          </w:hyperlink>
          <w:r>
            <w:tab/>
          </w:r>
          <w:fldSimple w:instr="PAGEREF &quot;GOSTHeading238&quot; \h" w:dirty="true">
            <w:r>
              <w:t>—</w:t>
            </w:r>
          </w:fldSimple>
        </w:p>
        <w:p>
          <w:pPr>
            <w:pStyle w:val="31"/>
          </w:pPr>
          <w:hyperlink w:anchor="GOSTHeading239">
            <w:r>
              <w:t>2.1.4 Обучение, проверка и ввод модели в работу</w:t>
            </w:r>
          </w:hyperlink>
          <w:r>
            <w:tab/>
          </w:r>
          <w:fldSimple w:instr="PAGEREF &quot;GOSTHeading239&quot; \h" w:dirty="true">
            <w:r>
              <w:t>—</w:t>
            </w:r>
          </w:fldSimple>
        </w:p>
        <w:p>
          <w:pPr>
            <w:pStyle w:val="31"/>
          </w:pPr>
          <w:hyperlink w:anchor="GOSTHeading240">
            <w:r>
              <w:t>2.1.5 Алгоритм формирования плана размещения</w:t>
            </w:r>
          </w:hyperlink>
          <w:r>
            <w:tab/>
          </w:r>
          <w:fldSimple w:instr="PAGEREF &quot;GOSTHeading240&quot; \h" w:dirty="true">
            <w:r>
              <w:t>—</w:t>
            </w:r>
          </w:fldSimple>
        </w:p>
        <w:p>
          <w:pPr>
            <w:pStyle w:val="31"/>
          </w:pPr>
          <w:hyperlink w:anchor="GOSTHeading241">
            <w:r>
              <w:t>2.1.6 Объяснение рекомендаций</w:t>
            </w:r>
          </w:hyperlink>
          <w:r>
            <w:tab/>
          </w:r>
          <w:fldSimple w:instr="PAGEREF &quot;GOSTHeading241&quot; \h" w:dirty="true">
            <w:r>
              <w:t>—</w:t>
            </w:r>
          </w:fldSimple>
        </w:p>
        <w:p>
          <w:pPr>
            <w:pStyle w:val="31"/>
          </w:pPr>
          <w:hyperlink w:anchor="GOSTHeading242">
            <w:r>
              <w:t>2.1.7 Протокол безопасного переноса</w:t>
            </w:r>
          </w:hyperlink>
          <w:r>
            <w:tab/>
          </w:r>
          <w:fldSimple w:instr="PAGEREF &quot;GOSTHeading242&quot; \h" w:dirty="true">
            <w:r>
              <w:t>—</w:t>
            </w:r>
          </w:fldSimple>
        </w:p>
        <w:p>
          <w:pPr>
            <w:pStyle w:val="22"/>
          </w:pPr>
          <w:hyperlink w:anchor="GOSTHeading243">
            <w:r>
              <w:t>2.2 Модели процессов</w:t>
            </w:r>
          </w:hyperlink>
          <w:r>
            <w:tab/>
          </w:r>
          <w:fldSimple w:instr="PAGEREF &quot;GOSTHeading243&quot; \h" w:dirty="true">
            <w:r>
              <w:t>—</w:t>
            </w:r>
          </w:fldSimple>
        </w:p>
        <w:p>
          <w:pPr>
            <w:pStyle w:val="31"/>
          </w:pPr>
          <w:hyperlink w:anchor="GOSTHeading244">
            <w:r>
              <w:t>2.2.1 Исходный процесс управления размещением</w:t>
            </w:r>
          </w:hyperlink>
          <w:r>
            <w:tab/>
          </w:r>
          <w:fldSimple w:instr="PAGEREF &quot;GOSTHeading244&quot; \h" w:dirty="true">
            <w:r>
              <w:t>—</w:t>
            </w:r>
          </w:fldSimple>
        </w:p>
        <w:p>
          <w:pPr>
            <w:pStyle w:val="31"/>
          </w:pPr>
          <w:hyperlink w:anchor="GOSTHeading245">
            <w:r>
              <w:t>2.2.2 Проектируемый процесс</w:t>
            </w:r>
          </w:hyperlink>
          <w:r>
            <w:tab/>
          </w:r>
          <w:fldSimple w:instr="PAGEREF &quot;GOSTHeading245&quot; \h" w:dirty="true">
            <w:r>
              <w:t>—</w:t>
            </w:r>
          </w:fldSimple>
        </w:p>
        <w:p>
          <w:pPr>
            <w:pStyle w:val="31"/>
          </w:pPr>
          <w:hyperlink w:anchor="GOSTHeading246">
            <w:r>
              <w:t>2.2.3 Сравнение процессов</w:t>
            </w:r>
          </w:hyperlink>
          <w:r>
            <w:tab/>
          </w:r>
          <w:fldSimple w:instr="PAGEREF &quot;GOSTHeading246&quot; \h" w:dirty="true">
            <w:r>
              <w:t>—</w:t>
            </w:r>
          </w:fldSimple>
        </w:p>
        <w:p>
          <w:pPr>
            <w:pStyle w:val="22"/>
          </w:pPr>
          <w:hyperlink w:anchor="GOSTHeading247">
            <w:r>
              <w:t>2.3 Архитектура системы</w:t>
            </w:r>
          </w:hyperlink>
          <w:r>
            <w:tab/>
          </w:r>
          <w:fldSimple w:instr="PAGEREF &quot;GOSTHeading247&quot; \h" w:dirty="true">
            <w:r>
              <w:t>—</w:t>
            </w:r>
          </w:fldSimple>
        </w:p>
        <w:p>
          <w:pPr>
            <w:pStyle w:val="31"/>
          </w:pPr>
          <w:hyperlink w:anchor="GOSTHeading248">
            <w:r>
              <w:t>2.3.1 Изменения компонентов OpenS3</w:t>
            </w:r>
          </w:hyperlink>
          <w:r>
            <w:tab/>
          </w:r>
          <w:fldSimple w:instr="PAGEREF &quot;GOSTHeading248&quot; \h" w:dirty="true">
            <w:r>
              <w:t>—</w:t>
            </w:r>
          </w:fldSimple>
        </w:p>
        <w:p>
          <w:pPr>
            <w:pStyle w:val="31"/>
          </w:pPr>
          <w:hyperlink w:anchor="GOSTHeading249">
            <w:r>
              <w:t>2.3.2 Компонентная модель</w:t>
            </w:r>
          </w:hyperlink>
          <w:r>
            <w:tab/>
          </w:r>
          <w:fldSimple w:instr="PAGEREF &quot;GOSTHeading249&quot; \h" w:dirty="true">
            <w:r>
              <w:t>—</w:t>
            </w:r>
          </w:fldSimple>
        </w:p>
        <w:p>
          <w:pPr>
            <w:pStyle w:val="31"/>
          </w:pPr>
          <w:hyperlink w:anchor="GOSTHeading250">
            <w:r>
              <w:t>2.3.3 Модель данных</w:t>
            </w:r>
          </w:hyperlink>
          <w:r>
            <w:tab/>
          </w:r>
          <w:fldSimple w:instr="PAGEREF &quot;GOSTHeading250&quot; \h" w:dirty="true">
            <w:r>
              <w:t>—</w:t>
            </w:r>
          </w:fldSimple>
        </w:p>
        <w:p>
          <w:pPr>
            <w:pStyle w:val="31"/>
          </w:pPr>
          <w:hyperlink w:anchor="GOSTHeading251">
            <w:r>
              <w:t>2.3.4 Анализ архитектуры</w:t>
            </w:r>
          </w:hyperlink>
          <w:r>
            <w:tab/>
          </w:r>
          <w:fldSimple w:instr="PAGEREF &quot;GOSTHeading251&quot; \h" w:dirty="true">
            <w:r>
              <w:t>—</w:t>
            </w:r>
          </w:fldSimple>
        </w:p>
        <w:p>
          <w:pPr>
            <w:pStyle w:val="31"/>
          </w:pPr>
          <w:hyperlink w:anchor="GOSTHeading252">
            <w:r>
              <w:t>2.3.5 Соответствие требованиям</w:t>
            </w:r>
          </w:hyperlink>
          <w:r>
            <w:tab/>
          </w:r>
          <w:fldSimple w:instr="PAGEREF &quot;GOSTHeading252&quot; \h" w:dirty="true">
            <w:r>
              <w:t>—</w:t>
            </w:r>
          </w:fldSimple>
        </w:p>
        <w:p>
          <w:pPr>
            <w:pStyle w:val="22"/>
          </w:pPr>
          <w:hyperlink w:anchor="GOSTHeading253">
            <w:r>
              <w:t>2.4 Обоснование инструментов реализации</w:t>
            </w:r>
          </w:hyperlink>
          <w:r>
            <w:tab/>
          </w:r>
          <w:fldSimple w:instr="PAGEREF &quot;GOSTHeading253&quot; \h" w:dirty="true">
            <w:r>
              <w:t>—</w:t>
            </w:r>
          </w:fldSimple>
        </w:p>
        <w:p>
          <w:pPr>
            <w:pStyle w:val="22"/>
          </w:pPr>
          <w:hyperlink w:anchor="GOSTHeading254">
            <w:r>
              <w:t>2.5 Выводы по аналитическому разделу</w:t>
            </w:r>
          </w:hyperlink>
          <w:r>
            <w:tab/>
          </w:r>
          <w:fldSimple w:instr="PAGEREF &quot;GOSTHeading254&quot; \h" w:dirty="true">
            <w:r>
              <w:t>—</w:t>
            </w:r>
          </w:fldSimple>
        </w:p>
        <w:p>
          <w:pPr>
            <w:pStyle w:val="10"/>
          </w:pPr>
          <w:hyperlink w:anchor="GOSTHeading255">
            <w:r>
              <w:t>3 ТЕХНОЛОГИЧЕСКИЙ РАЗДЕЛ</w:t>
            </w:r>
          </w:hyperlink>
          <w:r>
            <w:tab/>
          </w:r>
          <w:fldSimple w:instr="PAGEREF &quot;GOSTHeading255&quot; \h" w:dirty="true">
            <w:r>
              <w:t>—</w:t>
            </w:r>
          </w:fldSimple>
        </w:p>
        <w:p>
          <w:pPr>
            <w:pStyle w:val="22"/>
          </w:pPr>
          <w:hyperlink w:anchor="GOSTHeading256">
            <w:r>
              <w:t>3.1 Описание программной реализации</w:t>
            </w:r>
          </w:hyperlink>
          <w:r>
            <w:tab/>
          </w:r>
          <w:fldSimple w:instr="PAGEREF &quot;GOSTHeading256&quot; \h" w:dirty="true">
            <w:r>
              <w:t>—</w:t>
            </w:r>
          </w:fldSimple>
        </w:p>
        <w:p>
          <w:pPr>
            <w:pStyle w:val="31"/>
          </w:pPr>
          <w:hyperlink w:anchor="GOSTHeading257">
            <w:r>
              <w:t>3.1.1 Сбор истории обращений</w:t>
            </w:r>
          </w:hyperlink>
          <w:r>
            <w:tab/>
          </w:r>
          <w:fldSimple w:instr="PAGEREF &quot;GOSTHeading257&quot; \h" w:dirty="true">
            <w:r>
              <w:t>—</w:t>
            </w:r>
          </w:fldSimple>
        </w:p>
        <w:p>
          <w:pPr>
            <w:pStyle w:val="31"/>
          </w:pPr>
          <w:hyperlink w:anchor="GOSTHeading258">
            <w:r>
              <w:t>3.1.2 Планирование и исполнение переноса</w:t>
            </w:r>
          </w:hyperlink>
          <w:r>
            <w:tab/>
          </w:r>
          <w:fldSimple w:instr="PAGEREF &quot;GOSTHeading258&quot; \h" w:dirty="true">
            <w:r>
              <w:t>—</w:t>
            </w:r>
          </w:fldSimple>
        </w:p>
        <w:p>
          <w:pPr>
            <w:pStyle w:val="31"/>
          </w:pPr>
          <w:hyperlink w:anchor="GOSTHeading259">
            <w:r>
              <w:t>3.1.3 Управление и журналирование</w:t>
            </w:r>
          </w:hyperlink>
          <w:r>
            <w:tab/>
          </w:r>
          <w:fldSimple w:instr="PAGEREF &quot;GOSTHeading259&quot; \h" w:dirty="true">
            <w:r>
              <w:t>—</w:t>
            </w:r>
          </w:fldSimple>
        </w:p>
        <w:p>
          <w:pPr>
            <w:pStyle w:val="22"/>
          </w:pPr>
          <w:hyperlink w:anchor="GOSTHeading260">
            <w:r>
              <w:t>3.2 Подготовка данных и встраивание модели</w:t>
            </w:r>
          </w:hyperlink>
          <w:r>
            <w:tab/>
          </w:r>
          <w:fldSimple w:instr="PAGEREF &quot;GOSTHeading260&quot; \h" w:dirty="true">
            <w:r>
              <w:t>—</w:t>
            </w:r>
          </w:fldSimple>
        </w:p>
        <w:p>
          <w:pPr>
            <w:pStyle w:val="31"/>
          </w:pPr>
          <w:hyperlink w:anchor="GOSTHeading261">
            <w:r>
              <w:t>3.2.1 Источники и подготовка данных</w:t>
            </w:r>
          </w:hyperlink>
          <w:r>
            <w:tab/>
          </w:r>
          <w:fldSimple w:instr="PAGEREF &quot;GOSTHeading261&quot; \h" w:dirty="true">
            <w:r>
              <w:t>—</w:t>
            </w:r>
          </w:fldSimple>
        </w:p>
        <w:p>
          <w:pPr>
            <w:pStyle w:val="31"/>
          </w:pPr>
          <w:hyperlink w:anchor="GOSTHeading262">
            <w:r>
              <w:t>3.2.2 Признаки, метки и разделение выборки</w:t>
            </w:r>
          </w:hyperlink>
          <w:r>
            <w:tab/>
          </w:r>
          <w:fldSimple w:instr="PAGEREF &quot;GOSTHeading262&quot; \h" w:dirty="true">
            <w:r>
              <w:t>—</w:t>
            </w:r>
          </w:fldSimple>
        </w:p>
        <w:p>
          <w:pPr>
            <w:pStyle w:val="31"/>
          </w:pPr>
          <w:hyperlink w:anchor="GOSTHeading263">
            <w:r>
              <w:t>3.2.3 Обучение и ввод модели</w:t>
            </w:r>
          </w:hyperlink>
          <w:r>
            <w:tab/>
          </w:r>
          <w:fldSimple w:instr="PAGEREF &quot;GOSTHeading263&quot; \h" w:dirty="true">
            <w:r>
              <w:t>—</w:t>
            </w:r>
          </w:fldSimple>
        </w:p>
        <w:p>
          <w:pPr>
            <w:pStyle w:val="22"/>
          </w:pPr>
          <w:hyperlink w:anchor="GOSTHeading264">
            <w:r>
              <w:t>3.3 Тестирование программного обеспечения</w:t>
            </w:r>
          </w:hyperlink>
          <w:r>
            <w:tab/>
          </w:r>
          <w:fldSimple w:instr="PAGEREF &quot;GOSTHeading264&quot; \h" w:dirty="true">
            <w:r>
              <w:t>—</w:t>
            </w:r>
          </w:fldSimple>
        </w:p>
        <w:p>
          <w:pPr>
            <w:pStyle w:val="31"/>
          </w:pPr>
          <w:hyperlink w:anchor="GOSTHeading265">
            <w:r>
              <w:t>3.3.1 Проверка истории и данных</w:t>
            </w:r>
          </w:hyperlink>
          <w:r>
            <w:tab/>
          </w:r>
          <w:fldSimple w:instr="PAGEREF &quot;GOSTHeading265&quot; \h" w:dirty="true">
            <w:r>
              <w:t>—</w:t>
            </w:r>
          </w:fldSimple>
        </w:p>
        <w:p>
          <w:pPr>
            <w:pStyle w:val="31"/>
          </w:pPr>
          <w:hyperlink w:anchor="GOSTHeading266">
            <w:r>
              <w:t>3.3.2 Проверка сохранности</w:t>
            </w:r>
          </w:hyperlink>
          <w:r>
            <w:tab/>
          </w:r>
          <w:fldSimple w:instr="PAGEREF &quot;GOSTHeading266&quot; \h" w:dirty="true">
            <w:r>
              <w:t>—</w:t>
            </w:r>
          </w:fldSimple>
        </w:p>
        <w:p>
          <w:pPr>
            <w:pStyle w:val="31"/>
          </w:pPr>
          <w:hyperlink w:anchor="GOSTHeading267">
            <w:r>
              <w:t>3.3.3 Проверка управления</w:t>
            </w:r>
          </w:hyperlink>
          <w:r>
            <w:tab/>
          </w:r>
          <w:fldSimple w:instr="PAGEREF &quot;GOSTHeading267&quot; \h" w:dirty="true">
            <w:r>
              <w:t>—</w:t>
            </w:r>
          </w:fldSimple>
        </w:p>
        <w:p>
          <w:pPr>
            <w:pStyle w:val="22"/>
          </w:pPr>
          <w:hyperlink w:anchor="GOSTHeading268">
            <w:r>
              <w:t>3.4 Оценка надёжности, качества и эффективности</w:t>
            </w:r>
          </w:hyperlink>
          <w:r>
            <w:tab/>
          </w:r>
          <w:fldSimple w:instr="PAGEREF &quot;GOSTHeading268&quot; \h" w:dirty="true">
            <w:r>
              <w:t>—</w:t>
            </w:r>
          </w:fldSimple>
        </w:p>
        <w:p>
          <w:pPr>
            <w:pStyle w:val="31"/>
          </w:pPr>
          <w:hyperlink w:anchor="GOSTHeading269">
            <w:r>
              <w:t>3.4.1 Условия сравнения</w:t>
            </w:r>
          </w:hyperlink>
          <w:r>
            <w:tab/>
          </w:r>
          <w:fldSimple w:instr="PAGEREF &quot;GOSTHeading269&quot; \h" w:dirty="true">
            <w:r>
              <w:t>—</w:t>
            </w:r>
          </w:fldSimple>
        </w:p>
        <w:p>
          <w:pPr>
            <w:pStyle w:val="31"/>
          </w:pPr>
          <w:hyperlink w:anchor="GOSTHeading270">
            <w:r>
              <w:t>3.4.2 Системные показатели</w:t>
            </w:r>
          </w:hyperlink>
          <w:r>
            <w:tab/>
          </w:r>
          <w:fldSimple w:instr="PAGEREF &quot;GOSTHeading270&quot; \h" w:dirty="true">
            <w:r>
              <w:t>—</w:t>
            </w:r>
          </w:fldSimple>
        </w:p>
        <w:p>
          <w:pPr>
            <w:pStyle w:val="31"/>
          </w:pPr>
          <w:hyperlink w:anchor="GOSTHeading271">
            <w:r>
              <w:t>3.4.3 Качество прогноза</w:t>
            </w:r>
          </w:hyperlink>
          <w:r>
            <w:tab/>
          </w:r>
          <w:fldSimple w:instr="PAGEREF &quot;GOSTHeading271&quot; \h" w:dirty="true">
            <w:r>
              <w:t>—</w:t>
            </w:r>
          </w:fldSimple>
        </w:p>
        <w:p>
          <w:pPr>
            <w:pStyle w:val="31"/>
          </w:pPr>
          <w:hyperlink w:anchor="GOSTHeading272">
            <w:r>
              <w:t>3.4.4 Эффективность размещения</w:t>
            </w:r>
          </w:hyperlink>
          <w:r>
            <w:tab/>
          </w:r>
          <w:fldSimple w:instr="PAGEREF &quot;GOSTHeading272&quot; \h" w:dirty="true">
            <w:r>
              <w:t>—</w:t>
            </w:r>
          </w:fldSimple>
        </w:p>
        <w:p>
          <w:pPr>
            <w:pStyle w:val="22"/>
          </w:pPr>
          <w:hyperlink w:anchor="GOSTHeading273">
            <w:r>
              <w:t>3.5 Руководство администратора</w:t>
            </w:r>
          </w:hyperlink>
          <w:r>
            <w:tab/>
          </w:r>
          <w:fldSimple w:instr="PAGEREF &quot;GOSTHeading273&quot; \h" w:dirty="true">
            <w:r>
              <w:t>—</w:t>
            </w:r>
          </w:fldSimple>
        </w:p>
        <w:p>
          <w:pPr>
            <w:pStyle w:val="31"/>
          </w:pPr>
          <w:hyperlink w:anchor="GOSTHeading274">
            <w:r>
              <w:t>3.5.1 Настройка и подтверждение плана</w:t>
            </w:r>
          </w:hyperlink>
          <w:r>
            <w:tab/>
          </w:r>
          <w:fldSimple w:instr="PAGEREF &quot;GOSTHeading274&quot; \h" w:dirty="true">
            <w:r>
              <w:t>—</w:t>
            </w:r>
          </w:fldSimple>
        </w:p>
        <w:p>
          <w:pPr>
            <w:pStyle w:val="31"/>
          </w:pPr>
          <w:hyperlink w:anchor="GOSTHeading275">
            <w:r>
              <w:t>3.5.2 Контроль и обработка ошибок</w:t>
            </w:r>
          </w:hyperlink>
          <w:r>
            <w:tab/>
          </w:r>
          <w:fldSimple w:instr="PAGEREF &quot;GOSTHeading275&quot; \h" w:dirty="true">
            <w:r>
              <w:t>—</w:t>
            </w:r>
          </w:fldSimple>
        </w:p>
        <w:p>
          <w:pPr>
            <w:pStyle w:val="22"/>
          </w:pPr>
          <w:hyperlink w:anchor="GOSTHeading276">
            <w:r>
              <w:t>3.6 Выводы по технологическому разделу</w:t>
            </w:r>
          </w:hyperlink>
          <w:r>
            <w:tab/>
          </w:r>
          <w:fldSimple w:instr="PAGEREF &quot;GOSTHeading276&quot; \h" w:dirty="true">
            <w:r>
              <w:t>—</w:t>
            </w:r>
          </w:fldSimple>
        </w:p>
        <w:p>
          <w:pPr>
            <w:pStyle w:val="10"/>
          </w:pPr>
          <w:hyperlink w:anchor="GOSTHeading277">
            <w:r>
              <w:t>ЗАКЛЮЧЕНИЕ</w:t>
            </w:r>
          </w:hyperlink>
          <w:r>
            <w:tab/>
          </w:r>
          <w:fldSimple w:instr="PAGEREF &quot;GOSTHeading277&quot; \h" w:dirty="true">
            <w:r>
              <w:t>—</w:t>
            </w:r>
          </w:fldSimple>
        </w:p>
        <w:p>
          <w:pPr>
            <w:pStyle w:val="10"/>
          </w:pPr>
          <w:hyperlink w:anchor="GOSTHeading278">
            <w:r>
              <w:t>СПИСОК ИСПОЛЬЗОВАННЫХ ИСТОЧНИКОВ</w:t>
            </w:r>
          </w:hyperlink>
          <w:r>
            <w:tab/>
          </w:r>
          <w:fldSimple w:instr="PAGEREF &quot;GOSTHeading278&quot; \h" w:dirty="true">
            <w:r>
              <w:t>—</w:t>
            </w:r>
          </w:fldSimple>
        </w:p>
        <w:p>
          <w:pPr>
            <w:pStyle w:val="10"/>
          </w:pPr>
          <w:hyperlink w:anchor="GOSTHeading279">
            <w:r>
              <w:t>ПРИЛОЖЕНИЯ</w:t>
            </w:r>
          </w:hyperlink>
          <w:r>
            <w:tab/>
          </w:r>
          <w:fldSimple w:instr="PAGEREF &quot;GOSTHeading279&quot; \h" w:dirty="true">
            <w:r>
              <w:t>—</w:t>
            </w:r>
          </w:fldSimple>
        </w:p>
        <w:p>
          <w:pPr>
            <w:pStyle w:val="10"/>
          </w:pPr>
          <w:hyperlink w:anchor="GOSTHeading280">
            <w:r>
              <w:t>Приложение А</w:t>
            </w:r>
          </w:hyperlink>
          <w:r>
            <w:tab/>
          </w:r>
          <w:fldSimple w:instr="PAGEREF &quot;GOSTHeading280&quot; \h" w:dirty="true">
            <w:r>
              <w:t>—</w:t>
            </w:r>
          </w:fldSimple>
        </w:p>
        <w:p>
          <w:pPr>
            <w:spacing w:before="0" w:after="0" w:line="1" w:lineRule="exact"/>
          </w:pPr>
          <w:r>
            <w:fldChar w:fldCharType="end"/>
          </w:r>
        </w:p>
      </w:sdtContent>
    </w:sdt>
    <w:bookmarkStart w:id="25" w:name="введение"/>
    <w:p>
      <w:pPr>
        <w:pStyle w:val="GOSTStructuralHeading"/>
      </w:pPr>
      <w:bookmarkStart w:id="209" w:name="GOSTHeading209"/>
      <w:r>
        <w:t xml:space="preserve">ВВЕДЕНИЕ</w:t>
      </w:r>
      <w:bookmarkEnd w:id="209"/>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В системе рассматриваются горячий и холодный классы хранения, а параметры затрат задаёт администратор.</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0" w:name="GOSTHeading210"/>
      <w:r>
        <w:t xml:space="preserve">ЛИТЕРАТУРНЫЙ ОБЗОР</w:t>
      </w:r>
      <w:bookmarkEnd w:id="210"/>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 автоматическое распределение по уровням хранения.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холодным (Cold), промежуточным (Warm) и горячим (Hot) классами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1" w:name="GOSTHeading211"/>
      <w:r>
        <w:t xml:space="preserve">1 ИССЛЕДОВАТЕЛЬСКИЙ РАЗДЕЛ</w:t>
      </w:r>
      <w:bookmarkEnd w:id="211"/>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2" w:name="GOSTHeading212"/>
      <w:r>
        <w:t xml:space="preserve">1.1 Анализ предметной области</w:t>
      </w:r>
      <w:bookmarkEnd w:id="212"/>
    </w:p>
    <w:p>
      <w:pPr>
        <w:pStyle w:val="FirstParagraph"/>
      </w:pPr>
      <w:r>
        <w:t xml:space="preserve">Для выбора размещения необходимо определить единицу переноса, характеристики классов хранения и признаки востребованности. Анализ этих условий позволяет установить ограничения СППР и выбрать данные для её проверки.</w:t>
      </w:r>
    </w:p>
    <w:bookmarkStart w:id="27" w:name="предметная-область-и-участники-процесса"/>
    <w:p>
      <w:pPr>
        <w:pStyle w:val="30"/>
      </w:pPr>
      <w:bookmarkStart w:id="213" w:name="GOSTHeading213"/>
      <w:r>
        <w:t xml:space="preserve">1.1.1 Предметная область и участники процесса</w:t>
      </w:r>
      <w:bookmarkEnd w:id="213"/>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4" w:name="GOSTHeading214"/>
      <w:r>
        <w:t xml:space="preserve">1.1.2 Объектная модель и единица размещения</w:t>
      </w:r>
      <w:bookmarkEnd w:id="214"/>
    </w:p>
    <w:p>
      <w:pPr>
        <w:pStyle w:val="FirstParagraph"/>
      </w:pPr>
      <w:r>
        <w:t xml:space="preserve">Объект S3 состоит из содержимого и метаданных и определяется контейнером объектов — бакетом — и ключом, то есть именем объекта внутри него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15" w:name="GOSTHeading215"/>
      <w:r>
        <w:t xml:space="preserve">1.1.3 Классы хранения и характеристики ресурсов</w:t>
      </w:r>
      <w:bookmarkEnd w:id="215"/>
    </w:p>
    <w:p>
      <w:pPr>
        <w:pStyle w:val="FirstParagraph"/>
      </w:pPr>
      <w:r>
        <w:t xml:space="preserve">Класс хранения объединяет ресурсы с заданными ёмкостью, производительностью и условиями доступа. В работе быстрый горячий класс (HOT) предназначен для востребованных объектов, а более медленный и ёмкий холодный класс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16" w:name="GOSTHeading216"/>
      <w:r>
        <w:t xml:space="preserve">1.1.4 Востребованность и история обращений</w:t>
      </w:r>
      <w:bookmarkEnd w:id="216"/>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17" w:name="GOSTHeading217"/>
      <w:r>
        <w:t xml:space="preserve">1.1.5 Способы управления размещением</w:t>
      </w:r>
      <w:bookmarkEnd w:id="217"/>
    </w:p>
    <w:p>
      <w:pPr>
        <w:pStyle w:val="FirstParagraph"/>
      </w:pPr>
      <w:r>
        <w:t xml:space="preserve">При ручном размещении класс определяет администратор или приложение. Правила жизненного цикла автоматизируют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Прогнозирование также расходует ресурсы и может не давать выигрыша на непредсказуемой нагрузке.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18" w:name="GOSTHeading218"/>
      <w:r>
        <w:t xml:space="preserve">1.1.6 Ресурсные ограничения и затраты</w:t>
      </w:r>
      <w:bookmarkEnd w:id="218"/>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19" w:name="GOSTHeading219"/>
      <w:r>
        <w:t xml:space="preserve">1.1.7 Согласованность и безопасное перемещение</w:t>
      </w:r>
      <w:bookmarkEnd w:id="219"/>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0" w:name="GOSTHeading220"/>
      <w:r>
        <w:t xml:space="preserve">1.1.8 Источники данных и условия исследования</w:t>
      </w:r>
      <w:bookmarkEnd w:id="220"/>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3552"/>
        <w:gridCol w:w="2805"/>
        <w:gridCol w:w="3281"/>
      </w:tblGrid>
      <w:tr>
        <w:trPr>
          <w:tblHeader w:val="on"/>
          <w:cantSplit/>
        </w:trPr>
        <w:tc>
          <w:tcPr>
            <w:tcW w:w="3552"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2805"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28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 трассы сети доставки содержимого [19], [20]</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1" w:name="GOSTHeading221"/>
      <w:r>
        <w:t xml:space="preserve">1.2 Анализ существующих решений</w:t>
      </w:r>
      <w:bookmarkEnd w:id="221"/>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2" w:name="GOSTHeading222"/>
      <w:r>
        <w:t xml:space="preserve">1.2.1 Анализ критериев</w:t>
      </w:r>
      <w:bookmarkEnd w:id="222"/>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3" w:name="GOSTHeading223"/>
      <w:r>
        <w:t xml:space="preserve">1.2.2 Обзор аналогов</w:t>
      </w:r>
      <w:bookmarkEnd w:id="223"/>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4" w:name="GOSTHeading224"/>
      <w:r>
        <w:t xml:space="preserve">1.2.3 Сопоставление аналогов</w:t>
      </w:r>
      <w:bookmarkEnd w:id="224"/>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25" w:name="GOSTHeading225"/>
      <w:r>
        <w:t xml:space="preserve">1.3 Требования к разрабатываемой системе</w:t>
      </w:r>
      <w:bookmarkEnd w:id="225"/>
    </w:p>
    <w:p>
      <w:pPr>
        <w:pStyle w:val="FirstParagraph"/>
      </w:pPr>
      <w:r>
        <w:t xml:space="preserve">Требования к СППР следуют из выявленных ограничений: прогноз должен учитывать неполную историю, план — доступные ресурсы, а перенос — сохранять содержимое версии. Ниже эти условия уточняются до проверяемых функций и критериев приёмки.</w:t>
      </w:r>
    </w:p>
    <w:bookmarkStart w:id="43" w:name="X8598c0664c0a28e1ff66ecf15bcb872afa60c4f"/>
    <w:p>
      <w:pPr>
        <w:pStyle w:val="30"/>
      </w:pPr>
      <w:bookmarkStart w:id="226" w:name="GOSTHeading226"/>
      <w:r>
        <w:t xml:space="preserve">1.3.1 Назначение и границы разрабатываемого расширения</w:t>
      </w:r>
      <w:bookmarkEnd w:id="226"/>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27" w:name="GOSTHeading227"/>
      <w:r>
        <w:t xml:space="preserve">1.3.2 Требования к выполняемым функциям</w:t>
      </w:r>
      <w:bookmarkEnd w:id="227"/>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28" w:name="GOSTHeading228"/>
      <w:r>
        <w:t xml:space="preserve">1.3.3 Требования к надёжности и сохранности данных</w:t>
      </w:r>
      <w:bookmarkEnd w:id="228"/>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29" w:name="GOSTHeading229"/>
      <w:r>
        <w:t xml:space="preserve">1.3.4 Требования к доступу и интерфейсу администратора</w:t>
      </w:r>
      <w:bookmarkEnd w:id="229"/>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0" w:name="GOSTHeading230"/>
      <w:r>
        <w:t xml:space="preserve">1.3.5 Требования к ресурсам, совместимости и контролю выполнения</w:t>
      </w:r>
      <w:bookmarkEnd w:id="230"/>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система отклоняет запуск действия и сообщает причину.</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26"/>
        <w:gridCol w:w="7012"/>
      </w:tblGrid>
      <w:tr>
        <w:trPr>
          <w:tblHeader w:val="on"/>
          <w:cantSplit/>
        </w:trPr>
        <w:tc>
          <w:tcPr>
            <w:tcW w:w="2626"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701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 значения, которое не превышают задержки 95 % запросов, — составляет не более 5 % относительно режима без расширения. Условие проверяется без обучения и при обновлении модели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1" w:name="GOSTHeading231"/>
      <w:r>
        <w:t xml:space="preserve">1.3.6 Требования к жизненному циклу модели</w:t>
      </w:r>
      <w:bookmarkEnd w:id="231"/>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2" w:name="GOSTHeading232"/>
      <w:r>
        <w:t xml:space="preserve">1.3.7 Требования к проверке эффективности и минимальному результату</w:t>
      </w:r>
      <w:bookmarkEnd w:id="232"/>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3" w:name="GOSTHeading233"/>
      <w:r>
        <w:t xml:space="preserve">1.4 Выводы по исследовательскому разделу</w:t>
      </w:r>
      <w:bookmarkEnd w:id="233"/>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4" w:name="GOSTHeading234"/>
      <w:r>
        <w:t xml:space="preserve">2 АНАЛИТИЧЕСКИЙ РАЗДЕЛ</w:t>
      </w:r>
      <w:bookmarkEnd w:id="234"/>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35" w:name="GOSTHeading235"/>
      <w:r>
        <w:t xml:space="preserve">2.1 Математическое и алгоритмическое обеспечение</w:t>
      </w:r>
      <w:bookmarkEnd w:id="235"/>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36" w:name="GOSTHeading236"/>
      <w:r>
        <w:t xml:space="preserve">2.1.1 Постановка задачи размещения</w:t>
      </w:r>
      <w:bookmarkEnd w:id="236"/>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37" w:name="GOSTHeading237"/>
      <w:r>
        <w:t xml:space="preserve">2.1.2 Модель прогнозирования востребованности</w:t>
      </w:r>
      <w:bookmarkEnd w:id="237"/>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Бустинг деревьев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38" w:name="GOSTHeading238"/>
      <w:r>
        <w:t xml:space="preserve">2.1.3 Обработка данных и формирование обучающих примеров</w:t>
      </w:r>
      <w:bookmarkEnd w:id="238"/>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39" w:name="GOSTHeading239"/>
      <w:r>
        <w:t xml:space="preserve">2.1.4 Обучение, проверка и ввод модели в работу</w:t>
      </w:r>
      <w:bookmarkEnd w:id="239"/>
    </w:p>
    <w:p>
      <w:pPr>
        <w:pStyle w:val="FirstParagraph"/>
      </w:pPr>
      <w:r>
        <w:t xml:space="preserve">Основным источником данных для обучения выбрана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0" w:name="GOSTHeading240"/>
      <w:r>
        <w:t xml:space="preserve">2.1.5 Алгоритм формирования плана размещения</w:t>
      </w:r>
      <w:bookmarkEnd w:id="240"/>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1" w:name="GOSTHeading241"/>
      <w:r>
        <w:t xml:space="preserve">2.1.6 Объяснение рекомендаций</w:t>
      </w:r>
      <w:bookmarkEnd w:id="241"/>
    </w:p>
    <w:p>
      <w:pPr>
        <w:pStyle w:val="FirstParagraph"/>
      </w:pPr>
      <w:r>
        <w:t xml:space="preserve">Объяснение помогает администратору — лицу, принимающему решение (далее ЛПР), — оценить последствия применения плана перед подтверждением по требованию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2" w:name="GOSTHeading242"/>
      <w:r>
        <w:t xml:space="preserve">2.1.7 Протокол безопасного переноса</w:t>
      </w:r>
      <w:bookmarkEnd w:id="242"/>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3" w:name="GOSTHeading243"/>
      <w:r>
        <w:t xml:space="preserve">2.2 Модели процессов</w:t>
      </w:r>
      <w:bookmarkEnd w:id="243"/>
    </w:p>
    <w:p>
      <w:pPr>
        <w:pStyle w:val="FirstParagraph"/>
      </w:pPr>
      <w:r>
        <w:t xml:space="preserve">Распределение действий между исполнителями показано для исходного процесса («как есть», AS-IS) и проектируемого процесса («как должно быть», TO-BE). Они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4" w:name="GOSTHeading244"/>
      <w:r>
        <w:t xml:space="preserve">2.2.1 Исходный процесс управления размещением</w:t>
      </w:r>
      <w:bookmarkEnd w:id="244"/>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45" w:name="GOSTHeading245"/>
      <w:r>
        <w:t xml:space="preserve">2.2.2 Проектируемый процесс</w:t>
      </w:r>
      <w:bookmarkEnd w:id="245"/>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46" w:name="GOSTHeading246"/>
      <w:r>
        <w:t xml:space="preserve">2.2.3 Сравнение процессов</w:t>
      </w:r>
      <w:bookmarkEnd w:id="246"/>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47" w:name="GOSTHeading247"/>
      <w:r>
        <w:t xml:space="preserve">2.3 Архитектура системы</w:t>
      </w:r>
      <w:bookmarkEnd w:id="247"/>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48" w:name="GOSTHeading248"/>
      <w:r>
        <w:t xml:space="preserve">2.3.1 Изменения компонентов OpenS3</w:t>
      </w:r>
      <w:bookmarkEnd w:id="248"/>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49" w:name="GOSTHeading249"/>
      <w:r>
        <w:t xml:space="preserve">2.3.2 Компонентная модель</w:t>
      </w:r>
      <w:bookmarkEnd w:id="249"/>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0" w:name="GOSTHeading250"/>
      <w:r>
        <w:t xml:space="preserve">2.3.3 Модель данных</w:t>
      </w:r>
      <w:bookmarkEnd w:id="250"/>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1" w:name="GOSTHeading251"/>
      <w:r>
        <w:t xml:space="preserve">2.3.4 Анализ архитектуры</w:t>
      </w:r>
      <w:bookmarkEnd w:id="251"/>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2" w:name="GOSTHeading252"/>
      <w:r>
        <w:t xml:space="preserve">2.3.5 Соответствие требованиям</w:t>
      </w:r>
      <w:bookmarkEnd w:id="252"/>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3" w:name="GOSTHeading253"/>
      <w:r>
        <w:t xml:space="preserve">2.4 Обоснование инструментов реализации</w:t>
      </w:r>
      <w:bookmarkEnd w:id="253"/>
    </w:p>
    <w:p>
      <w:pPr>
        <w:pStyle w:val="FirstParagraph"/>
      </w:pPr>
      <w:r>
        <w:t xml:space="preserve">Язык и средства взаимодействия выбираются с учётом расширяемой системы: сервисы рассмотренной версии OpenS3 написаны на Go и используют протокол удалённого вызова процедур gRPC [7]. Для СППР и исполнителя выбран Go, что позволяет использовать тот же способ конфигурации и готовые клиенты. Отдельный сервис на Python упростил бы прямой вызов библиотек машинного обучения, но добавил бы сетевой интерфейс прогнозирования и отдельный процесс в эксплуатации. Поэтому Python используется для подготовки данных и обучения, а расчёт рекомендаций выполняется в Go. Это разделение требует проверки совпадения признаков и прогнозов двух сред.</w:t>
      </w:r>
    </w:p>
    <w:p>
      <w:pPr>
        <w:pStyle w:val="a2"/>
      </w:pPr>
      <w:r>
        <w:t xml:space="preserve">Для обучения рассмотрены LightGBM, XGBoost и CatBoost. Все три предоставляют средства бустинга и пуассоновской регрессии [32], [52], [53]. Выбран LightGBM: он поддерживает обе функции потерь двухэтапной модели, гистограммное построение деревьев [44] и экспорт, читаемый библиотекой leaves на Go [45]. XGBoost также является допустимой альтернативой, включая поддержку в leaves; выбор LightGBM не означает доказанного превосходства над ним. CatBoost потребовал бы отдельного пути применения модели вместо выбранного загрузчика. Ограничения LightGBM для проекта – подбор параметров при преобладании нулевых меток, контроль памяти и проверка калибровки; качество и соблюдение квоты проверяются на подготовленной выборке.</w:t>
      </w:r>
    </w:p>
    <w:p>
      <w:pPr>
        <w:pStyle w:val="a2"/>
      </w:pPr>
      <w:r>
        <w:t xml:space="preserve">Для применения модели сравниваются leaves, отдельный сервис Python и универсальная среда выполнения моделей ONNX Runtime. Библиотека leaves читает модели LightGBM и выполняет прогнозирование непосредственно в Go [45], поэтому не требуется сетевой вызов или нативная среда ONNX Runtime [48]. Цена этого решения – ограниченная совместимость загрузчика с форматами и преобразованиями выходов. Перед вводом каждой модели проверяется совпадение конечных вероятностей и числа чтений в Python и Go; успешная загрузка файла сама по себе такую совместимость не подтверждает.</w:t>
      </w:r>
    </w:p>
    <w:p>
      <w:pPr>
        <w:pStyle w:val="a2"/>
      </w:pPr>
      <w:r>
        <w:t xml:space="preserve">Для хранения состояния выбрана система управления базами данных (СУБД) PostgreSQL, уже используемая в OpenS3 [7]. Транзакции и блокировки нужны для согласованной записи команд, зависимостей и состояний миграций [46]. MySQL с InnoDB также поддерживает транзакции и блокировки строк [54], но его добавление потребовало бы сопровождать ещё одну систему управления базами данных без выявленного требования к замене существующей. Ограничения PostgreSQL здесь связаны с ростом журнала событий и конкуренцией записей: при реализации нужны индексы, агрегаты и правила хранения истории. Транзакция базы СППР не охватывает базу метаданных, поэтому сохраняются CAS и повторные проверки исполнителя.</w:t>
      </w:r>
    </w:p>
    <w:p>
      <w:pPr>
        <w:pStyle w:val="a2"/>
      </w:pPr>
      <w:r>
        <w:t xml:space="preserve">Для асинхронного приёма событий выбрана Kafka, уже входящая в инфраструктуру OpenS3 [7], [47]. Альтернатива – RabbitMQ Streams, также допускающий повторное чтение сохранённых сообщений [55]; переход к нему добавил бы новый брокер и изменил существующий путь публикации. Синхронная передача непосредственно в базу СППР связала бы доступность записи события с клиентским запросом. Ограничения выбранного пути – повторная доставка, задержки и конечный срок хранения сообщений. Поэтому нужны дедупликация, контроль пропусков и сохранение истории в PostgreSQL; наличие брокера само по себе не гарантирует полноту обучающих данных.</w:t>
      </w:r>
    </w:p>
    <w:bookmarkEnd w:id="103"/>
    <w:bookmarkStart w:id="104" w:name="выводы-по-аналитическому-разделу"/>
    <w:p>
      <w:pPr>
        <w:pStyle w:val="21"/>
      </w:pPr>
      <w:bookmarkStart w:id="254" w:name="GOSTHeading254"/>
      <w:r>
        <w:t xml:space="preserve">2.5 Выводы по аналитическому разделу</w:t>
      </w:r>
      <w:bookmarkEnd w:id="254"/>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39" w:name="технологический-раздел"/>
    <w:p>
      <w:pPr>
        <w:pStyle w:val="1"/>
      </w:pPr>
      <w:bookmarkStart w:id="255" w:name="GOSTHeading255"/>
      <w:r>
        <w:t xml:space="preserve">3 ТЕХНОЛОГИЧЕСКИЙ РАЗДЕЛ</w:t>
      </w:r>
      <w:bookmarkEnd w:id="255"/>
    </w:p>
    <w:p>
      <w:pPr>
        <w:pStyle w:val="FirstParagraph"/>
      </w:pPr>
      <w:r>
        <w:t xml:space="preserve">В разделе показаны основные компоненты реализации, подготовка модели, проверки требований и работа администратора. Связь с проектом задают Таблица 1.4, Рисунок 2.6 и протокол переноса на Рисунке 2.3.</w:t>
      </w:r>
    </w:p>
    <w:p>
      <w:pPr>
        <w:pStyle w:val="a2"/>
      </w:pPr>
      <w:r>
        <w:t xml:space="preserve">Жёлтым фоном отмечены проверки, для которых требуется завершённый протокол. Для остальных результатов указаны условия получения: симуляция, оценка прогноза на трассах или испытание работающих сервисов.</w:t>
      </w:r>
    </w:p>
    <w:bookmarkStart w:id="111" w:name="описание-программной-реализации"/>
    <w:p>
      <w:pPr>
        <w:pStyle w:val="21"/>
      </w:pPr>
      <w:bookmarkStart w:id="256" w:name="GOSTHeading256"/>
      <w:r>
        <w:t xml:space="preserve">3.1 Описание программной реализации</w:t>
      </w:r>
      <w:bookmarkEnd w:id="256"/>
    </w:p>
    <w:p>
      <w:pPr>
        <w:pStyle w:val="FirstParagraph"/>
      </w:pPr>
      <w:r>
        <w:t xml:space="preserve">Шлюз Gateway обслуживает клиентские операции, Metadata хранит расположение версий, Storage предоставляет быстрое (HOT) и ёмкое (COLD) хранение. Сервис СППР собирает историю, рассчитывает рекомендации и исполняет подтверждённые переносы. Пакет</w:t>
      </w:r>
      <w:r>
        <w:t xml:space="preserve"> </w:t>
      </w:r>
      <w:r>
        <w:rPr>
          <w:i/>
          <w:iCs/>
        </w:rPr>
        <w:t xml:space="preserve">sppr_ml</w:t>
      </w:r>
      <w:r>
        <w:t xml:space="preserve"> </w:t>
      </w:r>
      <w:r>
        <w:t xml:space="preserve">обучает модель на Python; сервис на Go вычисляет прогноз. Обучение выполняется в контейнере СППР в общей ресурсной квоте.</w:t>
      </w:r>
    </w:p>
    <w:p>
      <w:pPr>
        <w:pStyle w:val="a2"/>
      </w:pPr>
      <w:r>
        <w:t xml:space="preserve">Таблица 3.1 связывает требования с основными структурами и проверками. Обозначения D, M и C относятся к тестовым случаям Раздела 3.3.</w:t>
      </w:r>
    </w:p>
    <w:bookmarkStart w:id="106" w:name="gost-tbl:implementation_traceability"/>
    <w:p>
      <w:pPr>
        <w:pStyle w:val="TableCaption"/>
      </w:pPr>
      <w:r>
        <w:t xml:space="preserve">Таблица 3.1 – Соответствие требований реализации и проверкам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Соответствие требований реализации и проверкам"/>
      </w:tblPr>
      <w:tblGrid>
        <w:gridCol w:w="1698"/>
        <w:gridCol w:w="6133"/>
        <w:gridCol w:w="1807"/>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Требования</w:t>
            </w:r>
          </w:p>
        </w:tc>
        <w:tc>
          <w:tcPr>
            <w:tcW w:w="6133" w:type="dxa"/>
          </w:tcPr>
          <w:p>
            <w:pPr>
              <w:pStyle w:val="Compact"/>
              <w:keepNext w:val="0"/>
              <w:pageBreakBefore w:val="0"/>
              <w:suppressAutoHyphens w:val="1"/>
              <w:spacing w:before="0" w:after="0" w:line="240" w:lineRule="auto"/>
              <w:ind w:firstLine="0" w:left="0" w:right="0"/>
              <w:jc w:val="center"/>
            </w:pPr>
            <w:r>
              <w:rPr>
                <w:b w:val="1"/>
                <w:sz w:val="24"/>
                <w:szCs w:val="24"/>
              </w:rPr>
              <w:t xml:space="preserve">Основные структуры и назначение</w:t>
            </w:r>
          </w:p>
        </w:tc>
        <w:tc>
          <w:tcPr>
            <w:tcW w:w="180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Проверки</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 F-11</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ProduceObjectRead</w:t>
            </w:r>
            <w:r>
              <w:rPr>
                <w:sz w:val="24"/>
                <w:szCs w:val="24"/>
              </w:rPr>
              <w:t xml:space="preserve">,</w:t>
            </w:r>
            <w:r>
              <w:rPr>
                <w:sz w:val="24"/>
                <w:szCs w:val="24"/>
              </w:rPr>
              <w:t xml:space="preserve"> </w:t>
            </w:r>
            <w:r>
              <w:rPr>
                <w:i/>
                <w:iCs/>
                <w:sz w:val="24"/>
                <w:szCs w:val="24"/>
              </w:rPr>
              <w:t xml:space="preserve">ingestor.Ingest</w:t>
            </w:r>
            <w:r>
              <w:rPr>
                <w:sz w:val="24"/>
                <w:szCs w:val="24"/>
              </w:rPr>
              <w:t xml:space="preserve">,</w:t>
            </w:r>
            <w:r>
              <w:rPr>
                <w:sz w:val="24"/>
                <w:szCs w:val="24"/>
              </w:rPr>
              <w:t xml:space="preserve"> </w:t>
            </w:r>
            <w:r>
              <w:rPr>
                <w:i/>
                <w:iCs/>
                <w:sz w:val="24"/>
                <w:szCs w:val="24"/>
              </w:rPr>
              <w:t xml:space="preserve">repo.Store</w:t>
            </w:r>
            <w:r>
              <w:rPr>
                <w:sz w:val="24"/>
                <w:szCs w:val="24"/>
              </w:rPr>
              <w:t xml:space="preserve">: приём и однократный учёт чтений</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D-01, D-02, D-05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 F-08</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placementService</w:t>
            </w:r>
            <w:r>
              <w:rPr>
                <w:sz w:val="24"/>
                <w:szCs w:val="24"/>
              </w:rPr>
              <w:t xml:space="preserve">: каталог, проверка расположения и резервирование места</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M-01, M-02, M-04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builder.Build</w:t>
            </w:r>
            <w:r>
              <w:rPr>
                <w:sz w:val="24"/>
                <w:szCs w:val="24"/>
              </w:rPr>
              <w:t xml:space="preserve">,</w:t>
            </w:r>
            <w:r>
              <w:rPr>
                <w:sz w:val="24"/>
                <w:szCs w:val="24"/>
              </w:rPr>
              <w:t xml:space="preserve"> </w:t>
            </w:r>
            <w:r>
              <w:rPr>
                <w:i/>
                <w:iCs/>
                <w:sz w:val="24"/>
                <w:szCs w:val="24"/>
              </w:rPr>
              <w:t xml:space="preserve">dataset.Rows</w:t>
            </w:r>
            <w:r>
              <w:rPr>
                <w:sz w:val="24"/>
                <w:szCs w:val="24"/>
              </w:rPr>
              <w:t xml:space="preserve">: признаки, качество истории и метки</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D-03, D-04, D-06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 F-12</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sppr_ml.model.fit</w:t>
            </w:r>
            <w:r>
              <w:rPr>
                <w:sz w:val="24"/>
                <w:szCs w:val="24"/>
              </w:rPr>
              <w:t xml:space="preserve">,</w:t>
            </w:r>
            <w:r>
              <w:rPr>
                <w:sz w:val="24"/>
                <w:szCs w:val="24"/>
              </w:rPr>
              <w:t xml:space="preserve"> </w:t>
            </w:r>
            <w:r>
              <w:rPr>
                <w:i/>
                <w:iCs/>
                <w:sz w:val="24"/>
                <w:szCs w:val="24"/>
              </w:rPr>
              <w:t xml:space="preserve">Manager</w:t>
            </w:r>
            <w:r>
              <w:rPr>
                <w:sz w:val="24"/>
                <w:szCs w:val="24"/>
              </w:rPr>
              <w:t xml:space="preserve">,</w:t>
            </w:r>
            <w:r>
              <w:rPr>
                <w:sz w:val="24"/>
                <w:szCs w:val="24"/>
              </w:rPr>
              <w:t xml:space="preserve"> </w:t>
            </w:r>
            <w:r>
              <w:rPr>
                <w:i/>
                <w:iCs/>
                <w:sz w:val="24"/>
                <w:szCs w:val="24"/>
              </w:rPr>
              <w:t xml:space="preserve">ewma.Predict</w:t>
            </w:r>
            <w:r>
              <w:rPr>
                <w:sz w:val="24"/>
                <w:szCs w:val="24"/>
              </w:rPr>
              <w:t xml:space="preserve">: обучение, ввод модели и базовый прогноз</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C-05, C-06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 F-06</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planner.Build</w:t>
            </w:r>
            <w:r>
              <w:rPr>
                <w:sz w:val="24"/>
                <w:szCs w:val="24"/>
              </w:rPr>
              <w:t xml:space="preserve">: допустимый план с зависимостями и объяснениями</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C-01, C-02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 F-11</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plannerService.Execute</w:t>
            </w:r>
            <w:r>
              <w:rPr>
                <w:sz w:val="24"/>
                <w:szCs w:val="24"/>
              </w:rPr>
              <w:t xml:space="preserve">: команды администратора и журнал</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C-02–C-04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F-09, F-10</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executor</w:t>
            </w:r>
            <w:r>
              <w:rPr>
                <w:sz w:val="24"/>
                <w:szCs w:val="24"/>
              </w:rPr>
              <w:t xml:space="preserve">,</w:t>
            </w:r>
            <w:r>
              <w:rPr>
                <w:sz w:val="24"/>
                <w:szCs w:val="24"/>
              </w:rPr>
              <w:t xml:space="preserve"> </w:t>
            </w:r>
            <w:r>
              <w:rPr>
                <w:i/>
                <w:iCs/>
                <w:sz w:val="24"/>
                <w:szCs w:val="24"/>
              </w:rPr>
              <w:t xml:space="preserve">cleanup.Step</w:t>
            </w:r>
            <w:r>
              <w:rPr>
                <w:sz w:val="24"/>
                <w:szCs w:val="24"/>
              </w:rPr>
              <w:t xml:space="preserve">: перенос, восстановление и очистка копий</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M-01–M-06</w:t>
            </w:r>
          </w:p>
        </w:tc>
      </w:tr>
    </w:tbl>
    <w:bookmarkEnd w:id="106"/>
    <w:bookmarkStart w:id="107" w:name="сбор-истории-обращений"/>
    <w:p>
      <w:pPr>
        <w:pStyle w:val="30"/>
        <w:spacing w:before="480"/>
      </w:pPr>
      <w:bookmarkStart w:id="257" w:name="GOSTHeading257"/>
      <w:r>
        <w:t xml:space="preserve">3.1.1 Сбор истории обращений</w:t>
      </w:r>
      <w:bookmarkEnd w:id="257"/>
    </w:p>
    <w:p>
      <w:pPr>
        <w:pStyle w:val="FirstParagraph"/>
      </w:pPr>
      <w:r>
        <w:t xml:space="preserve">Метод</w:t>
      </w:r>
      <w:r>
        <w:t xml:space="preserve"> </w:t>
      </w:r>
      <w:r>
        <w:rPr>
          <w:i/>
          <w:iCs/>
        </w:rPr>
        <w:t xml:space="preserve">accessProducerService.ProduceObjectRead</w:t>
      </w:r>
      <w:r>
        <w:t xml:space="preserve"> </w:t>
      </w:r>
      <w:r>
        <w:t xml:space="preserve">создаёт событие после начала клиентского чтения. Последующий обрыв передачи также учитывается; объём равен запрошенной длине. Запрос метаданных без содержимого (метод HEAD) и технические копирования спрос не увеличивают. Неуспешные операции не регистрируются, поэтому F-01 выполнено частично.</w:t>
      </w:r>
    </w:p>
    <w:p>
      <w:pPr>
        <w:pStyle w:val="a2"/>
      </w:pPr>
      <w:r>
        <w:t xml:space="preserve">Метод</w:t>
      </w:r>
      <w:r>
        <w:t xml:space="preserve"> </w:t>
      </w:r>
      <w:r>
        <w:rPr>
          <w:i/>
          <w:iCs/>
        </w:rPr>
        <w:t xml:space="preserve">ingestor.Ingest</w:t>
      </w:r>
      <w:r>
        <w:t xml:space="preserve"> </w:t>
      </w:r>
      <w:r>
        <w:t xml:space="preserve">проверяет событие, а</w:t>
      </w:r>
      <w:r>
        <w:t xml:space="preserve"> </w:t>
      </w:r>
      <w:r>
        <w:rPr>
          <w:i/>
          <w:iCs/>
        </w:rPr>
        <w:t xml:space="preserve">repo.Store</w:t>
      </w:r>
      <w:r>
        <w:t xml:space="preserve"> </w:t>
      </w:r>
      <w:r>
        <w:t xml:space="preserve">сохраняет его и минутный агрегат в одной транзакции. Повторно доставленное событие учитывается однократно; сообщение брокеру Kafka подтверждается только после записи. Последовательные номера и служебные сообщения позволяют обнаруживать пропуски. Метод</w:t>
      </w:r>
      <w:r>
        <w:t xml:space="preserve"> </w:t>
      </w:r>
      <w:r>
        <w:rPr>
          <w:i/>
          <w:iCs/>
        </w:rPr>
        <w:t xml:space="preserve">repo.Coverage</w:t>
      </w:r>
      <w:r>
        <w:t xml:space="preserve"> </w:t>
      </w:r>
      <w:r>
        <w:t xml:space="preserve">определяет границу полной истории; более поздние данные не используются. Неполная или устаревшая история приостанавливает прогнозные рекомендации (Рисунок 2.1).</w:t>
      </w:r>
    </w:p>
    <w:bookmarkEnd w:id="107"/>
    <w:bookmarkStart w:id="108" w:name="планирование-и-исполнение-переноса"/>
    <w:p>
      <w:pPr>
        <w:pStyle w:val="30"/>
      </w:pPr>
      <w:bookmarkStart w:id="258" w:name="GOSTHeading258"/>
      <w:r>
        <w:t xml:space="preserve">3.1.2 Планирование и исполнение переноса</w:t>
      </w:r>
      <w:bookmarkEnd w:id="258"/>
    </w:p>
    <w:p>
      <w:pPr>
        <w:pStyle w:val="FirstParagraph"/>
      </w:pPr>
      <w:r>
        <w:t xml:space="preserve">Функция</w:t>
      </w:r>
      <w:r>
        <w:t xml:space="preserve"> </w:t>
      </w:r>
      <w:r>
        <w:rPr>
          <w:i/>
          <w:iCs/>
        </w:rPr>
        <w:t xml:space="preserve">planner.Build</w:t>
      </w:r>
      <w:r>
        <w:t xml:space="preserve"> </w:t>
      </w:r>
      <w:r>
        <w:t xml:space="preserve">реализует алгоритм на Рисунке 2.2: формирует план с учётом ёмкости, временных копий, бюджета и закреплений. Объяснение содержит прогноз, ожидаемый выигрыш, затраты и причины отказа. Если для помещения в HOT нужно освободить место, действия связываются зависимостью. Жадный алгоритм даёт допустимый план, но не гарантирует глобального оптимума.</w:t>
      </w:r>
    </w:p>
    <w:p>
      <w:pPr>
        <w:pStyle w:val="a2"/>
      </w:pPr>
      <w:r>
        <w:t xml:space="preserve">Структура</w:t>
      </w:r>
      <w:r>
        <w:t xml:space="preserve"> </w:t>
      </w:r>
      <w:r>
        <w:rPr>
          <w:i/>
          <w:iCs/>
        </w:rPr>
        <w:t xml:space="preserve">executor</w:t>
      </w:r>
      <w:r>
        <w:t xml:space="preserve"> </w:t>
      </w:r>
      <w:r>
        <w:t xml:space="preserve">исполняет подтверждённый план по протоколу на Рисунке 2.3. Метод</w:t>
      </w:r>
      <w:r>
        <w:t xml:space="preserve"> </w:t>
      </w:r>
      <w:r>
        <w:rPr>
          <w:i/>
          <w:iCs/>
        </w:rPr>
        <w:t xml:space="preserve">placementService.ReserveCopy</w:t>
      </w:r>
      <w:r>
        <w:t xml:space="preserve"> </w:t>
      </w:r>
      <w:r>
        <w:t xml:space="preserve">проверяет версию и резервирует место. После сверки размера и контрольной суммы MD5 метод</w:t>
      </w:r>
      <w:r>
        <w:t xml:space="preserve"> </w:t>
      </w:r>
      <w:r>
        <w:rPr>
          <w:i/>
          <w:iCs/>
        </w:rPr>
        <w:t xml:space="preserve">SwitchPlacement</w:t>
      </w:r>
      <w:r>
        <w:t xml:space="preserve"> </w:t>
      </w:r>
      <w:r>
        <w:t xml:space="preserve">переключает расположение, только если его поколение не изменилось. При конфликте или повреждении копии источник сохраняется.</w:t>
      </w:r>
    </w:p>
    <w:p>
      <w:pPr>
        <w:pStyle w:val="a2"/>
      </w:pPr>
      <w:r>
        <w:t xml:space="preserve">Состояние переноса сохраняется до внешнего действия, поэтому после перезапуска исполнитель продолжает ту же операцию. Функция</w:t>
      </w:r>
      <w:r>
        <w:t xml:space="preserve"> </w:t>
      </w:r>
      <w:r>
        <w:rPr>
          <w:i/>
          <w:iCs/>
        </w:rPr>
        <w:t xml:space="preserve">cleanup.Step</w:t>
      </w:r>
      <w:r>
        <w:t xml:space="preserve"> </w:t>
      </w:r>
      <w:r>
        <w:t xml:space="preserve">удаляет ненужные копии; до удаления они занимают место. Источник сохраняется достаточно долго для завершения начатых чтений. Неуспешные попытки расходуют бюджет, однако повтор может превысить его на объём одной попытки — это ограничение реализации.</w:t>
      </w:r>
    </w:p>
    <w:bookmarkEnd w:id="108"/>
    <w:bookmarkStart w:id="110" w:name="управление-и-журналирование"/>
    <w:p>
      <w:pPr>
        <w:pStyle w:val="30"/>
      </w:pPr>
      <w:bookmarkStart w:id="259" w:name="GOSTHeading259"/>
      <w:r>
        <w:t xml:space="preserve">3.1.3 Управление и журналирование</w:t>
      </w:r>
      <w:bookmarkEnd w:id="259"/>
    </w:p>
    <w:p>
      <w:pPr>
        <w:pStyle w:val="FirstParagraph"/>
      </w:pPr>
      <w:r>
        <w:t xml:space="preserve">Метод</w:t>
      </w:r>
      <w:r>
        <w:t xml:space="preserve"> </w:t>
      </w:r>
      <w:r>
        <w:rPr>
          <w:i/>
          <w:iCs/>
        </w:rPr>
        <w:t xml:space="preserve">plannerService.Execute</w:t>
      </w:r>
      <w:r>
        <w:t xml:space="preserve"> </w:t>
      </w:r>
      <w:r>
        <w:t xml:space="preserve">обслуживает программный интерфейс (API) и веб-формы. Компонент Auth проверяет вход, AuthZ — полномочия администратора ADMIN. Подтверждается актуальная ревизия с обязательными предшественниками. Повтор команды с прежним идентификатором возвращает сохранённый результат. Связь рекомендации, команды и переноса обеспечивает прослеживаемость решения (Рисунок А.1).</w:t>
      </w:r>
    </w:p>
    <w:p>
      <w:pPr>
        <w:pStyle w:val="a2"/>
      </w:pPr>
      <w:r>
        <w:t xml:space="preserve">Управление использует HTTP — протокол передачи гипертекста: GET получает данные, POST отправляет команды (Таблица 3.2). Панель</w:t>
      </w:r>
      <w:r>
        <w:t xml:space="preserve"> </w:t>
      </w:r>
      <w:r>
        <w:rPr>
          <w:rStyle w:val="VerbatimChar"/>
        </w:rPr>
        <w:t xml:space="preserve">/admin</w:t>
      </w:r>
      <w:r>
        <w:t xml:space="preserve"> </w:t>
      </w:r>
      <w:r>
        <w:t xml:space="preserve">обращается к тому же сервису. Завершение переноса проверяется отдельно от принятия команды.</w:t>
      </w:r>
    </w:p>
    <w:bookmarkStart w:id="109" w:name="gost-tbl:admin_api"/>
    <w:p>
      <w:pPr>
        <w:pStyle w:val="TableCaption"/>
      </w:pPr>
      <w:r>
        <w:t xml:space="preserve">Таблица 3.2 – Основные операции управления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Основные операции управления"/>
      </w:tblPr>
      <w:tblGrid>
        <w:gridCol w:w="3760"/>
        <w:gridCol w:w="5878"/>
      </w:tblGrid>
      <w:tr>
        <w:trPr>
          <w:tblHeader w:val="on"/>
          <w:cantSplit/>
        </w:trPr>
        <w:tc>
          <w:tcPr>
            <w:tcW w:w="3760"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c>
          <w:tcPr>
            <w:tcW w:w="5878" w:type="dxa"/>
          </w:tcPr>
          <w:p>
            <w:pPr>
              <w:pStyle w:val="Compact"/>
              <w:keepNext w:val="0"/>
              <w:pageBreakBefore w:val="0"/>
              <w:suppressAutoHyphens w:val="1"/>
              <w:spacing w:before="0" w:after="0" w:line="240" w:lineRule="auto"/>
              <w:ind w:firstLine="0" w:left="0" w:right="0"/>
              <w:jc w:val="center"/>
            </w:pPr>
            <w:r>
              <w:rPr>
                <w:b w:val="1"/>
                <w:sz w:val="24"/>
                <w:szCs w:val="24"/>
              </w:rPr>
              <w:t xml:space="preserve">Запрос программного интерфейса</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и ресурсов</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/api/planner/status</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Расчёт и рассмотрение плана</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/api/planner/plans/recompute</w:t>
            </w:r>
            <w:r>
              <w:rPr>
                <w:sz w:val="24"/>
                <w:szCs w:val="24"/>
              </w:rPr>
              <w:t xml:space="preserve">,</w:t>
            </w:r>
            <w:r>
              <w:rPr>
                <w:sz w:val="24"/>
                <w:szCs w:val="24"/>
              </w:rPr>
              <w:t xml:space="preserve"> </w:t>
            </w:r>
            <w:r>
              <w:rPr>
                <w:rStyle w:val="VerbatimChar"/>
                <w:sz w:val="24"/>
                <w:szCs w:val="24"/>
              </w:rPr>
              <w:t xml:space="preserve">GET /api/planner/plans</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или отклонение</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/api/planner/plans/{id}/confirm</w:t>
            </w:r>
            <w:r>
              <w:rPr>
                <w:sz w:val="24"/>
                <w:szCs w:val="24"/>
              </w:rPr>
              <w:t xml:space="preserve">,</w:t>
            </w:r>
            <w:r>
              <w:rPr>
                <w:sz w:val="24"/>
                <w:szCs w:val="24"/>
              </w:rPr>
              <w:t xml:space="preserve"> </w:t>
            </w:r>
            <w:r>
              <w:rPr>
                <w:rStyle w:val="VerbatimChar"/>
                <w:sz w:val="24"/>
                <w:szCs w:val="24"/>
              </w:rPr>
              <w:t xml:space="preserve">.../reject</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Отмена, пауза и продолжение</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/api/planner/commands/cancel-pending</w:t>
            </w:r>
            <w:r>
              <w:rPr>
                <w:sz w:val="24"/>
                <w:szCs w:val="24"/>
              </w:rPr>
              <w:t xml:space="preserve">,</w:t>
            </w:r>
            <w:r>
              <w:rPr>
                <w:sz w:val="24"/>
                <w:szCs w:val="24"/>
              </w:rPr>
              <w:t xml:space="preserve"> </w:t>
            </w:r>
            <w:r>
              <w:rPr>
                <w:rStyle w:val="VerbatimChar"/>
                <w:sz w:val="24"/>
                <w:szCs w:val="24"/>
              </w:rPr>
              <w:t xml:space="preserve">.../pause</w:t>
            </w:r>
            <w:r>
              <w:rPr>
                <w:sz w:val="24"/>
                <w:szCs w:val="24"/>
              </w:rPr>
              <w:t xml:space="preserve">,</w:t>
            </w:r>
            <w:r>
              <w:rPr>
                <w:sz w:val="24"/>
                <w:szCs w:val="24"/>
              </w:rPr>
              <w:t xml:space="preserve"> </w:t>
            </w:r>
            <w:r>
              <w:rPr>
                <w:rStyle w:val="VerbatimChar"/>
                <w:sz w:val="24"/>
                <w:szCs w:val="24"/>
              </w:rPr>
              <w:t xml:space="preserve">.../resume</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/api/planner/model/retrain</w:t>
            </w:r>
          </w:p>
        </w:tc>
      </w:tr>
    </w:tbl>
    <w:bookmarkEnd w:id="109"/>
    <w:bookmarkEnd w:id="110"/>
    <w:bookmarkEnd w:id="111"/>
    <w:bookmarkStart w:id="116" w:name="подготовка-данных-и-встраивание-модели"/>
    <w:p>
      <w:pPr>
        <w:pStyle w:val="21"/>
        <w:spacing w:before="480"/>
      </w:pPr>
      <w:bookmarkStart w:id="260" w:name="GOSTHeading260"/>
      <w:r>
        <w:t xml:space="preserve">3.2 Подготовка данных и встраивание модели</w:t>
      </w:r>
      <w:bookmarkEnd w:id="260"/>
    </w:p>
    <w:p>
      <w:pPr>
        <w:pStyle w:val="FirstParagraph"/>
      </w:pPr>
      <w:r>
        <w:t xml:space="preserve">Подготовка данных соответствует Рисунку 2.1: история → признаки и метки → обучение → проверка → ввод модели. Источники определены в Таблице 1.2.</w:t>
      </w:r>
    </w:p>
    <w:bookmarkStart w:id="113" w:name="источники-и-подготовка-данных"/>
    <w:p>
      <w:pPr>
        <w:pStyle w:val="30"/>
      </w:pPr>
      <w:bookmarkStart w:id="261" w:name="GOSTHeading261"/>
      <w:r>
        <w:t xml:space="preserve">3.2.1 Источники и подготовка данных</w:t>
      </w:r>
      <w:bookmarkEnd w:id="261"/>
    </w:p>
    <w:p>
      <w:pPr>
        <w:pStyle w:val="FirstParagraph"/>
      </w:pPr>
      <w:r>
        <w:t xml:space="preserve">Структура</w:t>
      </w:r>
      <w:r>
        <w:t xml:space="preserve"> </w:t>
      </w:r>
      <w:r>
        <w:rPr>
          <w:i/>
          <w:iCs/>
        </w:rPr>
        <w:t xml:space="preserve">Generator</w:t>
      </w:r>
      <w:r>
        <w:t xml:space="preserve"> </w:t>
      </w:r>
      <w:r>
        <w:t xml:space="preserve">формирует историю с известным каталогом для шести сценариев: стабильного, снижающегося, периодического, всплескового и равномерного спроса, а также смены востребованного набора. Будущие изменения модели не передаются.</w:t>
      </w:r>
    </w:p>
    <w:p>
      <w:pPr>
        <w:pStyle w:val="a2"/>
      </w:pPr>
      <w:r>
        <w:t xml:space="preserve">Основной профиль: 10 000 объектов по 1 МиБ, 20 чтений/с и семь суток истории. Первые двое суток отведены обучению, третьи — настройке, последние четверо — итоговому тесту. Горизонт прогноза равен часу, шаг срезов — 15 мин. Набор файлов приведён в Таблице 3.3; сравнение повторяется для десяти начальных значений генератора случайных чисел.</w:t>
      </w:r>
    </w:p>
    <w:bookmarkStart w:id="112" w:name="gost-tbl:dataset_artifacts"/>
    <w:p>
      <w:pPr>
        <w:pStyle w:val="TableCaption"/>
      </w:pPr>
      <w:r>
        <w:t xml:space="preserve">Таблица 3.3 – Результаты подготовки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Результаты подготовки выборки"/>
      </w:tblPr>
      <w:tblGrid>
        <w:gridCol w:w="2692"/>
        <w:gridCol w:w="6946"/>
      </w:tblGrid>
      <w:tr>
        <w:trPr>
          <w:tblHeader w:val="on"/>
          <w:cantSplit/>
        </w:trPr>
        <w:tc>
          <w:tcPr>
            <w:tcW w:w="2692"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Файл</w:t>
            </w:r>
          </w:p>
        </w:tc>
        <w:tc>
          <w:tcPr>
            <w:tcW w:w="6946"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692"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catalog.json</w:t>
            </w:r>
            <w:r>
              <w:rPr>
                <w:sz w:val="24"/>
                <w:szCs w:val="24"/>
              </w:rPr>
              <w:t xml:space="preserve">,</w:t>
            </w:r>
            <w:r>
              <w:rPr>
                <w:sz w:val="24"/>
                <w:szCs w:val="24"/>
              </w:rPr>
              <w:t xml:space="preserve"> </w:t>
            </w:r>
            <w:r>
              <w:rPr>
                <w:rStyle w:val="VerbatimChar"/>
                <w:sz w:val="24"/>
                <w:szCs w:val="24"/>
              </w:rPr>
              <w:t xml:space="preserve">events.jsonl</w:t>
            </w:r>
          </w:p>
        </w:tc>
        <w:tc>
          <w:tcPr>
            <w:tcW w:w="6946"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 события в структурированном текстовом формате JSON; JSONL содержит одну запись на строку</w:t>
            </w:r>
          </w:p>
        </w:tc>
      </w:tr>
      <w:tr>
        <w:trPr>
          <w:cantSplit/>
        </w:trPr>
        <w:tc>
          <w:tcPr>
            <w:tcW w:w="2692"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slices.jsonl</w:t>
            </w:r>
            <w:r>
              <w:rPr>
                <w:sz w:val="24"/>
                <w:szCs w:val="24"/>
              </w:rPr>
              <w:t xml:space="preserve"> </w:t>
            </w:r>
            <w:r>
              <w:rPr>
                <w:sz w:val="24"/>
                <w:szCs w:val="24"/>
              </w:rPr>
              <w:t xml:space="preserve">или CSV по периодам</w:t>
            </w:r>
          </w:p>
        </w:tc>
        <w:tc>
          <w:tcPr>
            <w:tcW w:w="6946"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метки и исключённые строки; CSV — таблица с разделителями</w:t>
            </w:r>
          </w:p>
        </w:tc>
      </w:tr>
      <w:tr>
        <w:trPr>
          <w:cantSplit/>
        </w:trPr>
        <w:tc>
          <w:tcPr>
            <w:tcW w:w="2692"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manifest.json</w:t>
            </w:r>
          </w:p>
        </w:tc>
        <w:tc>
          <w:tcPr>
            <w:tcW w:w="6946" w:type="dxa"/>
          </w:tcPr>
          <w:p>
            <w:pPr>
              <w:pStyle w:val="Compact"/>
              <w:keepNext w:val="0"/>
              <w:pageBreakBefore w:val="0"/>
              <w:suppressAutoHyphens w:val="1"/>
              <w:spacing w:before="0" w:after="0" w:line="240" w:lineRule="auto"/>
              <w:ind w:firstLine="0" w:left="0" w:right="0"/>
              <w:jc w:val="both"/>
            </w:pPr>
            <w:r>
              <w:rPr>
                <w:sz w:val="24"/>
                <w:szCs w:val="24"/>
              </w:rPr>
              <w:t xml:space="preserve">Конфигурация, временные границы, версии правил и контрольные суммы целостности файлов (SHA-256)</w:t>
            </w:r>
          </w:p>
        </w:tc>
      </w:tr>
    </w:tbl>
    <w:bookmarkEnd w:id="112"/>
    <w:p>
      <w:pPr>
        <w:pStyle w:val="a2"/>
        <w:spacing w:before="120"/>
      </w:pPr>
      <w:r>
        <w:t xml:space="preserve">Дополнительно прогноз оценён на открытых трассах Meta CDN, IBM Cloud Object Storage (COS) и IBM Docker Registry, приведённых командой</w:t>
      </w:r>
      <w:r>
        <w:t xml:space="preserve"> </w:t>
      </w:r>
      <w:r>
        <w:rPr>
          <w:i/>
          <w:iCs/>
        </w:rPr>
        <w:t xml:space="preserve">trace-convert</w:t>
      </w:r>
      <w:r>
        <w:t xml:space="preserve"> </w:t>
      </w:r>
      <w:r>
        <w:t xml:space="preserve">к общему формату. В трассах нет полного контракта версий S3, а в Meta CDN и IBM COS отсутствует код ответа. Восстановление каталога COS из обращений может раскрывать будущие сведения. Поэтому трассы используются для оценки прогноза с контролем утечки, а сохранность переносов проверяется на стенде.</w:t>
      </w:r>
    </w:p>
    <w:bookmarkEnd w:id="113"/>
    <w:bookmarkStart w:id="114" w:name="признаки-метки-и-разделение-выборки"/>
    <w:p>
      <w:pPr>
        <w:pStyle w:val="30"/>
      </w:pPr>
      <w:bookmarkStart w:id="262" w:name="GOSTHeading262"/>
      <w:r>
        <w:t xml:space="preserve">3.2.2 Признаки, метки и разделение выборки</w:t>
      </w:r>
      <w:bookmarkEnd w:id="262"/>
    </w:p>
    <w:p>
      <w:pPr>
        <w:pStyle w:val="FirstParagraph"/>
      </w:pPr>
      <w:r>
        <w:t xml:space="preserve">Метод</w:t>
      </w:r>
      <w:r>
        <w:t xml:space="preserve"> </w:t>
      </w:r>
      <w:r>
        <w:rPr>
          <w:i/>
          <w:iCs/>
        </w:rPr>
        <w:t xml:space="preserve">builder.Build</w:t>
      </w:r>
      <w:r>
        <w:t xml:space="preserve"> </w:t>
      </w:r>
      <w:r>
        <w:t xml:space="preserve">рассчитывает 17 признаков из Таблицы 2.2 за предшествующие 24 ч. Одинаковый расчёт используется при обучении, в сервисе и симуляторе. Класс хранения и задержка чтения исключены. Неизвестная давность задаётся специальным отсутствующим значением; нулевой спрос допустим только при полной истории.</w:t>
      </w:r>
    </w:p>
    <w:p>
      <w:pPr>
        <w:pStyle w:val="a2"/>
      </w:pPr>
      <w:r>
        <w:t xml:space="preserve">Функция</w:t>
      </w:r>
      <w:r>
        <w:t xml:space="preserve"> </w:t>
      </w:r>
      <w:r>
        <w:rPr>
          <w:i/>
          <w:iCs/>
        </w:rPr>
        <w:t xml:space="preserve">dataset.Rows</w:t>
      </w:r>
      <w:r>
        <w:t xml:space="preserve"> </w:t>
      </w:r>
      <w:r>
        <w:t xml:space="preserve">фиксирует признаки до расчёта метки на интервале</w:t>
      </w:r>
      <w:r>
        <w:t xml:space="preserve"> </w:t>
      </w:r>
      <m:oMath>
        <m:r>
          <m:rPr>
            <m:sty m:val="p"/>
          </m:rPr>
          <m:t>[</m:t>
        </m:r>
        <m:r>
          <m:t>T</m:t>
        </m:r>
        <m:r>
          <m:rPr>
            <m:sty m:val="p"/>
          </m:rPr>
          <m:t>,</m:t>
        </m:r>
        <m:r>
          <m:t>T</m:t>
        </m:r>
        <m:r>
          <m:rPr>
            <m:sty m:val="p"/>
          </m:rPr>
          <m:t>+</m:t>
        </m:r>
        <m:r>
          <m:t>H</m:t>
        </m:r>
        <m:r>
          <m:rPr>
            <m:sty m:val="p"/>
          </m:rPr>
          <m:t>)</m:t>
        </m:r>
      </m:oMath>
      <w:r>
        <w:t xml:space="preserve">. Метод</w:t>
      </w:r>
      <w:r>
        <w:t xml:space="preserve"> </w:t>
      </w:r>
      <w:r>
        <w:rPr>
          <w:i/>
          <w:iCs/>
        </w:rPr>
        <w:t xml:space="preserve">Periods.Split</w:t>
      </w:r>
      <w:r>
        <w:t xml:space="preserve"> </w:t>
      </w:r>
      <w:r>
        <w:t xml:space="preserve">исключает метки, пересекающие границы периодов. Выборки не перемешиваются. Неполные строки исключаются, объекты без чтений сохраняются. При выгрузке из текущего каталога ранее удалённые версии недоступны; ограничение записывается в описание набора.</w:t>
      </w:r>
    </w:p>
    <w:bookmarkEnd w:id="114"/>
    <w:bookmarkStart w:id="115" w:name="обучение-и-ввод-модели"/>
    <w:p>
      <w:pPr>
        <w:pStyle w:val="30"/>
      </w:pPr>
      <w:bookmarkStart w:id="263" w:name="GOSTHeading263"/>
      <w:r>
        <w:t xml:space="preserve">3.2.3 Обучение и ввод модели</w:t>
      </w:r>
      <w:bookmarkEnd w:id="263"/>
    </w:p>
    <w:p>
      <w:pPr>
        <w:pStyle w:val="FirstParagraph"/>
      </w:pPr>
      <w:r>
        <w:t xml:space="preserve">Функция</w:t>
      </w:r>
      <w:r>
        <w:t xml:space="preserve"> </w:t>
      </w:r>
      <w:r>
        <w:rPr>
          <w:i/>
          <w:iCs/>
        </w:rPr>
        <w:t xml:space="preserve">sppr_ml.model.fit</w:t>
      </w:r>
      <w:r>
        <w:t xml:space="preserve"> </w:t>
      </w:r>
      <w:r>
        <w:t xml:space="preserve">обучает классификатор LightGBM на всех допустимых строках и регрессор — на положительных метках чтений сверх первого. Прогноз соответствует формулам (2.7) и (2.8). Число деревьев выбирается на последних 8 ч обучающего периода, затем модель обучается повторно на всём периоде.</w:t>
      </w:r>
    </w:p>
    <w:p>
      <w:pPr>
        <w:pStyle w:val="a2"/>
      </w:pPr>
      <w:r>
        <w:t xml:space="preserve">Из 24 вариантов по покрытию будущих чтений на периоде настройки выбраны 15 листьев, скорость обучения 0,03, не менее 20 строк в листе и коэффициент регуляризации 1. Параметры зафиксированы до итогового теста в</w:t>
      </w:r>
      <w:r>
        <w:t xml:space="preserve"> </w:t>
      </w:r>
      <w:r>
        <w:rPr>
          <w:rStyle w:val="VerbatimChar"/>
        </w:rPr>
        <w:t xml:space="preserve">services/sppr/experiments/main.json</w:t>
      </w:r>
      <w:r>
        <w:t xml:space="preserve">.</w:t>
      </w:r>
    </w:p>
    <w:p>
      <w:pPr>
        <w:pStyle w:val="a2"/>
      </w:pPr>
      <w:r>
        <w:t xml:space="preserve">Функция</w:t>
      </w:r>
      <w:r>
        <w:t xml:space="preserve"> </w:t>
      </w:r>
      <w:r>
        <w:rPr>
          <w:i/>
          <w:iCs/>
        </w:rPr>
        <w:t xml:space="preserve">sppr_ml.export.write</w:t>
      </w:r>
      <w:r>
        <w:t xml:space="preserve"> </w:t>
      </w:r>
      <w:r>
        <w:t xml:space="preserve">сохраняет модели, описание комплекта и контрольные прогнозы. Загрузчик</w:t>
      </w:r>
      <w:r>
        <w:t xml:space="preserve"> </w:t>
      </w:r>
      <w:r>
        <w:rPr>
          <w:i/>
          <w:iCs/>
        </w:rPr>
        <w:t xml:space="preserve">lgbm.Load</w:t>
      </w:r>
      <w:r>
        <w:t xml:space="preserve"> </w:t>
      </w:r>
      <w:r>
        <w:t xml:space="preserve">проверяет целостность, совместимость признаков и совпадение вычислений Python и Go с относительным допуском</w:t>
      </w:r>
      <w:r>
        <w:t xml:space="preserve"> </w:t>
      </w:r>
      <m:oMath>
        <m:sSup>
          <m:e>
            <m:r>
              <m:t>10</m:t>
            </m:r>
          </m:e>
          <m:sup>
            <m:r>
              <m:rPr>
                <m:sty m:val="p"/>
              </m:rPr>
              <m:t>−</m:t>
            </m:r>
            <m:r>
              <m:t>9</m:t>
            </m:r>
          </m:sup>
        </m:sSup>
      </m:oMath>
      <w:r>
        <w:t xml:space="preserve">. Несовместимый комплект отклоняется.</w:t>
      </w:r>
    </w:p>
    <w:p>
      <w:pPr>
        <w:pStyle w:val="a2"/>
      </w:pPr>
      <w:r>
        <w:t xml:space="preserve">Структура</w:t>
      </w:r>
      <w:r>
        <w:t xml:space="preserve"> </w:t>
      </w:r>
      <w:r>
        <w:rPr>
          <w:i/>
          <w:iCs/>
        </w:rPr>
        <w:t xml:space="preserve">Manager</w:t>
      </w:r>
      <w:r>
        <w:t xml:space="preserve"> </w:t>
      </w:r>
      <w:r>
        <w:t xml:space="preserve">активирует проверенную модель и записывает её версию. При ошибке обучения сохраняется предыдущая пригодная модель, при отсутствии или устаревании используется экспоненциальное скользящее среднее (EWMA). Обновление выполняется раз в сутки, предел возраста — 72 ч. Один расчёт плана использует одну версию модели. Неполная история блокирует прогнозные рекомендации при любом методе.</w:t>
      </w:r>
    </w:p>
    <w:bookmarkEnd w:id="115"/>
    <w:bookmarkEnd w:id="116"/>
    <w:bookmarkStart w:id="123" w:name="тестирование-программного-обеспечения"/>
    <w:p>
      <w:pPr>
        <w:pStyle w:val="21"/>
      </w:pPr>
      <w:bookmarkStart w:id="264" w:name="GOSTHeading264"/>
      <w:r>
        <w:t xml:space="preserve">3.3 Тестирование программного обеспечения</w:t>
      </w:r>
      <w:bookmarkEnd w:id="264"/>
    </w:p>
    <w:p>
      <w:pPr>
        <w:pStyle w:val="FirstParagraph"/>
      </w:pPr>
      <w:r>
        <w:t xml:space="preserve">Испытания проводит автор ВКР. По протоколу от 28.10.2026 (ревизия bef0671) тесты Go для СППР и взаимодействующих сервисов, а также 55 тестов Python завершились без ошибок. Проверки с тегом integration не подтверждают обращения к базе данных и стенду без необходимых переменных окружения. Источники —</w:t>
      </w:r>
      <w:r>
        <w:t xml:space="preserve"> </w:t>
      </w:r>
      <w:r>
        <w:rPr>
          <w:rStyle w:val="VerbatimChar"/>
        </w:rPr>
        <w:t xml:space="preserve">build/stage12/test-protocol.md</w:t>
      </w:r>
      <w:r>
        <w:t xml:space="preserve"> </w:t>
      </w:r>
      <w:r>
        <w:t xml:space="preserve">и</w:t>
      </w:r>
      <w:r>
        <w:t xml:space="preserve"> </w:t>
      </w:r>
      <w:r>
        <w:rPr>
          <w:rStyle w:val="VerbatimChar"/>
        </w:rPr>
        <w:t xml:space="preserve">build/stage11/tests/</w:t>
      </w:r>
      <w:r>
        <w:t xml:space="preserve">. Основные случаи приведены в Таблицах 3.4, 3.5 и 3.6.</w:t>
      </w:r>
    </w:p>
    <w:p>
      <w:pPr>
        <w:pStyle w:val="a2"/>
      </w:pPr>
      <w:r>
        <w:t xml:space="preserve">Сквозной сценарий подтвердил обновление модели, повтор команды, перенос с чтением и восстановление после перезапуска. Тесты находятся в пакетах</w:t>
      </w:r>
      <w:r>
        <w:t xml:space="preserve"> </w:t>
      </w:r>
      <w:r>
        <w:rPr>
          <w:i/>
          <w:iCs/>
        </w:rPr>
        <w:t xml:space="preserve">ingestor</w:t>
      </w:r>
      <w:r>
        <w:t xml:space="preserve">,</w:t>
      </w:r>
      <w:r>
        <w:t xml:space="preserve"> </w:t>
      </w:r>
      <w:r>
        <w:rPr>
          <w:i/>
          <w:iCs/>
        </w:rPr>
        <w:t xml:space="preserve">features</w:t>
      </w:r>
      <w:r>
        <w:t xml:space="preserve">,</w:t>
      </w:r>
      <w:r>
        <w:t xml:space="preserve"> </w:t>
      </w:r>
      <w:r>
        <w:rPr>
          <w:i/>
          <w:iCs/>
        </w:rPr>
        <w:t xml:space="preserve">planner</w:t>
      </w:r>
      <w:r>
        <w:t xml:space="preserve">,</w:t>
      </w:r>
      <w:r>
        <w:t xml:space="preserve"> </w:t>
      </w:r>
      <w:r>
        <w:rPr>
          <w:i/>
          <w:iCs/>
        </w:rPr>
        <w:t xml:space="preserve">executor</w:t>
      </w:r>
      <w:r>
        <w:t xml:space="preserve"> </w:t>
      </w:r>
      <w:r>
        <w:t xml:space="preserve">и</w:t>
      </w:r>
      <w:r>
        <w:t xml:space="preserve"> </w:t>
      </w:r>
      <w:r>
        <w:rPr>
          <w:i/>
          <w:iCs/>
        </w:rPr>
        <w:t xml:space="preserve">handler</w:t>
      </w:r>
      <w:r>
        <w:t xml:space="preserve"> </w:t>
      </w:r>
      <w:r>
        <w:t xml:space="preserve">СППР; интеграционные проверки используют PostgreSQL, Metadata и Storage. Отказы моделируются повреждением копии, обрывом передачи и потерей ответа. Полная серия отказов и время восстановления требуют отдельного протокола.</w:t>
      </w:r>
    </w:p>
    <w:bookmarkStart w:id="118" w:name="проверка-истории-и-данных"/>
    <w:p>
      <w:pPr>
        <w:pStyle w:val="30"/>
      </w:pPr>
      <w:bookmarkStart w:id="265" w:name="GOSTHeading265"/>
      <w:r>
        <w:t xml:space="preserve">3.3.1 Проверка истории и данных</w:t>
      </w:r>
      <w:bookmarkEnd w:id="265"/>
    </w:p>
    <w:bookmarkStart w:id="117" w:name="gost-tbl:data_test_cases"/>
    <w:p>
      <w:pPr>
        <w:pStyle w:val="TableCaption"/>
      </w:pPr>
      <w:r>
        <w:t xml:space="preserve">Таблица 3.4 – Проверки истории и подготовки данных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Проверки истории и подготовки данных"/>
      </w:tblPr>
      <w:tblGrid>
        <w:gridCol w:w="1987"/>
        <w:gridCol w:w="4579"/>
        <w:gridCol w:w="3072"/>
      </w:tblGrid>
      <w:tr>
        <w:trPr>
          <w:tblHeader w:val="on"/>
          <w:cantSplit/>
        </w:trPr>
        <w:tc>
          <w:tcPr>
            <w:tcW w:w="198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579"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3072"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D-01; F-01, F-11</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Повтор события не меняет спрос; конфликт содержимого отклоняется</w:t>
            </w:r>
          </w:p>
        </w:tc>
        <w:tc>
          <w:tcPr>
            <w:tcW w:w="307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D-02; F-01,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При пропуске и остановке потока потеря обнаруживается</w:t>
            </w:r>
          </w:p>
        </w:tc>
        <w:tc>
          <w:tcPr>
            <w:tcW w:w="307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D-03;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границы: признаки берутся из прошлого, метки — из будущего горизонта</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D-04;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Различить новый объект, нулевой спрос и неполную историю</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D-05; F-01,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Учесть клиентское чтение, исключить копирование</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интеграционная</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D-06; F-03, F-12</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Повтор выгрузки идентичен; пересекающие границы метки исключаются</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bl>
    <w:bookmarkEnd w:id="117"/>
    <w:bookmarkEnd w:id="118"/>
    <w:bookmarkStart w:id="120" w:name="проверка-сохранности"/>
    <w:p>
      <w:pPr>
        <w:pStyle w:val="30"/>
        <w:spacing w:before="480"/>
      </w:pPr>
      <w:bookmarkStart w:id="266" w:name="GOSTHeading266"/>
      <w:r>
        <w:t xml:space="preserve">3.3.2 Проверка сохранности</w:t>
      </w:r>
      <w:bookmarkEnd w:id="266"/>
    </w:p>
    <w:bookmarkStart w:id="119" w:name="gost-tbl:migration_test_cases"/>
    <w:p>
      <w:pPr>
        <w:pStyle w:val="TableCaption"/>
      </w:pPr>
      <w:r>
        <w:t xml:space="preserve">Таблица 3.5 – Проверки переноса версии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роверки переноса версии"/>
      </w:tblPr>
      <w:tblGrid>
        <w:gridCol w:w="1998"/>
        <w:gridCol w:w="4707"/>
        <w:gridCol w:w="2933"/>
      </w:tblGrid>
      <w:tr>
        <w:trPr>
          <w:tblHeader w:val="on"/>
          <w:cantSplit/>
        </w:trPr>
        <w:tc>
          <w:tcPr>
            <w:tcW w:w="1998"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707"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2933"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M-01; F-02, F-09</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COLD → HOT → COLD, полное и диапазонное чтение: ключ, версия и байты сохранены</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M-01</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M-02; F-08, F-09</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При изменении объекта устаревшее переключение отклоняется</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M-02</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M-03; F-09, F-10</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При повреждении копии или отказе цели источник сохраняется</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M-03</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M-04; F-08</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При исчерпании ресурсов перенос запрещён, копии учтены</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M-04; бюджет повторов</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M-05; F-10</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После перезапуска продолжается прежняя миграция</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M-05</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M-06; F-09, F-10</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Чтение при переключении корректно; место освобождается после очистки</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M-06</w:t>
            </w:r>
          </w:p>
        </w:tc>
      </w:tr>
    </w:tbl>
    <w:bookmarkEnd w:id="119"/>
    <w:bookmarkEnd w:id="120"/>
    <w:bookmarkStart w:id="122" w:name="проверка-управления"/>
    <w:p>
      <w:pPr>
        <w:pStyle w:val="30"/>
        <w:spacing w:before="480"/>
      </w:pPr>
      <w:bookmarkStart w:id="267" w:name="GOSTHeading267"/>
      <w:r>
        <w:t xml:space="preserve">3.3.3 Проверка управления</w:t>
      </w:r>
      <w:bookmarkEnd w:id="267"/>
    </w:p>
    <w:bookmarkStart w:id="121" w:name="gost-tbl:control_test_cases"/>
    <w:p>
      <w:pPr>
        <w:pStyle w:val="TableCaption"/>
      </w:pPr>
      <w:r>
        <w:t xml:space="preserve">Таблица 3.6 – Проверки планирования и команд</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Проверки планирования и команд"/>
      </w:tblPr>
      <w:tblGrid>
        <w:gridCol w:w="1901"/>
        <w:gridCol w:w="4030"/>
        <w:gridCol w:w="3707"/>
      </w:tblGrid>
      <w:tr>
        <w:trPr>
          <w:tblHeader w:val="on"/>
          <w:cantSplit/>
        </w:trPr>
        <w:tc>
          <w:tcPr>
            <w:tcW w:w="1901"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030"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и ожидаемый результат</w:t>
            </w:r>
          </w:p>
        </w:tc>
        <w:tc>
          <w:tcPr>
            <w:tcW w:w="3707"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C-01; F-05, F-06</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План допустим, объяснение соответствует расчёту; сравнить с перебором</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C-02; F-07</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Неполный набор зависимостей отклоняется, полный принимается</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пройден в сквозном сценарии;</w:t>
            </w:r>
            <w:r>
              <w:rPr>
                <w:sz w:val="24"/>
                <w:szCs w:val="24"/>
              </w:rPr>
              <w:t xml:space="preserve"> </w:t>
            </w:r>
            <w:r>
              <w:rPr>
                <w:sz w:val="24"/>
                <w:szCs w:val="24"/>
                <w:highlight w:val="yellow"/>
              </w:rPr>
              <w:t xml:space="preserve">полный случай зависимостей</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C-03; F-07, F-11</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Повтор команды однократен; отмена и пауза не прерывают начатое</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Повтор пройден в сквозном сценарии;</w:t>
            </w:r>
            <w:r>
              <w:rPr>
                <w:sz w:val="24"/>
                <w:szCs w:val="24"/>
              </w:rPr>
              <w:t xml:space="preserve"> </w:t>
            </w:r>
            <w:r>
              <w:rPr>
                <w:sz w:val="24"/>
                <w:szCs w:val="24"/>
                <w:highlight w:val="yellow"/>
              </w:rPr>
              <w:t xml:space="preserve">полный случай отмены и паузы</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C-04; F-07, F-11</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Без токена или полномочия ADMIN доступ отклоняется</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сквозная</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C-05; F-04, F-12</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При ошибке сохраняется пригодная модель, иначе включается EWMA</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и сквозной сценарий пройдены;</w:t>
            </w:r>
            <w:r>
              <w:rPr>
                <w:sz w:val="24"/>
                <w:szCs w:val="24"/>
              </w:rPr>
              <w:t xml:space="preserve"> </w:t>
            </w:r>
            <w:r>
              <w:rPr>
                <w:sz w:val="24"/>
                <w:szCs w:val="24"/>
                <w:highlight w:val="yellow"/>
              </w:rPr>
              <w:t xml:space="preserve">интеграционный журнал</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C-06; F-01–F-12</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Чтения → план → подтверждение → перенос → чтение: цикл прослеживается по журналу</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Сценарий с моделью пройден;</w:t>
            </w:r>
            <w:r>
              <w:rPr>
                <w:sz w:val="24"/>
                <w:szCs w:val="24"/>
              </w:rPr>
              <w:t xml:space="preserve"> </w:t>
            </w:r>
            <w:r>
              <w:rPr>
                <w:sz w:val="24"/>
                <w:szCs w:val="24"/>
                <w:highlight w:val="yellow"/>
              </w:rPr>
              <w:t xml:space="preserve">отдельный прогон EWMA</w:t>
            </w:r>
          </w:p>
        </w:tc>
      </w:tr>
    </w:tbl>
    <w:bookmarkEnd w:id="121"/>
    <w:bookmarkEnd w:id="122"/>
    <w:bookmarkEnd w:id="123"/>
    <w:bookmarkStart w:id="133" w:name="X759af35c9299631592eb12b28630520288f3b17"/>
    <w:p>
      <w:pPr>
        <w:pStyle w:val="21"/>
        <w:spacing w:before="480"/>
      </w:pPr>
      <w:bookmarkStart w:id="268" w:name="GOSTHeading268"/>
      <w:r>
        <w:t xml:space="preserve">3.4 Оценка надёжности, качества и эффективности</w:t>
      </w:r>
      <w:bookmarkEnd w:id="268"/>
    </w:p>
    <w:p>
      <w:pPr>
        <w:pStyle w:val="FirstParagraph"/>
      </w:pPr>
      <w:r>
        <w:t xml:space="preserve">Качество прогноза показывает точность оценки спроса. Эффект размещения проверяется отдельно по задержке клиентских чтений; сохранность и соблюдение ресурсов оцениваются независимо от выигрыша.</w:t>
      </w:r>
    </w:p>
    <w:bookmarkStart w:id="124" w:name="условия-сравнения"/>
    <w:p>
      <w:pPr>
        <w:pStyle w:val="30"/>
      </w:pPr>
      <w:bookmarkStart w:id="269" w:name="GOSTHeading269"/>
      <w:r>
        <w:t xml:space="preserve">3.4.1 Условия сравнения</w:t>
      </w:r>
      <w:bookmarkEnd w:id="269"/>
    </w:p>
    <w:p>
      <w:pPr>
        <w:pStyle w:val="FirstParagraph"/>
      </w:pPr>
      <w:r>
        <w:t xml:space="preserve">Сравниваются возраст, давность, частота, EWMA и модель с общим планировщиком. Для 10 000 объектов по 1 МиБ заданы HOT 1 ГиБ, COLD 12 ГиБ и допустимая занятость 90 %. Цикл — 300 с, бюджеты — 64, 256 и 512 МиБ; переносы последовательные, интервал — 60 мин. Подтверждение поступает через 5 с. Начальное размещение — COLD.</w:t>
      </w:r>
    </w:p>
    <w:p>
      <w:pPr>
        <w:pStyle w:val="a2"/>
      </w:pPr>
      <w:r>
        <w:t xml:space="preserve">Симулятор</w:t>
      </w:r>
      <w:r>
        <w:t xml:space="preserve"> </w:t>
      </w:r>
      <w:r>
        <w:rPr>
          <w:i/>
          <w:iCs/>
        </w:rPr>
        <w:t xml:space="preserve">Engine</w:t>
      </w:r>
      <w:r>
        <w:t xml:space="preserve"> </w:t>
      </w:r>
      <w:r>
        <w:t xml:space="preserve">использует рабочие компоненты признаков и планирования, учитывает очередь и конкуренцию копирования с чтением. Время чтения 1 МиБ задано как 10 мс для HOT и 40 мс для COLD; это параметры модели, а не измерения устройств. Задержка включает очередь. Проверка байтов и отложенная очистка не воспроизводятся.</w:t>
      </w:r>
    </w:p>
    <w:p>
      <w:pPr>
        <w:pStyle w:val="a2"/>
      </w:pPr>
      <w:r>
        <w:t xml:space="preserve">Основная серия содержит 900 вариантов: 6 сценариев, 10 начальных значений, 3 бюджета и 5 политик. Модель обновляется ежесуточно по прошлой истории. Доверительные интервалы 95 % построены по десяти парным прогонам с 10 000 повторными выборками; отдельные запросы независимыми наблюдениями не считаются. Результаты:</w:t>
      </w:r>
      <w:r>
        <w:t xml:space="preserve"> </w:t>
      </w:r>
      <w:r>
        <w:rPr>
          <w:rStyle w:val="VerbatimChar"/>
        </w:rPr>
        <w:t xml:space="preserve">build/stage11/experiment-main-report.md</w:t>
      </w:r>
      <w:r>
        <w:t xml:space="preserve">.</w:t>
      </w:r>
    </w:p>
    <w:bookmarkEnd w:id="124"/>
    <w:bookmarkStart w:id="126" w:name="системные-показатели"/>
    <w:p>
      <w:pPr>
        <w:pStyle w:val="30"/>
      </w:pPr>
      <w:bookmarkStart w:id="270" w:name="GOSTHeading270"/>
      <w:r>
        <w:t xml:space="preserve">3.4.2 Системные показатели</w:t>
      </w:r>
      <w:bookmarkEnd w:id="270"/>
    </w:p>
    <w:p>
      <w:pPr>
        <w:pStyle w:val="FirstParagraph"/>
      </w:pPr>
      <w:r>
        <w:t xml:space="preserve">Таблица 3.7 сопоставляет измерения с требованиями; p95 обозначает 95-й процентиль: 95 % наблюдений не превышают указанного значения. Полная приёмка надёжности требует серии отказов из Таблицы 3.5.</w:t>
      </w:r>
    </w:p>
    <w:bookmarkStart w:id="125" w:name="gost-tbl:technology_acceptance"/>
    <w:p>
      <w:pPr>
        <w:pStyle w:val="TableCaption"/>
      </w:pPr>
      <w:r>
        <w:t xml:space="preserve">Таблица 3.7 – Системные показатели и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Системные показатели и требования"/>
      </w:tblPr>
      <w:tblGrid>
        <w:gridCol w:w="2619"/>
        <w:gridCol w:w="2772"/>
        <w:gridCol w:w="4247"/>
      </w:tblGrid>
      <w:tr>
        <w:trPr>
          <w:tblHeader w:val="on"/>
          <w:cantSplit/>
        </w:trPr>
        <w:tc>
          <w:tcPr>
            <w:tcW w:w="261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77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4247"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Результат и соответствие</w:t>
            </w:r>
          </w:p>
        </w:tc>
      </w:tr>
      <w:tr>
        <w:trPr>
          <w:cantSplit/>
        </w:trPr>
        <w:tc>
          <w:tcPr>
            <w:tcW w:w="2619"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 и восстановление</w:t>
            </w:r>
          </w:p>
        </w:tc>
        <w:tc>
          <w:tcPr>
            <w:tcW w:w="2772"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состояние доступно за 60 с</w:t>
            </w:r>
          </w:p>
        </w:tc>
        <w:tc>
          <w:tcPr>
            <w:tcW w:w="4247"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Полная серия отказов и время восстановления</w:t>
            </w:r>
          </w:p>
        </w:tc>
      </w:tr>
      <w:tr>
        <w:trPr>
          <w:cantSplit/>
        </w:trPr>
        <w:tc>
          <w:tcPr>
            <w:tcW w:w="2619"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27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w:t>
            </w:r>
          </w:p>
        </w:tc>
        <w:tc>
          <w:tcPr>
            <w:tcW w:w="4247" w:type="dxa"/>
          </w:tcPr>
          <w:p>
            <w:pPr>
              <w:pStyle w:val="Compact"/>
              <w:keepNext w:val="0"/>
              <w:pageBreakBefore w:val="0"/>
              <w:suppressAutoHyphens w:val="1"/>
              <w:spacing w:before="0" w:after="0" w:line="240" w:lineRule="auto"/>
              <w:ind w:firstLine="0" w:left="0" w:right="0"/>
              <w:jc w:val="both"/>
            </w:pPr>
            <w:r>
              <w:rPr>
                <w:sz w:val="24"/>
                <w:szCs w:val="24"/>
              </w:rPr>
              <w:t xml:space="preserve">Стенд: максимум и 95-й процентиль 246 мс по 7 планам; выполнено в измеренном режиме</w:t>
            </w:r>
          </w:p>
        </w:tc>
      </w:tr>
      <w:tr>
        <w:trPr>
          <w:cantSplit/>
        </w:trPr>
        <w:tc>
          <w:tcPr>
            <w:tcW w:w="2619" w:type="dxa"/>
          </w:tcPr>
          <w:p>
            <w:pPr>
              <w:pStyle w:val="Compact"/>
              <w:keepNext w:val="0"/>
              <w:pageBreakBefore w:val="0"/>
              <w:suppressAutoHyphens w:val="1"/>
              <w:spacing w:before="0" w:after="0" w:line="240" w:lineRule="auto"/>
              <w:ind w:firstLine="0" w:left="0" w:right="0"/>
              <w:jc w:val="left"/>
            </w:pPr>
            <w:r>
              <w:rPr>
                <w:sz w:val="24"/>
                <w:szCs w:val="24"/>
              </w:rPr>
              <w:t xml:space="preserve">Память плана</w:t>
            </w:r>
          </w:p>
        </w:tc>
        <w:tc>
          <w:tcPr>
            <w:tcW w:w="27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4247" w:type="dxa"/>
          </w:tcPr>
          <w:p>
            <w:pPr>
              <w:pStyle w:val="Compact"/>
              <w:keepNext w:val="0"/>
              <w:pageBreakBefore w:val="0"/>
              <w:suppressAutoHyphens w:val="1"/>
              <w:spacing w:before="0" w:after="0" w:line="240" w:lineRule="auto"/>
              <w:ind w:firstLine="0" w:left="0" w:right="0"/>
              <w:jc w:val="both"/>
            </w:pPr>
            <w:r>
              <w:rPr>
                <w:sz w:val="24"/>
                <w:szCs w:val="24"/>
              </w:rPr>
              <w:t xml:space="preserve">Автономный расчёт: куча памяти Go 276–278 МиБ;</w:t>
            </w:r>
            <w:r>
              <w:rPr>
                <w:sz w:val="24"/>
                <w:szCs w:val="24"/>
              </w:rPr>
              <w:t xml:space="preserve"> </w:t>
            </w:r>
            <w:r>
              <w:rPr>
                <w:sz w:val="24"/>
                <w:szCs w:val="24"/>
                <w:highlight w:val="yellow"/>
              </w:rPr>
              <w:t xml:space="preserve">полный расчёт в квоте</w:t>
            </w:r>
          </w:p>
        </w:tc>
      </w:tr>
      <w:tr>
        <w:trPr>
          <w:cantSplit/>
        </w:trPr>
        <w:tc>
          <w:tcPr>
            <w:tcW w:w="2619" w:type="dxa"/>
          </w:tcPr>
          <w:p>
            <w:pPr>
              <w:pStyle w:val="Compact"/>
              <w:keepNext w:val="0"/>
              <w:pageBreakBefore w:val="0"/>
              <w:suppressAutoHyphens w:val="1"/>
              <w:spacing w:before="0" w:after="0" w:line="240" w:lineRule="auto"/>
              <w:ind w:firstLine="0" w:left="0" w:right="0"/>
              <w:jc w:val="left"/>
            </w:pPr>
            <w:r>
              <w:rPr>
                <w:sz w:val="24"/>
                <w:szCs w:val="24"/>
              </w:rPr>
              <w:t xml:space="preserve">Общие ресурсы</w:t>
            </w:r>
          </w:p>
        </w:tc>
        <w:tc>
          <w:tcPr>
            <w:tcW w:w="2772" w:type="dxa"/>
          </w:tcPr>
          <w:p>
            <w:pPr>
              <w:pStyle w:val="Compact"/>
              <w:keepNext w:val="0"/>
              <w:pageBreakBefore w:val="0"/>
              <w:suppressAutoHyphens w:val="1"/>
              <w:spacing w:before="0" w:after="0" w:line="240" w:lineRule="auto"/>
              <w:ind w:firstLine="0" w:left="0" w:right="0"/>
              <w:jc w:val="both"/>
            </w:pPr>
            <w:r>
              <w:rPr>
                <w:sz w:val="24"/>
                <w:szCs w:val="24"/>
              </w:rPr>
              <w:t xml:space="preserve">2 ядра, 2 ГиБ</w:t>
            </w:r>
          </w:p>
        </w:tc>
        <w:tc>
          <w:tcPr>
            <w:tcW w:w="4247"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Потребление при обучении и нагрузке</w:t>
            </w:r>
          </w:p>
        </w:tc>
      </w:tr>
      <w:tr>
        <w:trPr>
          <w:cantSplit/>
        </w:trPr>
        <w:tc>
          <w:tcPr>
            <w:tcW w:w="2619"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27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 в квоте</w:t>
            </w:r>
          </w:p>
        </w:tc>
        <w:tc>
          <w:tcPr>
            <w:tcW w:w="4247" w:type="dxa"/>
          </w:tcPr>
          <w:p>
            <w:pPr>
              <w:pStyle w:val="Compact"/>
              <w:keepNext w:val="0"/>
              <w:pageBreakBefore w:val="0"/>
              <w:suppressAutoHyphens w:val="1"/>
              <w:spacing w:before="0" w:after="0" w:line="240" w:lineRule="auto"/>
              <w:ind w:firstLine="0" w:left="0" w:right="0"/>
              <w:jc w:val="both"/>
            </w:pPr>
            <w:r>
              <w:rPr>
                <w:sz w:val="24"/>
                <w:szCs w:val="24"/>
              </w:rPr>
              <w:t xml:space="preserve">19,9 мин, пик 1,59 ГиБ вне квоты;</w:t>
            </w:r>
            <w:r>
              <w:rPr>
                <w:sz w:val="24"/>
                <w:szCs w:val="24"/>
              </w:rPr>
              <w:t xml:space="preserve"> </w:t>
            </w:r>
            <w:r>
              <w:rPr>
                <w:sz w:val="24"/>
                <w:szCs w:val="24"/>
                <w:highlight w:val="yellow"/>
              </w:rPr>
              <w:t xml:space="preserve">приёмка в квоте</w:t>
            </w:r>
          </w:p>
        </w:tc>
      </w:tr>
      <w:tr>
        <w:trPr>
          <w:cantSplit/>
        </w:trPr>
        <w:tc>
          <w:tcPr>
            <w:tcW w:w="2619"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w:t>
            </w:r>
          </w:p>
        </w:tc>
        <w:tc>
          <w:tcPr>
            <w:tcW w:w="27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4247"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Измерение в работающем сервисе</w:t>
            </w:r>
          </w:p>
        </w:tc>
      </w:tr>
      <w:tr>
        <w:trPr>
          <w:cantSplit/>
        </w:trPr>
        <w:tc>
          <w:tcPr>
            <w:tcW w:w="261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2772"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среднего и 95-й процентиль (p95) не более 5 %</w:t>
            </w:r>
          </w:p>
        </w:tc>
        <w:tc>
          <w:tcPr>
            <w:tcW w:w="4247"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Измерения без обучения и при обновлении</w:t>
            </w:r>
          </w:p>
        </w:tc>
      </w:tr>
      <w:tr>
        <w:trPr>
          <w:cantSplit/>
        </w:trPr>
        <w:tc>
          <w:tcPr>
            <w:tcW w:w="2619" w:type="dxa"/>
          </w:tcPr>
          <w:p>
            <w:pPr>
              <w:pStyle w:val="Compact"/>
              <w:keepNext w:val="0"/>
              <w:pageBreakBefore w:val="0"/>
              <w:suppressAutoHyphens w:val="1"/>
              <w:spacing w:before="0" w:after="0" w:line="240" w:lineRule="auto"/>
              <w:ind w:firstLine="0" w:left="0" w:right="0"/>
              <w:jc w:val="left"/>
            </w:pPr>
            <w:r>
              <w:rPr>
                <w:sz w:val="24"/>
                <w:szCs w:val="24"/>
              </w:rPr>
              <w:t xml:space="preserve">Страница рекомендаций и команда</w:t>
            </w:r>
          </w:p>
        </w:tc>
        <w:tc>
          <w:tcPr>
            <w:tcW w:w="2772" w:type="dxa"/>
          </w:tcPr>
          <w:p>
            <w:pPr>
              <w:pStyle w:val="Compact"/>
              <w:keepNext w:val="0"/>
              <w:pageBreakBefore w:val="0"/>
              <w:suppressAutoHyphens w:val="1"/>
              <w:spacing w:before="0" w:after="0" w:line="240" w:lineRule="auto"/>
              <w:ind w:firstLine="0" w:left="0" w:right="0"/>
              <w:jc w:val="both"/>
            </w:pPr>
            <w:r>
              <w:rPr>
                <w:sz w:val="24"/>
                <w:szCs w:val="24"/>
              </w:rPr>
              <w:t xml:space="preserve">95-й процентиль (p95) не более 2 с</w:t>
            </w:r>
          </w:p>
        </w:tc>
        <w:tc>
          <w:tcPr>
            <w:tcW w:w="4247" w:type="dxa"/>
          </w:tcPr>
          <w:p>
            <w:pPr>
              <w:pStyle w:val="Compact"/>
              <w:keepNext w:val="0"/>
              <w:pageBreakBefore w:val="0"/>
              <w:suppressAutoHyphens w:val="1"/>
              <w:spacing w:before="0" w:after="0" w:line="240" w:lineRule="auto"/>
              <w:ind w:firstLine="0" w:left="0" w:right="0"/>
              <w:jc w:val="both"/>
            </w:pPr>
            <w:r>
              <w:rPr>
                <w:sz w:val="24"/>
                <w:szCs w:val="24"/>
              </w:rPr>
              <w:t xml:space="preserve">4,9 и 2,4 мс без авторизации;</w:t>
            </w:r>
            <w:r>
              <w:rPr>
                <w:sz w:val="24"/>
                <w:szCs w:val="24"/>
              </w:rPr>
              <w:t xml:space="preserve"> </w:t>
            </w:r>
            <w:r>
              <w:rPr>
                <w:sz w:val="24"/>
                <w:szCs w:val="24"/>
                <w:highlight w:val="yellow"/>
              </w:rPr>
              <w:t xml:space="preserve">полная проверка интерфейса</w:t>
            </w:r>
          </w:p>
        </w:tc>
      </w:tr>
      <w:tr>
        <w:trPr>
          <w:cantSplit/>
        </w:trPr>
        <w:tc>
          <w:tcPr>
            <w:tcW w:w="261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и бюджет</w:t>
            </w:r>
          </w:p>
        </w:tc>
        <w:tc>
          <w:tcPr>
            <w:tcW w:w="2772" w:type="dxa"/>
          </w:tcPr>
          <w:p>
            <w:pPr>
              <w:pStyle w:val="Compact"/>
              <w:keepNext w:val="0"/>
              <w:pageBreakBefore w:val="0"/>
              <w:suppressAutoHyphens w:val="1"/>
              <w:spacing w:before="0" w:after="0" w:line="240" w:lineRule="auto"/>
              <w:ind w:firstLine="0" w:left="0" w:right="0"/>
              <w:jc w:val="both"/>
            </w:pPr>
            <w:r>
              <w:rPr>
                <w:sz w:val="24"/>
                <w:szCs w:val="24"/>
              </w:rPr>
              <w:t xml:space="preserve">Без превышений</w:t>
            </w:r>
          </w:p>
        </w:tc>
        <w:tc>
          <w:tcPr>
            <w:tcW w:w="4247" w:type="dxa"/>
          </w:tcPr>
          <w:p>
            <w:pPr>
              <w:pStyle w:val="Compact"/>
              <w:keepNext w:val="0"/>
              <w:pageBreakBefore w:val="0"/>
              <w:suppressAutoHyphens w:val="1"/>
              <w:spacing w:before="0" w:after="0" w:line="240" w:lineRule="auto"/>
              <w:ind w:firstLine="0" w:left="0" w:right="0"/>
              <w:jc w:val="both"/>
            </w:pPr>
            <w:r>
              <w:rPr>
                <w:sz w:val="24"/>
                <w:szCs w:val="24"/>
              </w:rPr>
              <w:t xml:space="preserve">В симуляции инварианты соблюдены;</w:t>
            </w:r>
            <w:r>
              <w:rPr>
                <w:sz w:val="24"/>
                <w:szCs w:val="24"/>
              </w:rPr>
              <w:t xml:space="preserve"> </w:t>
            </w:r>
            <w:r>
              <w:rPr>
                <w:sz w:val="24"/>
                <w:szCs w:val="24"/>
                <w:highlight w:val="yellow"/>
              </w:rPr>
              <w:t xml:space="preserve">стенд и бюджет повторов</w:t>
            </w:r>
          </w:p>
        </w:tc>
      </w:tr>
    </w:tbl>
    <w:bookmarkEnd w:id="125"/>
    <w:p>
      <w:pPr>
        <w:pStyle w:val="a2"/>
        <w:spacing w:before="120"/>
      </w:pPr>
      <w:r>
        <w:t xml:space="preserve">На стенде проверены 100 запросов первой страницы и 100 команд продолжения со скоростью 2 запроса/с при 10 000 объектов. Авторизация отключена, команда не меняла состояние, один из семи планов рассчитан при неполной истории. Результаты характеризуют этот режим и не подтверждают полную приёмку.</w:t>
      </w:r>
    </w:p>
    <w:bookmarkEnd w:id="126"/>
    <w:bookmarkStart w:id="129" w:name="качество-прогноза"/>
    <w:p>
      <w:pPr>
        <w:pStyle w:val="30"/>
      </w:pPr>
      <w:bookmarkStart w:id="271" w:name="GOSTHeading271"/>
      <w:r>
        <w:t xml:space="preserve">3.4.3 Качество прогноза</w:t>
      </w:r>
      <w:bookmarkEnd w:id="271"/>
    </w:p>
    <w:p>
      <w:pPr>
        <w:pStyle w:val="FirstParagraph"/>
      </w:pPr>
      <w:r>
        <w:t xml:space="preserve">Покрытие</w:t>
      </w:r>
      <w:r>
        <w:t xml:space="preserve"> </w:t>
      </w:r>
      <m:oMath>
        <m:sSub>
          <m:e>
            <m:r>
              <m:rPr>
                <m:sty m:val="p"/>
              </m:rPr>
              <m:t>C</m:t>
            </m:r>
            <m:r>
              <m:rPr>
                <m:sty m:val="p"/>
              </m:rPr>
              <m:t>o</m:t>
            </m:r>
            <m:r>
              <m:rPr>
                <m:sty m:val="p"/>
              </m:rPr>
              <m:t>v</m:t>
            </m:r>
          </m:e>
          <m:sub>
            <m:r>
              <m:t>K</m:t>
            </m:r>
          </m:sub>
        </m:sSub>
      </m:oMath>
      <w:r>
        <w:t xml:space="preserve"> </w:t>
      </w:r>
      <w:r>
        <w:t xml:space="preserve">— доля будущих чтений выбранных K объектов. Для трасс K равно 9,21 % каталога. Таблица 3.8 содержит результаты настройки из</w:t>
      </w:r>
      <w:r>
        <w:t xml:space="preserve"> </w:t>
      </w:r>
      <w:r>
        <w:rPr>
          <w:rStyle w:val="VerbatimChar"/>
        </w:rPr>
        <w:t xml:space="preserve">docs/ml-report.md</w:t>
      </w:r>
      <w:r>
        <w:t xml:space="preserve">, а не независимого теста.</w:t>
      </w:r>
    </w:p>
    <w:bookmarkStart w:id="127" w:name="gost-tbl:ml_validation"/>
    <w:p>
      <w:pPr>
        <w:pStyle w:val="TableCaption"/>
      </w:pPr>
      <w:r>
        <w:t xml:space="preserve">Таблица 3.8 – Покрытие чтений на периоде настройки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Покрытие чтений на периоде настройки"/>
      </w:tblPr>
      <w:tblGrid>
        <w:gridCol w:w="2980"/>
        <w:gridCol w:w="1199"/>
        <w:gridCol w:w="2697"/>
        <w:gridCol w:w="2762"/>
      </w:tblGrid>
      <w:tr>
        <w:trPr>
          <w:tblHeader w:val="on"/>
          <w:cantSplit/>
        </w:trPr>
        <w:tc>
          <w:tcPr>
            <w:tcW w:w="298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19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2697"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2762"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интервал</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Meta CDN, eag, 0,4 % ключей</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0,531</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+0,139 [0,120; 0,158]</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syd01</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0,866</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+0,094 [0,078; 0,115]</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IBM COS 000, 10 % ключей</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0,851</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+0,029 [0,021; 0,038]</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IBM COS 002, 407 объектов</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0,096</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0,000</w:t>
            </w:r>
          </w:p>
        </w:tc>
      </w:tr>
    </w:tbl>
    <w:bookmarkEnd w:id="127"/>
    <w:p>
      <w:pPr>
        <w:pStyle w:val="a2"/>
        <w:spacing w:before="120"/>
      </w:pPr>
      <w:r>
        <w:t xml:space="preserve">IBM COS 002 содержит регулярный обход объектов без возможности улучшить покрытие; COS 001 исключён из-за утечки через восстановленный каталог.</w:t>
      </w:r>
      <w:r>
        <w:t xml:space="preserve"> </w:t>
      </w:r>
      <w:r>
        <w:rPr>
          <w:highlight w:val="yellow"/>
        </w:rPr>
        <w:t xml:space="preserve">Независимая оценка на итоговом тесте реальных трасс</w:t>
      </w:r>
      <w:r>
        <w:t xml:space="preserve"> </w:t>
      </w:r>
      <w:r>
        <w:t xml:space="preserve">ещё требуется.</w:t>
      </w:r>
    </w:p>
    <w:p>
      <w:pPr>
        <w:pStyle w:val="a2"/>
      </w:pPr>
      <w:r>
        <w:t xml:space="preserve">Для стабильного синтетического теста получены результаты Таблицы 3.9, усреднённые по десяти начальным значениям генератора (</w:t>
      </w:r>
      <w:r>
        <w:rPr>
          <w:rStyle w:val="VerbatimChar"/>
        </w:rPr>
        <w:t xml:space="preserve">build/stage11/forecast-quality/stable-*/evaluate.json</w:t>
      </w:r>
      <w:r>
        <w:t xml:space="preserve">). Для EWMA вероятность чтения задана преобразованием</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до итоговой оценки.</w:t>
      </w:r>
    </w:p>
    <w:bookmarkStart w:id="128" w:name="gost-tbl:forecast_quality"/>
    <w:p>
      <w:pPr>
        <w:pStyle w:val="TableCaption"/>
      </w:pPr>
      <w:r>
        <w:t xml:space="preserve">Таблица 3.9 – Качество прогноза на стабильном итоговом тесте</w:t>
      </w:r>
    </w:p>
    <w:tbl>
      <w:tblPr>
        <w:tblStyle w:val="Table"/>
        <w:tblW w:type="dxa" w:w="8405"/>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Качество прогноза на стабильном итоговом тесте"/>
      </w:tblPr>
      <w:tblGrid>
        <w:gridCol w:w="5932"/>
        <w:gridCol w:w="1259"/>
        <w:gridCol w:w="1214"/>
      </w:tblGrid>
      <w:tr>
        <w:trPr>
          <w:tblHeader w:val="on"/>
          <w:cantSplit/>
        </w:trPr>
        <w:tc>
          <w:tcPr>
            <w:tcW w:w="593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1214"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Площадь под кривой точности и полноты (PR-AUC)</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0,8460</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0,8461</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оценка Брайера</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0,1628</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0,1955</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чтений за час</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1,497</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1,702</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чтений первыми 921 объектом</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r>
    </w:tbl>
    <w:bookmarkEnd w:id="128"/>
    <w:p>
      <w:pPr>
        <w:pStyle w:val="a2"/>
        <w:spacing w:before="120"/>
      </w:pPr>
      <w:r>
        <w:t xml:space="preserve">Модель точнее оценивает вероятность и число чтений, но покрытие совпадает с EWMA. Улучшение численного прогноза в этом сценарии не улучшило ранжирование, поэтому полезность проверяется по результатам размещения.</w:t>
      </w:r>
    </w:p>
    <w:bookmarkEnd w:id="129"/>
    <w:bookmarkStart w:id="132" w:name="эффективность-размещения"/>
    <w:p>
      <w:pPr>
        <w:pStyle w:val="30"/>
      </w:pPr>
      <w:bookmarkStart w:id="272" w:name="GOSTHeading272"/>
      <w:r>
        <w:t xml:space="preserve">3.4.4 Эффективность размещения</w:t>
      </w:r>
      <w:bookmarkEnd w:id="272"/>
    </w:p>
    <w:p>
      <w:pPr>
        <w:pStyle w:val="FirstParagraph"/>
      </w:pPr>
      <w:r>
        <w:t xml:space="preserve">Критерий преимущества из Раздела 1.3.7 требует нижней границы уменьшения среднего не менее 5 % относительно каждой базовой политики при ухудшении 95-й процентиль (p95) не более 5 %. Таблица 3.10 показывает основной бюджет; нижняя граница — наименьшая среди четырёх сравнений.</w:t>
      </w:r>
    </w:p>
    <w:bookmarkStart w:id="130" w:name="gost-tbl:policy_results"/>
    <w:p>
      <w:pPr>
        <w:pStyle w:val="TableCaption"/>
      </w:pPr>
      <w:r>
        <w:t xml:space="preserve">Таблица 3.10 – Симуляция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Симуляция при бюджете 256 МиБ за цикл"/>
      </w:tblPr>
      <w:tblGrid>
        <w:gridCol w:w="2867"/>
        <w:gridCol w:w="3470"/>
        <w:gridCol w:w="3301"/>
      </w:tblGrid>
      <w:tr>
        <w:trPr>
          <w:tblHeader w:val="on"/>
          <w:cantSplit/>
        </w:trPr>
        <w:tc>
          <w:tcPr>
            <w:tcW w:w="286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3470"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01"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bl>
    <w:bookmarkEnd w:id="130"/>
    <w:p>
      <w:pPr>
        <w:pStyle w:val="a2"/>
        <w:spacing w:before="120"/>
      </w:pPr>
      <w:r>
        <w:t xml:space="preserve">Во всех вариантах 95-й процентиль задержки (p95) равен 40 мс. Критерий не выполнен ни в одном сценарии и бюджете. Наибольшее уменьшение относительно EWMA — 3,91 % с интервалом [3,88; 3,95] % при смене набора. В том же случае выигрыш относительно возраста, давности и частоты равен 52,46 %, 45,53 % и 37,75 %. Преимущество над простыми эвристиками не обеспечивает требуемого преимущества над каждой базовой политикой.</w:t>
      </w:r>
    </w:p>
    <w:bookmarkStart w:id="131" w:name="gost-tbl:budget_effect"/>
    <w:p>
      <w:pPr>
        <w:pStyle w:val="TableCaption"/>
      </w:pPr>
      <w:r>
        <w:t xml:space="preserve">Таблица 3.11 – Влияние бюджета при смене набора</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1 – Влияние бюджета при смене набора"/>
      </w:tblPr>
      <w:tblGrid>
        <w:gridCol w:w="2687"/>
        <w:gridCol w:w="3568"/>
        <w:gridCol w:w="3383"/>
      </w:tblGrid>
      <w:tr>
        <w:trPr>
          <w:tblHeader w:val="on"/>
          <w:cantSplit/>
        </w:trPr>
        <w:tc>
          <w:tcPr>
            <w:tcW w:w="2687"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 за цикл</w:t>
            </w:r>
          </w:p>
        </w:tc>
        <w:tc>
          <w:tcPr>
            <w:tcW w:w="3568"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83"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64</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3,75</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256</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512</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3,65</w:t>
            </w:r>
          </w:p>
        </w:tc>
      </w:tr>
    </w:tbl>
    <w:bookmarkEnd w:id="131"/>
    <w:p>
      <w:pPr>
        <w:pStyle w:val="a2"/>
        <w:spacing w:before="120"/>
      </w:pPr>
      <w:r>
        <w:t xml:space="preserve">На контейнерном стенде Docker Compose проведено по одному двухчасовому прогону политик при смене набора, бюджете 256 МиБ и 20 чтениях/с (</w:t>
      </w:r>
      <w:r>
        <w:rPr>
          <w:rStyle w:val="VerbatimChar"/>
        </w:rPr>
        <w:t xml:space="preserve">build/stage11/stand-main-report.md</w:t>
      </w:r>
      <w:r>
        <w:t xml:space="preserve">). Средняя задержка модели — 7,8653 мс, EWMA — 10,0176 мс; p95 — 11,6227 и 13,2066 мс. Завершено по 144 000 чтений без ошибок. Два пропуска истории у EWMA и неполная проверка ресурсов не позволяют считать этот прогон доказательством преимущества.</w:t>
      </w:r>
    </w:p>
    <w:bookmarkEnd w:id="132"/>
    <w:bookmarkEnd w:id="133"/>
    <w:bookmarkStart w:id="137" w:name="руководство-администратора"/>
    <w:p>
      <w:pPr>
        <w:pStyle w:val="21"/>
      </w:pPr>
      <w:bookmarkStart w:id="273" w:name="GOSTHeading273"/>
      <w:r>
        <w:t xml:space="preserve">3.5 Руководство администратора</w:t>
      </w:r>
      <w:bookmarkEnd w:id="273"/>
    </w:p>
    <w:p>
      <w:pPr>
        <w:pStyle w:val="FirstParagraph"/>
      </w:pPr>
      <w:r>
        <w:t xml:space="preserve">Панель локального развёртывания открывается по адресу</w:t>
      </w:r>
      <w:r>
        <w:t xml:space="preserve"> </w:t>
      </w:r>
      <w:r>
        <w:rPr>
          <w:rStyle w:val="VerbatimChar"/>
        </w:rPr>
        <w:t xml:space="preserve">http://localhost:8086/admin</w:t>
      </w:r>
      <w:r>
        <w:t xml:space="preserve">. Требуются вход через Auth и полномочие ADMIN для</w:t>
      </w:r>
      <w:r>
        <w:t xml:space="preserve"> </w:t>
      </w:r>
      <w:r>
        <w:rPr>
          <w:rStyle w:val="VerbatimChar"/>
        </w:rPr>
        <w:t xml:space="preserve">system:placement</w:t>
      </w:r>
      <w:r>
        <w:t xml:space="preserve">. Перед расчётом администратор проверяет полноту истории, возраст модели, занятость классов и остаток бюджета.</w:t>
      </w:r>
    </w:p>
    <w:bookmarkStart w:id="134" w:name="настройка-и-подтверждение-плана"/>
    <w:p>
      <w:pPr>
        <w:pStyle w:val="30"/>
      </w:pPr>
      <w:bookmarkStart w:id="274" w:name="GOSTHeading274"/>
      <w:r>
        <w:t xml:space="preserve">3.5.1 Настройка и подтверждение плана</w:t>
      </w:r>
      <w:bookmarkEnd w:id="274"/>
    </w:p>
    <w:p>
      <w:pPr>
        <w:pStyle w:val="FirstParagraph"/>
      </w:pPr>
      <w:r>
        <w:t xml:space="preserve">На странице «Настройки» задаются допустимая загрузка классов, бюджет, интервал переносов и закрепления. Для основного профиля: 90 %, 256 МиБ за 300 с и 60 мин соответственно. После сохранения нажимается «Рассчитать план».</w:t>
      </w:r>
    </w:p>
    <w:p>
      <w:pPr>
        <w:pStyle w:val="a2"/>
      </w:pPr>
      <w:r>
        <w:t xml:space="preserve">Рассмотрение плана выполняется в следующем порядке:</w:t>
      </w:r>
    </w:p>
    <w:p>
      <w:pPr>
        <w:pStyle w:val="Compact"/>
        <w:numPr>
          <w:ilvl w:val="0"/>
          <w:numId w:val="1004"/>
        </w:numPr>
        <w:tabs>
          <w:tab w:val="num" w:pos="1276"/>
        </w:tabs>
        <w:spacing w:before="0" w:after="0" w:line="360" w:lineRule="auto"/>
        <w:ind w:left="1276" w:hanging="567"/>
      </w:pPr>
      <w:r>
        <w:t xml:space="preserve">На странице «Рекомендации» открыть последнюю ревизию и проверить её время, горизонт, метод и статус. При неполной истории восстановить её сбор до подтверждения.</w:t>
      </w:r>
    </w:p>
    <w:p>
      <w:pPr>
        <w:pStyle w:val="Compact"/>
        <w:numPr>
          <w:ilvl w:val="0"/>
          <w:numId w:val="1004"/>
        </w:numPr>
        <w:tabs>
          <w:tab w:val="num" w:pos="1276"/>
        </w:tabs>
        <w:spacing w:before="0" w:after="0" w:line="360" w:lineRule="auto"/>
        <w:ind w:left="1276" w:hanging="567"/>
      </w:pPr>
      <w:r>
        <w:t xml:space="preserve">Открыть карточку рекомендации: сопоставить прогноз, ожидаемый выигрыш, затраты и ресурсы. Для входа в заполненный HOT проверить обязательные предшественники, освобождающие место.</w:t>
      </w:r>
    </w:p>
    <w:p>
      <w:pPr>
        <w:pStyle w:val="Compact"/>
        <w:numPr>
          <w:ilvl w:val="0"/>
          <w:numId w:val="1004"/>
        </w:numPr>
        <w:tabs>
          <w:tab w:val="num" w:pos="1276"/>
        </w:tabs>
        <w:spacing w:before="0" w:after="0" w:line="360" w:lineRule="auto"/>
        <w:ind w:left="1276" w:hanging="567"/>
      </w:pPr>
      <w:r>
        <w:t xml:space="preserve">Нажать «Подтвердить весь план» либо выбрать допустимый набор на текущей странице. При отказе из-за зависимостей добавить перечисленные действия.</w:t>
      </w:r>
    </w:p>
    <w:p>
      <w:pPr>
        <w:pStyle w:val="Compact"/>
        <w:numPr>
          <w:ilvl w:val="0"/>
          <w:numId w:val="1004"/>
        </w:numPr>
        <w:tabs>
          <w:tab w:val="num" w:pos="1276"/>
        </w:tabs>
        <w:spacing w:before="0" w:after="0" w:line="360" w:lineRule="auto"/>
        <w:ind w:left="1276" w:hanging="567"/>
      </w:pPr>
      <w:r>
        <w:t xml:space="preserve">На странице «Результат команды» сохранить идентификатор и перейти к действиям. Принятая команда ещё не означает завершённый перенос. Результат проверяется на странице «Миграции» по журналу; ожидаемый эффект остаётся в карточке рекомендации.</w:t>
      </w:r>
    </w:p>
    <w:bookmarkEnd w:id="134"/>
    <w:bookmarkStart w:id="136" w:name="контроль-и-обработка-ошибок"/>
    <w:p>
      <w:pPr>
        <w:pStyle w:val="30"/>
      </w:pPr>
      <w:bookmarkStart w:id="275" w:name="GOSTHeading275"/>
      <w:r>
        <w:t xml:space="preserve">3.5.2 Контроль и обработка ошибок</w:t>
      </w:r>
      <w:bookmarkEnd w:id="275"/>
    </w:p>
    <w:p>
      <w:pPr>
        <w:pStyle w:val="FirstParagraph"/>
      </w:pPr>
      <w:r>
        <w:t xml:space="preserve">Кнопка «Приостановить» прекращает новые переносы; начатые операции и очистка продолжаются. «Отменить ожидающие действия плана» отменяет не начатые переносы с зависимыми действиями. После сетевого сбоя проверяется прежняя команда; повтор выполняется с тем же идентификатором. Остальные действия приведены в Таблице 3.12.</w:t>
      </w:r>
    </w:p>
    <w:bookmarkStart w:id="135" w:name="gost-tbl:admin_exceptions"/>
    <w:p>
      <w:pPr>
        <w:pStyle w:val="TableCaption"/>
      </w:pPr>
      <w:r>
        <w:t xml:space="preserve">Таблица 3.12 – Действия при отказах и блокировках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2 – Действия при отказах и блокировках"/>
      </w:tblPr>
      <w:tblGrid>
        <w:gridCol w:w="4096"/>
        <w:gridCol w:w="5542"/>
      </w:tblGrid>
      <w:tr>
        <w:trPr>
          <w:tblHeader w:val="on"/>
          <w:cantSplit/>
        </w:trPr>
        <w:tc>
          <w:tcPr>
            <w:tcW w:w="4096"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5542"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Устаревший план или неполные зависимости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и включить необходимые предшественники</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Отказ в доступе</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вход и проверить полномочия администратора и службы доступа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Неполная история или устаревшая модель</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Gateway и Kafka; для модели — журнал и переобучение</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Недостаток места или бюджета</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временные копии и лимиты; дождаться очистки или нового окна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Повреждение копии, устаревшее действие или отказ очистки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и Storage; устаревшее действие рассмотреть в следующем плане</w:t>
            </w:r>
          </w:p>
        </w:tc>
      </w:tr>
    </w:tbl>
    <w:bookmarkEnd w:id="135"/>
    <w:bookmarkEnd w:id="136"/>
    <w:bookmarkEnd w:id="137"/>
    <w:bookmarkStart w:id="138" w:name="выводы-по-технологическому-разделу"/>
    <w:p>
      <w:pPr>
        <w:pStyle w:val="21"/>
        <w:spacing w:before="480"/>
      </w:pPr>
      <w:bookmarkStart w:id="276" w:name="GOSTHeading276"/>
      <w:r>
        <w:t xml:space="preserve">3.6 Выводы по технологическому разделу</w:t>
      </w:r>
      <w:bookmarkEnd w:id="276"/>
    </w:p>
    <w:p>
      <w:pPr>
        <w:pStyle w:val="FirstParagraph"/>
      </w:pPr>
      <w:r>
        <w:t xml:space="preserve">Реализован цикл от истории чтений до подтверждённого переноса с объяснением и журналом. Модульные проверки и сквозной сценарий обновления модели пройдены; F-01 выполнено частично, полная приёмка сохранности и ресурсов требует дополнительных протоколов. Для бюджета повторных попыток выявлено ограничение реализации.</w:t>
      </w:r>
    </w:p>
    <w:p>
      <w:pPr>
        <w:pStyle w:val="a2"/>
      </w:pPr>
      <w:r>
        <w:t xml:space="preserve">Основная симуляционная серия воспроизводима, но заданное преимущество над каждой базовой политикой не подтверждено. Наибольший выигрыш относительно EWMA составляет 3,91 %, ниже порога 5 %. Результаты настройки на реальных трассах показывают перспективность прогноза для разреженного спроса; независимый итоговый тест и стендовая приёмка необходимы для окончательного вывода.</w:t>
      </w:r>
    </w:p>
    <w:bookmarkEnd w:id="138"/>
    <w:bookmarkEnd w:id="139"/>
    <w:bookmarkStart w:id="140" w:name="заключение"/>
    <w:p>
      <w:pPr>
        <w:pStyle w:val="GOSTStructuralHeading"/>
      </w:pPr>
      <w:bookmarkStart w:id="277" w:name="GOSTHeading277"/>
      <w:r>
        <w:t xml:space="preserve">ЗАКЛЮЧЕНИЕ</w:t>
      </w:r>
      <w:bookmarkEnd w:id="277"/>
    </w:p>
    <w:p>
      <w:pPr>
        <w:pStyle w:val="FirstParagraph"/>
      </w:pPr>
      <w:r>
        <w:t xml:space="preserve">Разработана СППР размещения версий объектов между HOT и COLD в OpenS3. Она связывает историю обращений, прогноз востребованности, выбор допустимого плана и подтверждённое администратором исполнение. Получены следующие результаты по задачам, поставленным во введении:</w:t>
      </w:r>
    </w:p>
    <w:p>
      <w:pPr>
        <w:pStyle w:val="Compact"/>
        <w:numPr>
          <w:ilvl w:val="0"/>
          <w:numId w:val="1005"/>
        </w:numPr>
        <w:tabs>
          <w:tab w:val="num" w:pos="1276"/>
        </w:tabs>
        <w:spacing w:before="0" w:after="0" w:line="360" w:lineRule="auto"/>
        <w:ind w:left="1276" w:hanging="567"/>
      </w:pPr>
      <w:r>
        <w:t xml:space="preserve">Проанализированы методы управления классами хранения и аналоги, формализованы критерий задержки, ёмкость классов, бюджет переносов и условия сохранности версий.</w:t>
      </w:r>
    </w:p>
    <w:p>
      <w:pPr>
        <w:pStyle w:val="Compact"/>
        <w:numPr>
          <w:ilvl w:val="0"/>
          <w:numId w:val="1005"/>
        </w:numPr>
        <w:tabs>
          <w:tab w:val="num" w:pos="1276"/>
        </w:tabs>
        <w:spacing w:before="0" w:after="0" w:line="360" w:lineRule="auto"/>
        <w:ind w:left="1276" w:hanging="567"/>
      </w:pPr>
      <w:r>
        <w:t xml:space="preserve">Спроектированы модель прогноза, алгоритм совместного выбора размещения, процессы работы администратора и взаимодействие СППР с компонентами OpenS3.</w:t>
      </w:r>
    </w:p>
    <w:p>
      <w:pPr>
        <w:pStyle w:val="Compact"/>
        <w:numPr>
          <w:ilvl w:val="0"/>
          <w:numId w:val="1005"/>
        </w:numPr>
        <w:tabs>
          <w:tab w:val="num" w:pos="1276"/>
        </w:tabs>
        <w:spacing w:before="0" w:after="0" w:line="360" w:lineRule="auto"/>
        <w:ind w:left="1276" w:hanging="567"/>
      </w:pPr>
      <w:r>
        <w:t xml:space="preserve">Реализованы сбор истории, дедупликация, контроль полноты, признаки и метки с разделением по времени. Ограничение сбора состоит в отсутствии результата неуспешных клиентских операций.</w:t>
      </w:r>
    </w:p>
    <w:p>
      <w:pPr>
        <w:pStyle w:val="Compact"/>
        <w:numPr>
          <w:ilvl w:val="0"/>
          <w:numId w:val="1005"/>
        </w:numPr>
        <w:tabs>
          <w:tab w:val="num" w:pos="1276"/>
        </w:tabs>
        <w:spacing w:before="0" w:after="0" w:line="360" w:lineRule="auto"/>
        <w:ind w:left="1276" w:hanging="567"/>
      </w:pPr>
      <w:r>
        <w:t xml:space="preserve">Обучена двухэтапная модель LightGBM, выполнено сравнение с базовыми оценками, реализованы проверка совместимости, обновление и переход на EWMA при отсутствии пригодной модели.</w:t>
      </w:r>
    </w:p>
    <w:p>
      <w:pPr>
        <w:pStyle w:val="Compact"/>
        <w:numPr>
          <w:ilvl w:val="0"/>
          <w:numId w:val="1005"/>
        </w:numPr>
        <w:tabs>
          <w:tab w:val="num" w:pos="1276"/>
        </w:tabs>
        <w:spacing w:before="0" w:after="0" w:line="360" w:lineRule="auto"/>
        <w:ind w:left="1276" w:hanging="567"/>
      </w:pPr>
      <w:r>
        <w:t xml:space="preserve">Реализованы планировщик с ограничениями, объяснения, административный API и веб-интерфейс подтверждения и контроля действий.</w:t>
      </w:r>
    </w:p>
    <w:p>
      <w:pPr>
        <w:pStyle w:val="Compact"/>
        <w:numPr>
          <w:ilvl w:val="0"/>
          <w:numId w:val="1005"/>
        </w:numPr>
        <w:tabs>
          <w:tab w:val="num" w:pos="1276"/>
        </w:tabs>
        <w:spacing w:before="0" w:after="0" w:line="360" w:lineRule="auto"/>
        <w:ind w:left="1276" w:hanging="567"/>
      </w:pPr>
      <w:r>
        <w:t xml:space="preserve">СППР интегрирована с OpenS3, реализован протокол переноса версий и выполнены модульные проверки и сквозной сценарий обновления с переносом, чтением и перезапуском.</w:t>
      </w:r>
      <w:r>
        <w:t xml:space="preserve"> </w:t>
      </w:r>
      <w:r>
        <w:rPr>
          <w:highlight w:val="yellow"/>
        </w:rPr>
        <w:t xml:space="preserve">Полная проверка сохранности при одиночных отказах и измерение восстановления по M-01–M-06</w:t>
      </w:r>
      <w:r>
        <w:t xml:space="preserve">.</w:t>
      </w:r>
    </w:p>
    <w:p>
      <w:pPr>
        <w:pStyle w:val="Compact"/>
        <w:numPr>
          <w:ilvl w:val="0"/>
          <w:numId w:val="1005"/>
        </w:numPr>
        <w:tabs>
          <w:tab w:val="num" w:pos="1276"/>
        </w:tabs>
        <w:spacing w:before="0" w:after="0" w:line="360" w:lineRule="auto"/>
        <w:ind w:left="1276" w:hanging="567"/>
      </w:pPr>
      <w:r>
        <w:t xml:space="preserve">Завершено сравнение пяти политик в симуляции на шести сценариях, десяти начальных значениях генератора и трёх бюджетах. Установлены границы выигрыша и отделены результаты периода настройки реальных трасс от ожидаемой итоговой оценки на тестовом периоде.</w:t>
      </w:r>
    </w:p>
    <w:p>
      <w:pPr>
        <w:pStyle w:val="FirstParagraph"/>
      </w:pPr>
      <w:r>
        <w:t xml:space="preserve">Практическая значимость состоит в возможности рассматривать прогноз и обоснование плана до переноса конкретной версии, контролировать зависимости освобождения HOT и прослеживать исполнение по журналу. Общие правила подготовки данных и планирования позволяют воспроизводимо сравнивать машинное обучение с эвристиками. Математическая модель, протокол переноса и разделение прогноза, выбора и исполнения могут использоваться при проектировании управления классами хранения с другими моделями спроса.</w:t>
      </w:r>
    </w:p>
    <w:p>
      <w:pPr>
        <w:pStyle w:val="a2"/>
      </w:pPr>
      <w:r>
        <w:t xml:space="preserve">Результаты не подтверждают безусловного преимущества машинного обучения. В сценарии смены набора при бюджете 256 МиБ средняя задержка уменьшилась на 52,46 % относительно возраста, на 45,53 % относительно давности и на 37,75 % относительно частоты. Относительно EWMA выигрыш составил 3,91 % с 95-процентным интервалом [3,88; 3,95] %. Ни один сценарий и бюджет не выполнил заранее заданный критерий нижней границы не менее 5 % против каждой базовой политики при допустимом p95. На стабильной синтетической нагрузке улучшение оценки Брайера и средней абсолютной ошибки сопровождается практически одинаковым ранжированием, поэтому точность численной оценки сама по себе не обеспечивает лучшего использования HOT.</w:t>
      </w:r>
    </w:p>
    <w:p>
      <w:pPr>
        <w:pStyle w:val="a2"/>
      </w:pPr>
      <w:r>
        <w:t xml:space="preserve">На периоде настройки модель обеспечила большее покрытие будущих чтений, чем лучшая базовая оценка, на трассах Meta CDN, Docker Registry и IBM Cloud Object Storage (далее IBM COS), набор 000. Эти результаты показывают целесообразность дальнейшей проверки на разреженном реальном спросе с различающимися метаданными, но не заменяют итоговый тест и измерение задержек после размещения.</w:t>
      </w:r>
      <w:r>
        <w:t xml:space="preserve"> </w:t>
      </w:r>
      <w:r>
        <w:rPr>
          <w:highlight w:val="yellow"/>
        </w:rPr>
        <w:t xml:space="preserve">Итоговый тест реальных трасс, повторное стендовое сравнение ML и EWMA и измерения накладных расходов.</w:t>
      </w:r>
    </w:p>
    <w:p>
      <w:pPr>
        <w:pStyle w:val="a2"/>
      </w:pPr>
      <w:r>
        <w:t xml:space="preserve">Дальнейшая работа включает независимый итоговый тест без повторного подбора параметров, симуляцию задержек на реальных трассах с проверкой допущений о каталоге и размерах, завершение ресурсной приёмки и расширение стендовых испытаний. Отдельное направление – предобученная общая модель с последующей адаптацией к истории конкретного хранилища. Её переносимость требуется проверять на ранее не использованных источниках: наблюдавшееся завышение вероятности спроса при переносе модели с синтетического профиля показывает необходимость такой проверки. Дальнейшее внедрение требует подтверждения сохранности и накладных расходов в условиях целевого развёртывания.</w:t>
      </w:r>
    </w:p>
    <w:bookmarkEnd w:id="140"/>
    <w:bookmarkStart w:id="202" w:name="список-использованных-источников"/>
    <w:p>
      <w:pPr>
        <w:pStyle w:val="GOSTStructuralHeading"/>
      </w:pPr>
      <w:bookmarkStart w:id="278" w:name="GOSTHeading278"/>
      <w:r>
        <w:t xml:space="preserve">СПИСОК ИСПОЛЬЗОВАННЫХ ИСТОЧНИКОВ</w:t>
      </w:r>
      <w:bookmarkEnd w:id="278"/>
    </w:p>
    <w:p>
      <w:pPr>
        <w:numPr>
          <w:ilvl w:val="0"/>
          <w:numId w:val="1006"/>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41">
        <w:r>
          <w:rPr>
            <w:rStyle w:val="af4"/>
          </w:rPr>
          <w:t xml:space="preserve">10.1145/3803857</w:t>
        </w:r>
      </w:hyperlink>
      <w:r>
        <w:t xml:space="preserve">.</w:t>
      </w:r>
    </w:p>
    <w:p>
      <w:pPr>
        <w:numPr>
          <w:ilvl w:val="0"/>
          <w:numId w:val="1006"/>
        </w:numPr>
        <w:spacing w:before="0" w:after="0" w:line="360" w:lineRule="auto"/>
        <w:ind w:left="0" w:firstLine="709"/>
      </w:pPr>
      <w:r>
        <w:t xml:space="preserve">Amazon Web Services. Amazon S3 User Guide [Электронный ресурс]. URL:</w:t>
      </w:r>
      <w:r>
        <w:t xml:space="preserve"> </w:t>
      </w:r>
      <w:hyperlink r:id="rId142">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43">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44">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06"/>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45">
        <w:r>
          <w:rPr>
            <w:rStyle w:val="af4"/>
          </w:rPr>
          <w:t xml:space="preserve">10.1016/j.comcom.2026.108437</w:t>
        </w:r>
      </w:hyperlink>
      <w:r>
        <w:t xml:space="preserve">.</w:t>
      </w:r>
    </w:p>
    <w:p>
      <w:pPr>
        <w:numPr>
          <w:ilvl w:val="0"/>
          <w:numId w:val="1006"/>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46">
        <w:r>
          <w:rPr>
            <w:rStyle w:val="af4"/>
          </w:rPr>
          <w:t xml:space="preserve">10.​17586/​2226-​1494-​2023-​23-​6-​1171-​1177</w:t>
        </w:r>
      </w:hyperlink>
      <w:r>
        <w:t xml:space="preserve">.</w:t>
      </w:r>
    </w:p>
    <w:p>
      <w:pPr>
        <w:numPr>
          <w:ilvl w:val="0"/>
          <w:numId w:val="1006"/>
        </w:numPr>
        <w:spacing w:before="0" w:after="0" w:line="360" w:lineRule="auto"/>
        <w:ind w:left="0" w:firstLine="709"/>
      </w:pPr>
      <w:r>
        <w:t xml:space="preserve">Amazon Web Services. Naming Amazon S3 objects [Электронный ресурс]. URL:</w:t>
      </w:r>
      <w:r>
        <w:t xml:space="preserve"> </w:t>
      </w:r>
      <w:hyperlink r:id="rId147">
        <w:r>
          <w:rPr>
            <w:rStyle w:val="af4"/>
          </w:rPr>
          <w:t xml:space="preserve">https://​docs.​aws.​amazon.​com/​AmazonS3/​latest/​userguide/​object-​keys.​html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48">
        <w:r>
          <w:rPr>
            <w:rStyle w:val="af4"/>
          </w:rPr>
          <w:t xml:space="preserve">https://​docs.​aws.​amazon.​com/​AmazonS3/​latest/​userguide/​Versioning.​html</w:t>
        </w:r>
      </w:hyperlink>
      <w:r>
        <w:t xml:space="preserve"> </w:t>
      </w:r>
      <w:r>
        <w:t xml:space="preserve">(дата обращения: 01.10.2026).</w:t>
      </w:r>
    </w:p>
    <w:p>
      <w:pPr>
        <w:numPr>
          <w:ilvl w:val="0"/>
          <w:numId w:val="1006"/>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49">
        <w:r>
          <w:rPr>
            <w:rStyle w:val="af4"/>
          </w:rPr>
          <w:t xml:space="preserve">https://​github.​com/​alesplll/​opens3-​rebac/​tree/​ac858c748b5d3af96f0440864f4b299e7b617d76</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Transitioning objects using Amazon S3 Lifecycle [Электронный ресурс]. URL:</w:t>
      </w:r>
      <w:r>
        <w:t xml:space="preserve"> </w:t>
      </w:r>
      <w:hyperlink r:id="rId150">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06"/>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51">
        <w:r>
          <w:rPr>
            <w:rStyle w:val="af4"/>
          </w:rPr>
          <w:t xml:space="preserve">https://​docs.​ceph.​com/​en/​squid/​radosgw/​placement/​</w:t>
        </w:r>
      </w:hyperlink>
      <w:r>
        <w:t xml:space="preserve"> </w:t>
      </w:r>
      <w:r>
        <w:t xml:space="preserve">(дата обращения: 01.10.2026).</w:t>
      </w:r>
    </w:p>
    <w:p>
      <w:pPr>
        <w:numPr>
          <w:ilvl w:val="0"/>
          <w:numId w:val="1006"/>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52">
        <w:r>
          <w:rPr>
            <w:rStyle w:val="af4"/>
          </w:rPr>
          <w:t xml:space="preserve">https://​docs.​ceph.​com/​en/​squid/​rados/​operations/​crush-​map-​edits/​</w:t>
        </w:r>
      </w:hyperlink>
      <w:r>
        <w:t xml:space="preserve"> </w:t>
      </w:r>
      <w:r>
        <w:t xml:space="preserve">(дата обращения: 01.10.2026).</w:t>
      </w:r>
    </w:p>
    <w:p>
      <w:pPr>
        <w:numPr>
          <w:ilvl w:val="0"/>
          <w:numId w:val="1006"/>
        </w:numPr>
        <w:spacing w:before="0" w:after="0" w:line="360" w:lineRule="auto"/>
        <w:ind w:left="0" w:firstLine="709"/>
      </w:pPr>
      <w:r>
        <w:t xml:space="preserve">MinIO. Object Lifecycle Management. AIStor Documentation [Электронный ресурс]. URL:</w:t>
      </w:r>
      <w:r>
        <w:t xml:space="preserve"> </w:t>
      </w:r>
      <w:hyperlink r:id="rId153">
        <w:r>
          <w:rPr>
            <w:rStyle w:val="af4"/>
          </w:rPr>
          <w:t xml:space="preserve">https://​docs.​min.​io/​aistor/​administration/​object-​lifecycle-​management/​</w:t>
        </w:r>
      </w:hyperlink>
      <w:r>
        <w:t xml:space="preserve"> </w:t>
      </w:r>
      <w:r>
        <w:t xml:space="preserve">(дата обращения: 01.10.2026).</w:t>
      </w:r>
    </w:p>
    <w:p>
      <w:pPr>
        <w:numPr>
          <w:ilvl w:val="0"/>
          <w:numId w:val="1006"/>
        </w:numPr>
        <w:spacing w:before="0" w:after="0" w:line="360" w:lineRule="auto"/>
        <w:ind w:left="0" w:firstLine="709"/>
      </w:pPr>
      <w:r>
        <w:t xml:space="preserve">MinIO. Object Tiering. AIStor Documentation [Электронный ресурс]. URL:</w:t>
      </w:r>
      <w:r>
        <w:t xml:space="preserve"> </w:t>
      </w:r>
      <w:hyperlink r:id="rId154">
        <w:r>
          <w:rPr>
            <w:rStyle w:val="af4"/>
          </w:rPr>
          <w:t xml:space="preserve">https://​docs.​min.​io/​aistor/​administration/​object-​lifecycle-​management/​object-​tiering/​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GetObject. Amazon S3 API Reference [Электронный ресурс]. URL:</w:t>
      </w:r>
      <w:r>
        <w:t xml:space="preserve"> </w:t>
      </w:r>
      <w:hyperlink r:id="rId155">
        <w:r>
          <w:rPr>
            <w:rStyle w:val="af4"/>
          </w:rPr>
          <w:t xml:space="preserve">https://​docs.​aws.​amazon.​com/​AmazonS3/​latest/​API/​API_​GetObject.​html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server access log format [Электронный ресурс]. URL:</w:t>
      </w:r>
      <w:r>
        <w:t xml:space="preserve"> </w:t>
      </w:r>
      <w:hyperlink r:id="rId156">
        <w:r>
          <w:rPr>
            <w:rStyle w:val="af4"/>
          </w:rPr>
          <w:t xml:space="preserve">https://​docs.​aws.​amazon.​com/​AmazonS3/​latest/​userguide/​LogFormat.​html</w:t>
        </w:r>
      </w:hyperlink>
      <w:r>
        <w:t xml:space="preserve"> </w:t>
      </w:r>
      <w:r>
        <w:t xml:space="preserve">(дата обращения: 01.10.2026).</w:t>
      </w:r>
    </w:p>
    <w:p>
      <w:pPr>
        <w:numPr>
          <w:ilvl w:val="0"/>
          <w:numId w:val="1006"/>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57">
        <w:r>
          <w:rPr>
            <w:rStyle w:val="af4"/>
          </w:rPr>
          <w:t xml:space="preserve">https://​arxiv.​org/​abs/​2305.​14818</w:t>
        </w:r>
      </w:hyperlink>
      <w:r>
        <w:t xml:space="preserve"> </w:t>
      </w:r>
      <w:r>
        <w:t xml:space="preserve">(дата обращения: 01.10.2026).</w:t>
      </w:r>
    </w:p>
    <w:p>
      <w:pPr>
        <w:numPr>
          <w:ilvl w:val="0"/>
          <w:numId w:val="1006"/>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58">
        <w:r>
          <w:rPr>
            <w:rStyle w:val="af4"/>
          </w:rPr>
          <w:t xml:space="preserve">https://​www.​usenix.​org/​conference/​fast24/​presentation/​wong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pricing [Электронный ресурс]. URL:</w:t>
      </w:r>
      <w:r>
        <w:t xml:space="preserve"> </w:t>
      </w:r>
      <w:hyperlink r:id="rId159">
        <w:r>
          <w:rPr>
            <w:rStyle w:val="af4"/>
          </w:rPr>
          <w:t xml:space="preserve">https://​aws.​amazon.​com/​s3/​pricing/​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60">
        <w:r>
          <w:rPr>
            <w:rStyle w:val="af4"/>
          </w:rPr>
          <w:t xml:space="preserve">https://​docs.​aws.​amazon.​com/​AmazonS3/​latest/​userguide/​Welcome.​html</w:t>
        </w:r>
      </w:hyperlink>
      <w:r>
        <w:t xml:space="preserve"> </w:t>
      </w:r>
      <w:r>
        <w:t xml:space="preserve">(дата обращения: 01.10.2026).</w:t>
      </w:r>
    </w:p>
    <w:p>
      <w:pPr>
        <w:numPr>
          <w:ilvl w:val="0"/>
          <w:numId w:val="1006"/>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61">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62">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06"/>
        </w:numPr>
        <w:spacing w:before="0" w:after="0" w:line="360" w:lineRule="auto"/>
        <w:ind w:left="0" w:firstLine="709"/>
      </w:pPr>
      <w:r>
        <w:t xml:space="preserve">CacheMon. Open-source Cache Dataset. Раздел Meta CDN request traces [Электронный ресурс]. URL:</w:t>
      </w:r>
      <w:r>
        <w:t xml:space="preserve"> </w:t>
      </w:r>
      <w:hyperlink r:id="rId163">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64">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06"/>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65">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66">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06"/>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67">
        <w:r>
          <w:rPr>
            <w:rStyle w:val="af4"/>
          </w:rPr>
          <w:t xml:space="preserve">https://​www.​usenix.​org/​conference/​fast18/​presentation/​anwar</w:t>
        </w:r>
      </w:hyperlink>
      <w:r>
        <w:t xml:space="preserve"> </w:t>
      </w:r>
      <w:r>
        <w:t xml:space="preserve">(дата обращения: 01.10.2026).</w:t>
      </w:r>
    </w:p>
    <w:p>
      <w:pPr>
        <w:numPr>
          <w:ilvl w:val="0"/>
          <w:numId w:val="1006"/>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68">
        <w:r>
          <w:rPr>
            <w:rStyle w:val="af4"/>
          </w:rPr>
          <w:t xml:space="preserve">https://​github.​com/​ds2-​lab/​IBM-​docker-​registry-​traces</w:t>
        </w:r>
      </w:hyperlink>
      <w:r>
        <w:t xml:space="preserve"> </w:t>
      </w:r>
      <w:r>
        <w:t xml:space="preserve">(дата обращения: 01.10.2026).</w:t>
      </w:r>
    </w:p>
    <w:p>
      <w:pPr>
        <w:numPr>
          <w:ilvl w:val="0"/>
          <w:numId w:val="1006"/>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69">
        <w:r>
          <w:rPr>
            <w:rStyle w:val="af4"/>
          </w:rPr>
          <w:t xml:space="preserve">https://www.pdl.cmu.edu/CILES/</w:t>
        </w:r>
      </w:hyperlink>
      <w:r>
        <w:t xml:space="preserve"> </w:t>
      </w:r>
      <w:r>
        <w:t xml:space="preserve">(дата обращения: 01.10.2026).</w:t>
      </w:r>
    </w:p>
    <w:p>
      <w:pPr>
        <w:numPr>
          <w:ilvl w:val="0"/>
          <w:numId w:val="1006"/>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70">
        <w:r>
          <w:rPr>
            <w:rStyle w:val="af4"/>
          </w:rPr>
          <w:t xml:space="preserve">10.14778/3357377.3357381</w:t>
        </w:r>
      </w:hyperlink>
      <w:r>
        <w:t xml:space="preserve">. URL:</w:t>
      </w:r>
      <w:r>
        <w:t xml:space="preserve"> </w:t>
      </w:r>
      <w:hyperlink r:id="rId171">
        <w:r>
          <w:rPr>
            <w:rStyle w:val="af4"/>
          </w:rPr>
          <w:t xml:space="preserve">https://​www.​vldb.​org/​pvldb/​vol13/​p43-​herodotou.​pdf</w:t>
        </w:r>
      </w:hyperlink>
      <w:r>
        <w:t xml:space="preserve"> </w:t>
      </w:r>
      <w:r>
        <w:t xml:space="preserve">(дата обращения: 04.10.2026).</w:t>
      </w:r>
    </w:p>
    <w:p>
      <w:pPr>
        <w:numPr>
          <w:ilvl w:val="0"/>
          <w:numId w:val="1006"/>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72">
        <w:r>
          <w:rPr>
            <w:rStyle w:val="af4"/>
          </w:rPr>
          <w:t xml:space="preserve">10.​1109/​FiCloud66139.​2025.​00024</w:t>
        </w:r>
      </w:hyperlink>
      <w:r>
        <w:t xml:space="preserve">.</w:t>
      </w:r>
    </w:p>
    <w:p>
      <w:pPr>
        <w:numPr>
          <w:ilvl w:val="0"/>
          <w:numId w:val="1006"/>
        </w:numPr>
        <w:spacing w:before="0" w:after="0" w:line="360" w:lineRule="auto"/>
        <w:ind w:left="0" w:firstLine="709"/>
      </w:pPr>
      <w:r>
        <w:t xml:space="preserve">Ceph. Rados Gateway Data Layout. Документация версии Squid [Электронный ресурс]. URL:</w:t>
      </w:r>
      <w:r>
        <w:t xml:space="preserve"> </w:t>
      </w:r>
      <w:hyperlink r:id="rId173">
        <w:r>
          <w:rPr>
            <w:rStyle w:val="af4"/>
          </w:rPr>
          <w:t xml:space="preserve">https://​docs.​ceph.​com/​en/​squid/​radosgw/​layout/​</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Logging requests with server access logging [Электронный ресурс]. URL:</w:t>
      </w:r>
      <w:r>
        <w:t xml:space="preserve"> </w:t>
      </w:r>
      <w:hyperlink r:id="rId174">
        <w:r>
          <w:rPr>
            <w:rStyle w:val="af4"/>
          </w:rPr>
          <w:t xml:space="preserve">https://​docs.​aws.​amazon.​com/​AmazonS3/​latest/​userguide/​ServerLogs.​html</w:t>
        </w:r>
      </w:hyperlink>
      <w:r>
        <w:t xml:space="preserve"> </w:t>
      </w:r>
      <w:r>
        <w:t xml:space="preserve">(дата обращения: 01.10.2026).</w:t>
      </w:r>
    </w:p>
    <w:p>
      <w:pPr>
        <w:numPr>
          <w:ilvl w:val="0"/>
          <w:numId w:val="1006"/>
        </w:numPr>
        <w:spacing w:before="0" w:after="0" w:line="360" w:lineRule="auto"/>
        <w:ind w:left="0" w:firstLine="709"/>
      </w:pPr>
      <w:r>
        <w:t xml:space="preserve">Kellerer H., Pferschy U., Pisinger D. Knapsack Problems. Berlin; Heidelberg: Springer, 2004. 546 p. DOI:</w:t>
      </w:r>
      <w:r>
        <w:t xml:space="preserve"> </w:t>
      </w:r>
      <w:hyperlink r:id="rId175">
        <w:r>
          <w:rPr>
            <w:rStyle w:val="af4"/>
          </w:rPr>
          <w:t xml:space="preserve">10.1007/978-3-540-24777-7</w:t>
        </w:r>
      </w:hyperlink>
      <w:r>
        <w:t xml:space="preserve">.</w:t>
      </w:r>
    </w:p>
    <w:p>
      <w:pPr>
        <w:numPr>
          <w:ilvl w:val="0"/>
          <w:numId w:val="1006"/>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76">
        <w:r>
          <w:rPr>
            <w:rStyle w:val="af4"/>
          </w:rPr>
          <w:t xml:space="preserve">10.1016/0304-4076(86)90002-3</w:t>
        </w:r>
      </w:hyperlink>
      <w:r>
        <w:t xml:space="preserve">.</w:t>
      </w:r>
    </w:p>
    <w:p>
      <w:pPr>
        <w:numPr>
          <w:ilvl w:val="0"/>
          <w:numId w:val="1006"/>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77">
        <w:r>
          <w:rPr>
            <w:rStyle w:val="af4"/>
          </w:rPr>
          <w:t xml:space="preserve">10.1214/aos/1013203451</w:t>
        </w:r>
      </w:hyperlink>
      <w:r>
        <w:t xml:space="preserve">.</w:t>
      </w:r>
    </w:p>
    <w:p>
      <w:pPr>
        <w:numPr>
          <w:ilvl w:val="0"/>
          <w:numId w:val="1006"/>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78">
        <w:r>
          <w:rPr>
            <w:rStyle w:val="af4"/>
          </w:rPr>
          <w:t xml:space="preserve">https://​lightgbm.​readthedocs.​io/​en/​latest/​Parameters.​html</w:t>
        </w:r>
      </w:hyperlink>
      <w:r>
        <w:t xml:space="preserve"> </w:t>
      </w:r>
      <w:r>
        <w:t xml:space="preserve">(дата обращения: 15.10.2026).</w:t>
      </w:r>
    </w:p>
    <w:p>
      <w:pPr>
        <w:numPr>
          <w:ilvl w:val="0"/>
          <w:numId w:val="1006"/>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79">
        <w:r>
          <w:rPr>
            <w:rStyle w:val="af4"/>
          </w:rPr>
          <w:t xml:space="preserve">10.2307/2344614</w:t>
        </w:r>
      </w:hyperlink>
      <w:r>
        <w:t xml:space="preserve">.</w:t>
      </w:r>
    </w:p>
    <w:p>
      <w:pPr>
        <w:numPr>
          <w:ilvl w:val="0"/>
          <w:numId w:val="1006"/>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80">
        <w:r>
          <w:rPr>
            <w:rStyle w:val="af4"/>
          </w:rPr>
          <w:t xml:space="preserve">https://​arxiv.​org/​abs/​2207.​08815</w:t>
        </w:r>
      </w:hyperlink>
      <w:r>
        <w:t xml:space="preserve"> </w:t>
      </w:r>
      <w:r>
        <w:t xml:space="preserve">(дата обращения: 15.10.2026).</w:t>
      </w:r>
    </w:p>
    <w:p>
      <w:pPr>
        <w:numPr>
          <w:ilvl w:val="0"/>
          <w:numId w:val="1006"/>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81">
        <w:r>
          <w:rPr>
            <w:rStyle w:val="af4"/>
          </w:rPr>
          <w:t xml:space="preserve">https://​scikit-​learn.​org/​stable/​common_​pitfalls.​html</w:t>
        </w:r>
      </w:hyperlink>
      <w:r>
        <w:t xml:space="preserve"> </w:t>
      </w:r>
      <w:r>
        <w:t xml:space="preserve">(дата обращения: 01.10.2026).</w:t>
      </w:r>
    </w:p>
    <w:p>
      <w:pPr>
        <w:numPr>
          <w:ilvl w:val="0"/>
          <w:numId w:val="1006"/>
        </w:numPr>
        <w:spacing w:before="0" w:after="0" w:line="360" w:lineRule="auto"/>
        <w:ind w:left="0" w:firstLine="709"/>
      </w:pPr>
      <w:r>
        <w:t xml:space="preserve">Scikit-learn developers. TimeSeriesSplit [Электронный ресурс]. URL:</w:t>
      </w:r>
      <w:r>
        <w:t xml:space="preserve"> </w:t>
      </w:r>
      <w:hyperlink r:id="rId182">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06"/>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83">
        <w:r>
          <w:rPr>
            <w:rStyle w:val="af4"/>
          </w:rPr>
          <w:t xml:space="preserve">10.1145/1143844.1143874</w:t>
        </w:r>
      </w:hyperlink>
      <w:r>
        <w:t xml:space="preserve">.</w:t>
      </w:r>
    </w:p>
    <w:p>
      <w:pPr>
        <w:numPr>
          <w:ilvl w:val="0"/>
          <w:numId w:val="1006"/>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84">
        <w:r>
          <w:rPr>
            <w:rStyle w:val="af4"/>
          </w:rPr>
          <w:t xml:space="preserve">10.​1175/​1520-​0493(1950)078&lt;0001:VOFEIT&gt;2.​0.​CO;2</w:t>
        </w:r>
      </w:hyperlink>
      <w:r>
        <w:t xml:space="preserve">.</w:t>
      </w:r>
    </w:p>
    <w:p>
      <w:pPr>
        <w:numPr>
          <w:ilvl w:val="0"/>
          <w:numId w:val="1006"/>
        </w:numPr>
        <w:spacing w:before="0" w:after="0" w:line="360" w:lineRule="auto"/>
        <w:ind w:left="0" w:firstLine="709"/>
      </w:pPr>
      <w:r>
        <w:t xml:space="preserve">Dantzig G. B. Discrete-Variable Extremum Problems // Operations Research. 1957. Vol. 5, no. 2. P. 266–288. DOI:</w:t>
      </w:r>
      <w:r>
        <w:t xml:space="preserve"> </w:t>
      </w:r>
      <w:hyperlink r:id="rId185">
        <w:r>
          <w:rPr>
            <w:rStyle w:val="af4"/>
          </w:rPr>
          <w:t xml:space="preserve">10.1287/opre.5.2.266</w:t>
        </w:r>
      </w:hyperlink>
      <w:r>
        <w:t xml:space="preserve">.</w:t>
      </w:r>
    </w:p>
    <w:p>
      <w:pPr>
        <w:numPr>
          <w:ilvl w:val="0"/>
          <w:numId w:val="1006"/>
        </w:numPr>
        <w:spacing w:before="0" w:after="0" w:line="360" w:lineRule="auto"/>
        <w:ind w:left="0" w:firstLine="709"/>
      </w:pPr>
      <w:r>
        <w:t xml:space="preserve">Kleppmann M. Designing Data-Intensive Applications. Sebastopol: O’Reilly Media, 2017. 616 p.</w:t>
      </w:r>
    </w:p>
    <w:p>
      <w:pPr>
        <w:numPr>
          <w:ilvl w:val="0"/>
          <w:numId w:val="1006"/>
        </w:numPr>
        <w:spacing w:before="0" w:after="0" w:line="360" w:lineRule="auto"/>
        <w:ind w:left="0" w:firstLine="709"/>
      </w:pPr>
      <w:r>
        <w:t xml:space="preserve">Amazon Web Services. Checking object integrity for data uploads in Amazon S3 [Электронный ресурс]. URL:</w:t>
      </w:r>
      <w:r>
        <w:t xml:space="preserve"> </w:t>
      </w:r>
      <w:hyperlink r:id="rId186">
        <w:r>
          <w:rPr>
            <w:rStyle w:val="af4"/>
          </w:rPr>
          <w:t xml:space="preserve">https://​docs.​aws.​amazon.​com/​AmazonS3/​latest/​userguide/​checking-​object-​integrity-​upload.​html</w:t>
        </w:r>
      </w:hyperlink>
      <w:r>
        <w:t xml:space="preserve"> </w:t>
      </w:r>
      <w:r>
        <w:t xml:space="preserve">(дата обращения: 01.10.2026).</w:t>
      </w:r>
    </w:p>
    <w:p>
      <w:pPr>
        <w:numPr>
          <w:ilvl w:val="0"/>
          <w:numId w:val="1006"/>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87">
        <w:r>
          <w:rPr>
            <w:rStyle w:val="af4"/>
          </w:rPr>
          <w:t xml:space="preserve">https://​www.​omg.​org/​spec/​UML/​2.​5.​1/​</w:t>
        </w:r>
      </w:hyperlink>
      <w:r>
        <w:t xml:space="preserve"> </w:t>
      </w:r>
      <w:r>
        <w:t xml:space="preserve">(дата обращения: 15.10.2026).</w:t>
      </w:r>
    </w:p>
    <w:p>
      <w:pPr>
        <w:numPr>
          <w:ilvl w:val="0"/>
          <w:numId w:val="1006"/>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88">
        <w:r>
          <w:rPr>
            <w:rStyle w:val="af4"/>
          </w:rPr>
          <w:t xml:space="preserve">https://​www.​omg.​org/​spec/​BPMN/​2.​0.​2/​</w:t>
        </w:r>
      </w:hyperlink>
      <w:r>
        <w:t xml:space="preserve"> </w:t>
      </w:r>
      <w:r>
        <w:t xml:space="preserve">(дата обращения: 15.10.2026).</w:t>
      </w:r>
    </w:p>
    <w:p>
      <w:pPr>
        <w:numPr>
          <w:ilvl w:val="0"/>
          <w:numId w:val="1006"/>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89">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06"/>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90">
        <w:r>
          <w:rPr>
            <w:rStyle w:val="af4"/>
          </w:rPr>
          <w:t xml:space="preserve">https://​github.​com/​dmitryikh/​leaves</w:t>
        </w:r>
      </w:hyperlink>
      <w:r>
        <w:t xml:space="preserve"> </w:t>
      </w:r>
      <w:r>
        <w:t xml:space="preserve">(дата обращения: 15.10.2026).</w:t>
      </w:r>
    </w:p>
    <w:p>
      <w:pPr>
        <w:numPr>
          <w:ilvl w:val="0"/>
          <w:numId w:val="1006"/>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91">
        <w:r>
          <w:rPr>
            <w:rStyle w:val="af4"/>
          </w:rPr>
          <w:t xml:space="preserve">https://​www.​postgresql.​org/​docs/​16/​mvcc.​html</w:t>
        </w:r>
      </w:hyperlink>
      <w:r>
        <w:t xml:space="preserve"> </w:t>
      </w:r>
      <w:r>
        <w:t xml:space="preserve">(дата обращения: 15.10.2026).</w:t>
      </w:r>
    </w:p>
    <w:p>
      <w:pPr>
        <w:numPr>
          <w:ilvl w:val="0"/>
          <w:numId w:val="1006"/>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92">
        <w:r>
          <w:rPr>
            <w:rStyle w:val="af4"/>
          </w:rPr>
          <w:t xml:space="preserve">https://​kafka.​apache.​org/​documentation/#​semantics</w:t>
        </w:r>
      </w:hyperlink>
      <w:r>
        <w:t xml:space="preserve"> </w:t>
      </w:r>
      <w:r>
        <w:t xml:space="preserve">(дата обращения: 15.10.2026).</w:t>
      </w:r>
    </w:p>
    <w:p>
      <w:pPr>
        <w:numPr>
          <w:ilvl w:val="0"/>
          <w:numId w:val="1006"/>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93">
        <w:r>
          <w:rPr>
            <w:rStyle w:val="af4"/>
          </w:rPr>
          <w:t xml:space="preserve">https://​github.​com/​yalue/​onnxruntime_​go</w:t>
        </w:r>
      </w:hyperlink>
      <w:r>
        <w:t xml:space="preserve"> </w:t>
      </w:r>
      <w:r>
        <w:t xml:space="preserve">(дата обращения: 20.10.2026).</w:t>
      </w:r>
    </w:p>
    <w:p>
      <w:pPr>
        <w:numPr>
          <w:ilvl w:val="0"/>
          <w:numId w:val="1006"/>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94">
        <w:r>
          <w:rPr>
            <w:rStyle w:val="af4"/>
          </w:rPr>
          <w:t xml:space="preserve">https://​protect.​gost.​ru/​gost/​details/​0c85e066-​f89e-​433d-​a6d3-​b7f746bd0c7c</w:t>
        </w:r>
      </w:hyperlink>
      <w:r>
        <w:t xml:space="preserve">, текст стандарта:</w:t>
      </w:r>
      <w:r>
        <w:t xml:space="preserve"> </w:t>
      </w:r>
      <w:hyperlink r:id="rId195">
        <w:r>
          <w:rPr>
            <w:rStyle w:val="af4"/>
          </w:rPr>
          <w:t xml:space="preserve">https://​www.​swrit.​ru/​doc/​espd/​19.​701-​90.​pdf</w:t>
        </w:r>
      </w:hyperlink>
      <w:r>
        <w:t xml:space="preserve"> </w:t>
      </w:r>
      <w:r>
        <w:t xml:space="preserve">(дата обращения: 26.10.2026).</w:t>
      </w:r>
    </w:p>
    <w:p>
      <w:pPr>
        <w:numPr>
          <w:ilvl w:val="0"/>
          <w:numId w:val="1006"/>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196">
        <w:r>
          <w:rPr>
            <w:rStyle w:val="af4"/>
          </w:rPr>
          <w:t xml:space="preserve">https://​www.​itl.​nist.​gov/​div898/​handbook/​pmc/​section3/​pmc324.​htm</w:t>
        </w:r>
      </w:hyperlink>
      <w:r>
        <w:t xml:space="preserve"> </w:t>
      </w:r>
      <w:r>
        <w:t xml:space="preserve">(дата обращения: 26.10.2026).</w:t>
      </w:r>
    </w:p>
    <w:p>
      <w:pPr>
        <w:numPr>
          <w:ilvl w:val="0"/>
          <w:numId w:val="1006"/>
        </w:numPr>
        <w:spacing w:before="0" w:after="0" w:line="360" w:lineRule="auto"/>
        <w:ind w:left="0" w:firstLine="709"/>
      </w:pPr>
      <w:r>
        <w:t xml:space="preserve">Rivest R. The MD5 Message-Digest Algorithm. RFC 1321. 1992 [Электронный ресурс]. URL:</w:t>
      </w:r>
      <w:r>
        <w:t xml:space="preserve"> </w:t>
      </w:r>
      <w:hyperlink r:id="rId197">
        <w:r>
          <w:rPr>
            <w:rStyle w:val="af4"/>
          </w:rPr>
          <w:t xml:space="preserve">https://​www.​rfc-​editor.​org/​rfc/​rfc1321</w:t>
        </w:r>
      </w:hyperlink>
      <w:r>
        <w:t xml:space="preserve"> </w:t>
      </w:r>
      <w:r>
        <w:t xml:space="preserve">(дата обращения: 26.10.2026).</w:t>
      </w:r>
    </w:p>
    <w:p>
      <w:pPr>
        <w:numPr>
          <w:ilvl w:val="0"/>
          <w:numId w:val="1006"/>
        </w:numPr>
        <w:spacing w:before="0" w:after="0" w:line="360" w:lineRule="auto"/>
        <w:ind w:left="0" w:firstLine="709"/>
      </w:pPr>
      <w:r>
        <w:t xml:space="preserve">XGBoost developers. XGBoost Parameters. Раздел Learning Task Parameters [Электронный ресурс]. URL:</w:t>
      </w:r>
      <w:r>
        <w:t xml:space="preserve"> </w:t>
      </w:r>
      <w:hyperlink r:id="rId198">
        <w:r>
          <w:rPr>
            <w:rStyle w:val="af4"/>
          </w:rPr>
          <w:t xml:space="preserve">https://​xgboost.​readthedocs.​io/​en/​stable/​parameter.​html</w:t>
        </w:r>
      </w:hyperlink>
      <w:r>
        <w:t xml:space="preserve"> </w:t>
      </w:r>
      <w:r>
        <w:t xml:space="preserve">(дата обращения: 26.10.2026).</w:t>
      </w:r>
    </w:p>
    <w:p>
      <w:pPr>
        <w:numPr>
          <w:ilvl w:val="0"/>
          <w:numId w:val="1006"/>
        </w:numPr>
        <w:spacing w:before="0" w:after="0" w:line="360" w:lineRule="auto"/>
        <w:ind w:left="0" w:firstLine="709"/>
      </w:pPr>
      <w:r>
        <w:t xml:space="preserve">CatBoost developers. Regression: objectives and metrics. Раздел Poisson [Электронный ресурс]. URL:</w:t>
      </w:r>
      <w:r>
        <w:t xml:space="preserve"> </w:t>
      </w:r>
      <w:hyperlink r:id="rId199">
        <w:r>
          <w:rPr>
            <w:rStyle w:val="af4"/>
          </w:rPr>
          <w:t xml:space="preserve">https://​catboost.​ai/​docs/​en/​concepts/​loss-​functions-​regression</w:t>
        </w:r>
      </w:hyperlink>
      <w:r>
        <w:t xml:space="preserve"> </w:t>
      </w:r>
      <w:r>
        <w:t xml:space="preserve">(дата обращения: 26.10.2026).</w:t>
      </w:r>
    </w:p>
    <w:p>
      <w:pPr>
        <w:numPr>
          <w:ilvl w:val="0"/>
          <w:numId w:val="1006"/>
        </w:numPr>
        <w:spacing w:before="0" w:after="0" w:line="360" w:lineRule="auto"/>
        <w:ind w:left="0" w:firstLine="709"/>
      </w:pPr>
      <w:r>
        <w:t xml:space="preserve">Oracle. MySQL 8.4 Reference Manual. Раздел 17.1 Introduction to InnoDB [Электронный ресурс]. URL:</w:t>
      </w:r>
      <w:r>
        <w:t xml:space="preserve"> </w:t>
      </w:r>
      <w:hyperlink r:id="rId200">
        <w:r>
          <w:rPr>
            <w:rStyle w:val="af4"/>
          </w:rPr>
          <w:t xml:space="preserve">https://​dev.​mysql.​com/​doc/​refman/​8.​4/​en/​innodb-​introduction.​html</w:t>
        </w:r>
      </w:hyperlink>
      <w:r>
        <w:t xml:space="preserve"> </w:t>
      </w:r>
      <w:r>
        <w:t xml:space="preserve">(дата обращения: 26.10.2026).</w:t>
      </w:r>
    </w:p>
    <w:p>
      <w:pPr>
        <w:numPr>
          <w:ilvl w:val="0"/>
          <w:numId w:val="1006"/>
        </w:numPr>
        <w:spacing w:before="0" w:after="0" w:line="360" w:lineRule="auto"/>
        <w:ind w:left="0" w:firstLine="709"/>
      </w:pPr>
      <w:r>
        <w:t xml:space="preserve">RabbitMQ. Streams and Superstreams [Электронный ресурс]. URL:</w:t>
      </w:r>
      <w:r>
        <w:t xml:space="preserve"> </w:t>
      </w:r>
      <w:hyperlink r:id="rId201">
        <w:r>
          <w:rPr>
            <w:rStyle w:val="af4"/>
          </w:rPr>
          <w:t xml:space="preserve">https://​www.​rabbitmq.​com/​docs/​streams</w:t>
        </w:r>
      </w:hyperlink>
      <w:r>
        <w:t xml:space="preserve"> </w:t>
      </w:r>
      <w:r>
        <w:t xml:space="preserve">(дата обращения: 26.10.2026).</w:t>
      </w:r>
    </w:p>
    <w:bookmarkEnd w:id="202"/>
    <w:bookmarkStart w:id="203" w:name="приложения"/>
    <w:p>
      <w:pPr>
        <w:pStyle w:val="GOSTStructuralHeading"/>
      </w:pPr>
      <w:bookmarkStart w:id="279" w:name="GOSTHeading279"/>
      <w:r>
        <w:t xml:space="preserve">ПРИЛОЖЕНИЯ</w:t>
      </w:r>
      <w:bookmarkEnd w:id="279"/>
    </w:p>
    <w:p>
      <w:pPr>
        <w:pStyle w:val="FirstParagraph"/>
      </w:pPr>
      <w:r>
        <w:t xml:space="preserve">Приложение А – Модель данных метаданных и СППР</w:t>
      </w:r>
    </w:p>
    <w:bookmarkEnd w:id="203"/>
    <w:bookmarkStart w:id="208" w:name="X6f0523c438b8ca68de781e168123afa45dd506f"/>
    <w:p>
      <w:pPr>
        <w:pStyle w:val="GOSTAppendixHeading"/>
      </w:pPr>
      <w:bookmarkStart w:id="280" w:name="GOSTHeading280"/>
      <w:r>
        <w:t xml:space="preserve">Приложение А</w:t>
      </w:r>
      <w:bookmarkEnd w:id="280"/>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07" w:name="gost-fig:er"/>
    <w:p>
      <w:pPr>
        <w:pStyle w:val="CaptionedFigure"/>
        <w:keepNext w:val="1"/>
      </w:pPr>
      <w:r>
        <w:drawing>
          <wp:inline>
            <wp:extent cx="4732739" cy="6840000"/>
            <wp:effectExtent b="0" l="0" r="0" t="0"/>
            <wp:docPr descr="Модель данных метаданных и СППР" title="" id="205" name="Picture"/>
            <a:graphic>
              <a:graphicData uri="http://schemas.openxmlformats.org/drawingml/2006/picture">
                <pic:pic>
                  <pic:nvPicPr>
                    <pic:cNvPr descr="images/er.png" id="206" name="Picture"/>
                    <pic:cNvPicPr>
                      <a:picLocks noChangeArrowheads="1" noChangeAspect="1"/>
                    </pic:cNvPicPr>
                  </pic:nvPicPr>
                  <pic:blipFill>
                    <a:blip r:embed="rId204"/>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07"/>
    <w:bookmarkEnd w:id="208"/>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4" Target="media/rId204.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166" Target="https://iotta.snia.org/tracetypes/17"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166" Target="https://iotta.snia.org/tracetypes/17"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2026-10-29T03:01:30Z</dcterms:created>
  <dcterms:modified xsi:type="dcterms:W3CDTF">2026-10-29T03:01:30Z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