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3.png" ContentType="image/png"/>
  <Override PartName="/word/media/rId78.png" ContentType="image/png"/>
  <Override PartName="/word/media/rId87.png" ContentType="image/png"/>
  <Override PartName="/word/media/rId161.png" ContentType="image/png"/>
  <Override PartName="/word/media/rId57.png" ContentType="image/png"/>
  <Override PartName="/word/media/rId156.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166">
            <w:r>
              <w:t>ВВЕДЕНИЕ</w:t>
            </w:r>
          </w:hyperlink>
          <w:r>
            <w:tab/>
          </w:r>
          <w:fldSimple w:instr="PAGEREF &quot;GOSTHeading166&quot; \h" w:dirty="true">
            <w:r>
              <w:t>—</w:t>
            </w:r>
          </w:fldSimple>
        </w:p>
        <w:p>
          <w:pPr>
            <w:pStyle w:val="10"/>
          </w:pPr>
          <w:hyperlink w:anchor="GOSTHeading167">
            <w:r>
              <w:t>ЛИТЕРАТУРНЫЙ ОБЗОР</w:t>
            </w:r>
          </w:hyperlink>
          <w:r>
            <w:tab/>
          </w:r>
          <w:fldSimple w:instr="PAGEREF &quot;GOSTHeading167&quot; \h" w:dirty="true">
            <w:r>
              <w:t>—</w:t>
            </w:r>
          </w:fldSimple>
        </w:p>
        <w:p>
          <w:pPr>
            <w:pStyle w:val="10"/>
          </w:pPr>
          <w:hyperlink w:anchor="GOSTHeading168">
            <w:r>
              <w:t>1 ИССЛЕДОВАТЕЛЬСКИЙ РАЗДЕЛ</w:t>
            </w:r>
          </w:hyperlink>
          <w:r>
            <w:tab/>
          </w:r>
          <w:fldSimple w:instr="PAGEREF &quot;GOSTHeading168&quot; \h" w:dirty="true">
            <w:r>
              <w:t>—</w:t>
            </w:r>
          </w:fldSimple>
        </w:p>
        <w:p>
          <w:pPr>
            <w:pStyle w:val="22"/>
          </w:pPr>
          <w:hyperlink w:anchor="GOSTHeading169">
            <w:r>
              <w:t>1.1 Анализ предметной области</w:t>
            </w:r>
          </w:hyperlink>
          <w:r>
            <w:tab/>
          </w:r>
          <w:fldSimple w:instr="PAGEREF &quot;GOSTHeading169&quot; \h" w:dirty="true">
            <w:r>
              <w:t>—</w:t>
            </w:r>
          </w:fldSimple>
        </w:p>
        <w:p>
          <w:pPr>
            <w:pStyle w:val="31"/>
          </w:pPr>
          <w:hyperlink w:anchor="GOSTHeading170">
            <w:r>
              <w:t>1.1.1 Предметная область и участники процесса</w:t>
            </w:r>
          </w:hyperlink>
          <w:r>
            <w:tab/>
          </w:r>
          <w:fldSimple w:instr="PAGEREF &quot;GOSTHeading170&quot; \h" w:dirty="true">
            <w:r>
              <w:t>—</w:t>
            </w:r>
          </w:fldSimple>
        </w:p>
        <w:p>
          <w:pPr>
            <w:pStyle w:val="31"/>
          </w:pPr>
          <w:hyperlink w:anchor="GOSTHeading171">
            <w:r>
              <w:t>1.1.2 Объектная модель и единица размещения</w:t>
            </w:r>
          </w:hyperlink>
          <w:r>
            <w:tab/>
          </w:r>
          <w:fldSimple w:instr="PAGEREF &quot;GOSTHeading171&quot; \h" w:dirty="true">
            <w:r>
              <w:t>—</w:t>
            </w:r>
          </w:fldSimple>
        </w:p>
        <w:p>
          <w:pPr>
            <w:pStyle w:val="31"/>
          </w:pPr>
          <w:hyperlink w:anchor="GOSTHeading172">
            <w:r>
              <w:t>1.1.3 Классы хранения и характеристики ресурсов</w:t>
            </w:r>
          </w:hyperlink>
          <w:r>
            <w:tab/>
          </w:r>
          <w:fldSimple w:instr="PAGEREF &quot;GOSTHeading172&quot; \h" w:dirty="true">
            <w:r>
              <w:t>—</w:t>
            </w:r>
          </w:fldSimple>
        </w:p>
        <w:p>
          <w:pPr>
            <w:pStyle w:val="31"/>
          </w:pPr>
          <w:hyperlink w:anchor="GOSTHeading173">
            <w:r>
              <w:t>1.1.4 Востребованность и история обращений</w:t>
            </w:r>
          </w:hyperlink>
          <w:r>
            <w:tab/>
          </w:r>
          <w:fldSimple w:instr="PAGEREF &quot;GOSTHeading173&quot; \h" w:dirty="true">
            <w:r>
              <w:t>—</w:t>
            </w:r>
          </w:fldSimple>
        </w:p>
        <w:p>
          <w:pPr>
            <w:pStyle w:val="31"/>
          </w:pPr>
          <w:hyperlink w:anchor="GOSTHeading174">
            <w:r>
              <w:t>1.1.5 Способы управления размещением</w:t>
            </w:r>
          </w:hyperlink>
          <w:r>
            <w:tab/>
          </w:r>
          <w:fldSimple w:instr="PAGEREF &quot;GOSTHeading174&quot; \h" w:dirty="true">
            <w:r>
              <w:t>—</w:t>
            </w:r>
          </w:fldSimple>
        </w:p>
        <w:p>
          <w:pPr>
            <w:pStyle w:val="31"/>
          </w:pPr>
          <w:hyperlink w:anchor="GOSTHeading175">
            <w:r>
              <w:t>1.1.6 Ресурсные ограничения и затраты</w:t>
            </w:r>
          </w:hyperlink>
          <w:r>
            <w:tab/>
          </w:r>
          <w:fldSimple w:instr="PAGEREF &quot;GOSTHeading175&quot; \h" w:dirty="true">
            <w:r>
              <w:t>—</w:t>
            </w:r>
          </w:fldSimple>
        </w:p>
        <w:p>
          <w:pPr>
            <w:pStyle w:val="31"/>
          </w:pPr>
          <w:hyperlink w:anchor="GOSTHeading176">
            <w:r>
              <w:t>1.1.7 Согласованность и безопасное перемещение</w:t>
            </w:r>
          </w:hyperlink>
          <w:r>
            <w:tab/>
          </w:r>
          <w:fldSimple w:instr="PAGEREF &quot;GOSTHeading176&quot; \h" w:dirty="true">
            <w:r>
              <w:t>—</w:t>
            </w:r>
          </w:fldSimple>
        </w:p>
        <w:p>
          <w:pPr>
            <w:pStyle w:val="31"/>
          </w:pPr>
          <w:hyperlink w:anchor="GOSTHeading177">
            <w:r>
              <w:t>1.1.8 Источники данных и условия исследования</w:t>
            </w:r>
          </w:hyperlink>
          <w:r>
            <w:tab/>
          </w:r>
          <w:fldSimple w:instr="PAGEREF &quot;GOSTHeading177&quot; \h" w:dirty="true">
            <w:r>
              <w:t>—</w:t>
            </w:r>
          </w:fldSimple>
        </w:p>
        <w:p>
          <w:pPr>
            <w:pStyle w:val="22"/>
          </w:pPr>
          <w:hyperlink w:anchor="GOSTHeading178">
            <w:r>
              <w:t>1.2 Анализ существующих решений</w:t>
            </w:r>
          </w:hyperlink>
          <w:r>
            <w:tab/>
          </w:r>
          <w:fldSimple w:instr="PAGEREF &quot;GOSTHeading178&quot; \h" w:dirty="true">
            <w:r>
              <w:t>—</w:t>
            </w:r>
          </w:fldSimple>
        </w:p>
        <w:p>
          <w:pPr>
            <w:pStyle w:val="31"/>
          </w:pPr>
          <w:hyperlink w:anchor="GOSTHeading179">
            <w:r>
              <w:t>1.2.1 Анализ критериев</w:t>
            </w:r>
          </w:hyperlink>
          <w:r>
            <w:tab/>
          </w:r>
          <w:fldSimple w:instr="PAGEREF &quot;GOSTHeading179&quot; \h" w:dirty="true">
            <w:r>
              <w:t>—</w:t>
            </w:r>
          </w:fldSimple>
        </w:p>
        <w:p>
          <w:pPr>
            <w:pStyle w:val="31"/>
          </w:pPr>
          <w:hyperlink w:anchor="GOSTHeading180">
            <w:r>
              <w:t>1.2.2 Обзор аналогов</w:t>
            </w:r>
          </w:hyperlink>
          <w:r>
            <w:tab/>
          </w:r>
          <w:fldSimple w:instr="PAGEREF &quot;GOSTHeading180&quot; \h" w:dirty="true">
            <w:r>
              <w:t>—</w:t>
            </w:r>
          </w:fldSimple>
        </w:p>
        <w:p>
          <w:pPr>
            <w:pStyle w:val="31"/>
          </w:pPr>
          <w:hyperlink w:anchor="GOSTHeading181">
            <w:r>
              <w:t>1.2.3 Сопоставление аналогов</w:t>
            </w:r>
          </w:hyperlink>
          <w:r>
            <w:tab/>
          </w:r>
          <w:fldSimple w:instr="PAGEREF &quot;GOSTHeading181&quot; \h" w:dirty="true">
            <w:r>
              <w:t>—</w:t>
            </w:r>
          </w:fldSimple>
        </w:p>
        <w:p>
          <w:pPr>
            <w:pStyle w:val="22"/>
          </w:pPr>
          <w:hyperlink w:anchor="GOSTHeading182">
            <w:r>
              <w:t>1.3 Требования к разрабатываемой системе</w:t>
            </w:r>
          </w:hyperlink>
          <w:r>
            <w:tab/>
          </w:r>
          <w:fldSimple w:instr="PAGEREF &quot;GOSTHeading182&quot; \h" w:dirty="true">
            <w:r>
              <w:t>—</w:t>
            </w:r>
          </w:fldSimple>
        </w:p>
        <w:p>
          <w:pPr>
            <w:pStyle w:val="31"/>
          </w:pPr>
          <w:hyperlink w:anchor="GOSTHeading183">
            <w:r>
              <w:t>1.3.1 Назначение и границы разрабатываемого расширения</w:t>
            </w:r>
          </w:hyperlink>
          <w:r>
            <w:tab/>
          </w:r>
          <w:fldSimple w:instr="PAGEREF &quot;GOSTHeading183&quot; \h" w:dirty="true">
            <w:r>
              <w:t>—</w:t>
            </w:r>
          </w:fldSimple>
        </w:p>
        <w:p>
          <w:pPr>
            <w:pStyle w:val="31"/>
          </w:pPr>
          <w:hyperlink w:anchor="GOSTHeading184">
            <w:r>
              <w:t>1.3.2 Требования к выполняемым функциям</w:t>
            </w:r>
          </w:hyperlink>
          <w:r>
            <w:tab/>
          </w:r>
          <w:fldSimple w:instr="PAGEREF &quot;GOSTHeading184&quot; \h" w:dirty="true">
            <w:r>
              <w:t>—</w:t>
            </w:r>
          </w:fldSimple>
        </w:p>
        <w:p>
          <w:pPr>
            <w:pStyle w:val="31"/>
          </w:pPr>
          <w:hyperlink w:anchor="GOSTHeading185">
            <w:r>
              <w:t>1.3.3 Требования к надёжности и сохранности данных</w:t>
            </w:r>
          </w:hyperlink>
          <w:r>
            <w:tab/>
          </w:r>
          <w:fldSimple w:instr="PAGEREF &quot;GOSTHeading185&quot; \h" w:dirty="true">
            <w:r>
              <w:t>—</w:t>
            </w:r>
          </w:fldSimple>
        </w:p>
        <w:p>
          <w:pPr>
            <w:pStyle w:val="31"/>
          </w:pPr>
          <w:hyperlink w:anchor="GOSTHeading186">
            <w:r>
              <w:t>1.3.4 Требования к доступу и интерфейсу администратора</w:t>
            </w:r>
          </w:hyperlink>
          <w:r>
            <w:tab/>
          </w:r>
          <w:fldSimple w:instr="PAGEREF &quot;GOSTHeading186&quot; \h" w:dirty="true">
            <w:r>
              <w:t>—</w:t>
            </w:r>
          </w:fldSimple>
        </w:p>
        <w:p>
          <w:pPr>
            <w:pStyle w:val="31"/>
          </w:pPr>
          <w:hyperlink w:anchor="GOSTHeading187">
            <w:r>
              <w:t>1.3.5 Требования к ресурсам, совместимости и контролю выполнения</w:t>
            </w:r>
          </w:hyperlink>
          <w:r>
            <w:tab/>
          </w:r>
          <w:fldSimple w:instr="PAGEREF &quot;GOSTHeading187&quot; \h" w:dirty="true">
            <w:r>
              <w:t>—</w:t>
            </w:r>
          </w:fldSimple>
        </w:p>
        <w:p>
          <w:pPr>
            <w:pStyle w:val="31"/>
          </w:pPr>
          <w:hyperlink w:anchor="GOSTHeading188">
            <w:r>
              <w:t>1.3.6 Требования к жизненному циклу модели</w:t>
            </w:r>
          </w:hyperlink>
          <w:r>
            <w:tab/>
          </w:r>
          <w:fldSimple w:instr="PAGEREF &quot;GOSTHeading188&quot; \h" w:dirty="true">
            <w:r>
              <w:t>—</w:t>
            </w:r>
          </w:fldSimple>
        </w:p>
        <w:p>
          <w:pPr>
            <w:pStyle w:val="31"/>
          </w:pPr>
          <w:hyperlink w:anchor="GOSTHeading189">
            <w:r>
              <w:t>1.3.7 Требования к проверке эффективности и минимальному результату</w:t>
            </w:r>
          </w:hyperlink>
          <w:r>
            <w:tab/>
          </w:r>
          <w:fldSimple w:instr="PAGEREF &quot;GOSTHeading189&quot; \h" w:dirty="true">
            <w:r>
              <w:t>—</w:t>
            </w:r>
          </w:fldSimple>
        </w:p>
        <w:p>
          <w:pPr>
            <w:pStyle w:val="22"/>
          </w:pPr>
          <w:hyperlink w:anchor="GOSTHeading190">
            <w:r>
              <w:t>1.4 Выводы по исследовательскому разделу</w:t>
            </w:r>
          </w:hyperlink>
          <w:r>
            <w:tab/>
          </w:r>
          <w:fldSimple w:instr="PAGEREF &quot;GOSTHeading190&quot; \h" w:dirty="true">
            <w:r>
              <w:t>—</w:t>
            </w:r>
          </w:fldSimple>
        </w:p>
        <w:p>
          <w:pPr>
            <w:pStyle w:val="10"/>
          </w:pPr>
          <w:hyperlink w:anchor="GOSTHeading191">
            <w:r>
              <w:t>2 АНАЛИТИЧЕСКИЙ РАЗДЕЛ</w:t>
            </w:r>
          </w:hyperlink>
          <w:r>
            <w:tab/>
          </w:r>
          <w:fldSimple w:instr="PAGEREF &quot;GOSTHeading191&quot; \h" w:dirty="true">
            <w:r>
              <w:t>—</w:t>
            </w:r>
          </w:fldSimple>
        </w:p>
        <w:p>
          <w:pPr>
            <w:pStyle w:val="22"/>
          </w:pPr>
          <w:hyperlink w:anchor="GOSTHeading192">
            <w:r>
              <w:t>2.1 Математическое и алгоритмическое обеспечение</w:t>
            </w:r>
          </w:hyperlink>
          <w:r>
            <w:tab/>
          </w:r>
          <w:fldSimple w:instr="PAGEREF &quot;GOSTHeading192&quot; \h" w:dirty="true">
            <w:r>
              <w:t>—</w:t>
            </w:r>
          </w:fldSimple>
        </w:p>
        <w:p>
          <w:pPr>
            <w:pStyle w:val="31"/>
          </w:pPr>
          <w:hyperlink w:anchor="GOSTHeading193">
            <w:r>
              <w:t>2.1.1 Постановка задачи размещения</w:t>
            </w:r>
          </w:hyperlink>
          <w:r>
            <w:tab/>
          </w:r>
          <w:fldSimple w:instr="PAGEREF &quot;GOSTHeading193&quot; \h" w:dirty="true">
            <w:r>
              <w:t>—</w:t>
            </w:r>
          </w:fldSimple>
        </w:p>
        <w:p>
          <w:pPr>
            <w:pStyle w:val="31"/>
          </w:pPr>
          <w:hyperlink w:anchor="GOSTHeading194">
            <w:r>
              <w:t>2.1.2 Модель прогнозирования востребованности</w:t>
            </w:r>
          </w:hyperlink>
          <w:r>
            <w:tab/>
          </w:r>
          <w:fldSimple w:instr="PAGEREF &quot;GOSTHeading194&quot; \h" w:dirty="true">
            <w:r>
              <w:t>—</w:t>
            </w:r>
          </w:fldSimple>
        </w:p>
        <w:p>
          <w:pPr>
            <w:pStyle w:val="31"/>
          </w:pPr>
          <w:hyperlink w:anchor="GOSTHeading195">
            <w:r>
              <w:t>2.1.3 Обработка данных и формирование обучающих примеров</w:t>
            </w:r>
          </w:hyperlink>
          <w:r>
            <w:tab/>
          </w:r>
          <w:fldSimple w:instr="PAGEREF &quot;GOSTHeading195&quot; \h" w:dirty="true">
            <w:r>
              <w:t>—</w:t>
            </w:r>
          </w:fldSimple>
        </w:p>
        <w:p>
          <w:pPr>
            <w:pStyle w:val="31"/>
          </w:pPr>
          <w:hyperlink w:anchor="GOSTHeading196">
            <w:r>
              <w:t>2.1.4 Обучение, проверка и ввод модели в работу</w:t>
            </w:r>
          </w:hyperlink>
          <w:r>
            <w:tab/>
          </w:r>
          <w:fldSimple w:instr="PAGEREF &quot;GOSTHeading196&quot; \h" w:dirty="true">
            <w:r>
              <w:t>—</w:t>
            </w:r>
          </w:fldSimple>
        </w:p>
        <w:p>
          <w:pPr>
            <w:pStyle w:val="31"/>
          </w:pPr>
          <w:hyperlink w:anchor="GOSTHeading197">
            <w:r>
              <w:t>2.1.5 Алгоритм формирования плана размещения</w:t>
            </w:r>
          </w:hyperlink>
          <w:r>
            <w:tab/>
          </w:r>
          <w:fldSimple w:instr="PAGEREF &quot;GOSTHeading197&quot; \h" w:dirty="true">
            <w:r>
              <w:t>—</w:t>
            </w:r>
          </w:fldSimple>
        </w:p>
        <w:p>
          <w:pPr>
            <w:pStyle w:val="31"/>
          </w:pPr>
          <w:hyperlink w:anchor="GOSTHeading198">
            <w:r>
              <w:t>2.1.6 Объяснение рекомендаций</w:t>
            </w:r>
          </w:hyperlink>
          <w:r>
            <w:tab/>
          </w:r>
          <w:fldSimple w:instr="PAGEREF &quot;GOSTHeading198&quot; \h" w:dirty="true">
            <w:r>
              <w:t>—</w:t>
            </w:r>
          </w:fldSimple>
        </w:p>
        <w:p>
          <w:pPr>
            <w:pStyle w:val="31"/>
          </w:pPr>
          <w:hyperlink w:anchor="GOSTHeading199">
            <w:r>
              <w:t>2.1.7 Протокол безопасного переноса</w:t>
            </w:r>
          </w:hyperlink>
          <w:r>
            <w:tab/>
          </w:r>
          <w:fldSimple w:instr="PAGEREF &quot;GOSTHeading199&quot; \h" w:dirty="true">
            <w:r>
              <w:t>—</w:t>
            </w:r>
          </w:fldSimple>
        </w:p>
        <w:p>
          <w:pPr>
            <w:pStyle w:val="22"/>
          </w:pPr>
          <w:hyperlink w:anchor="GOSTHeading200">
            <w:r>
              <w:t>2.2 Модели процессов</w:t>
            </w:r>
          </w:hyperlink>
          <w:r>
            <w:tab/>
          </w:r>
          <w:fldSimple w:instr="PAGEREF &quot;GOSTHeading200&quot; \h" w:dirty="true">
            <w:r>
              <w:t>—</w:t>
            </w:r>
          </w:fldSimple>
        </w:p>
        <w:p>
          <w:pPr>
            <w:pStyle w:val="31"/>
          </w:pPr>
          <w:hyperlink w:anchor="GOSTHeading201">
            <w:r>
              <w:t>2.2.1 Исходный процесс управления размещением</w:t>
            </w:r>
          </w:hyperlink>
          <w:r>
            <w:tab/>
          </w:r>
          <w:fldSimple w:instr="PAGEREF &quot;GOSTHeading201&quot; \h" w:dirty="true">
            <w:r>
              <w:t>—</w:t>
            </w:r>
          </w:fldSimple>
        </w:p>
        <w:p>
          <w:pPr>
            <w:pStyle w:val="31"/>
          </w:pPr>
          <w:hyperlink w:anchor="GOSTHeading202">
            <w:r>
              <w:t>2.2.2 Проектируемый процесс</w:t>
            </w:r>
          </w:hyperlink>
          <w:r>
            <w:tab/>
          </w:r>
          <w:fldSimple w:instr="PAGEREF &quot;GOSTHeading202&quot; \h" w:dirty="true">
            <w:r>
              <w:t>—</w:t>
            </w:r>
          </w:fldSimple>
        </w:p>
        <w:p>
          <w:pPr>
            <w:pStyle w:val="31"/>
          </w:pPr>
          <w:hyperlink w:anchor="GOSTHeading203">
            <w:r>
              <w:t>2.2.3 Сравнение процессов</w:t>
            </w:r>
          </w:hyperlink>
          <w:r>
            <w:tab/>
          </w:r>
          <w:fldSimple w:instr="PAGEREF &quot;GOSTHeading203&quot; \h" w:dirty="true">
            <w:r>
              <w:t>—</w:t>
            </w:r>
          </w:fldSimple>
        </w:p>
        <w:p>
          <w:pPr>
            <w:pStyle w:val="22"/>
          </w:pPr>
          <w:hyperlink w:anchor="GOSTHeading204">
            <w:r>
              <w:t>2.3 Архитектура системы</w:t>
            </w:r>
          </w:hyperlink>
          <w:r>
            <w:tab/>
          </w:r>
          <w:fldSimple w:instr="PAGEREF &quot;GOSTHeading204&quot; \h" w:dirty="true">
            <w:r>
              <w:t>—</w:t>
            </w:r>
          </w:fldSimple>
        </w:p>
        <w:p>
          <w:pPr>
            <w:pStyle w:val="31"/>
          </w:pPr>
          <w:hyperlink w:anchor="GOSTHeading205">
            <w:r>
              <w:t>2.3.1 Изменения компонентов OpenS3</w:t>
            </w:r>
          </w:hyperlink>
          <w:r>
            <w:tab/>
          </w:r>
          <w:fldSimple w:instr="PAGEREF &quot;GOSTHeading205&quot; \h" w:dirty="true">
            <w:r>
              <w:t>—</w:t>
            </w:r>
          </w:fldSimple>
        </w:p>
        <w:p>
          <w:pPr>
            <w:pStyle w:val="31"/>
          </w:pPr>
          <w:hyperlink w:anchor="GOSTHeading206">
            <w:r>
              <w:t>2.3.2 Компонентная модель</w:t>
            </w:r>
          </w:hyperlink>
          <w:r>
            <w:tab/>
          </w:r>
          <w:fldSimple w:instr="PAGEREF &quot;GOSTHeading206&quot; \h" w:dirty="true">
            <w:r>
              <w:t>—</w:t>
            </w:r>
          </w:fldSimple>
        </w:p>
        <w:p>
          <w:pPr>
            <w:pStyle w:val="31"/>
          </w:pPr>
          <w:hyperlink w:anchor="GOSTHeading207">
            <w:r>
              <w:t>2.3.3 Модель данных</w:t>
            </w:r>
          </w:hyperlink>
          <w:r>
            <w:tab/>
          </w:r>
          <w:fldSimple w:instr="PAGEREF &quot;GOSTHeading207&quot; \h" w:dirty="true">
            <w:r>
              <w:t>—</w:t>
            </w:r>
          </w:fldSimple>
        </w:p>
        <w:p>
          <w:pPr>
            <w:pStyle w:val="31"/>
          </w:pPr>
          <w:hyperlink w:anchor="GOSTHeading208">
            <w:r>
              <w:t>2.3.4 Анализ архитектуры</w:t>
            </w:r>
          </w:hyperlink>
          <w:r>
            <w:tab/>
          </w:r>
          <w:fldSimple w:instr="PAGEREF &quot;GOSTHeading208&quot; \h" w:dirty="true">
            <w:r>
              <w:t>—</w:t>
            </w:r>
          </w:fldSimple>
        </w:p>
        <w:p>
          <w:pPr>
            <w:pStyle w:val="31"/>
          </w:pPr>
          <w:hyperlink w:anchor="GOSTHeading209">
            <w:r>
              <w:t>2.3.5 Соответствие требованиям</w:t>
            </w:r>
          </w:hyperlink>
          <w:r>
            <w:tab/>
          </w:r>
          <w:fldSimple w:instr="PAGEREF &quot;GOSTHeading209&quot; \h" w:dirty="true">
            <w:r>
              <w:t>—</w:t>
            </w:r>
          </w:fldSimple>
        </w:p>
        <w:p>
          <w:pPr>
            <w:pStyle w:val="22"/>
          </w:pPr>
          <w:hyperlink w:anchor="GOSTHeading210">
            <w:r>
              <w:t>2.4 Обоснование инструментов реализации</w:t>
            </w:r>
          </w:hyperlink>
          <w:r>
            <w:tab/>
          </w:r>
          <w:fldSimple w:instr="PAGEREF &quot;GOSTHeading210&quot; \h" w:dirty="true">
            <w:r>
              <w:t>—</w:t>
            </w:r>
          </w:fldSimple>
        </w:p>
        <w:p>
          <w:pPr>
            <w:pStyle w:val="22"/>
          </w:pPr>
          <w:hyperlink w:anchor="GOSTHeading211">
            <w:r>
              <w:t>2.5 Выводы по аналитическому разделу</w:t>
            </w:r>
          </w:hyperlink>
          <w:r>
            <w:tab/>
          </w:r>
          <w:fldSimple w:instr="PAGEREF &quot;GOSTHeading211&quot; \h" w:dirty="true">
            <w:r>
              <w:t>—</w:t>
            </w:r>
          </w:fldSimple>
        </w:p>
        <w:p>
          <w:pPr>
            <w:pStyle w:val="10"/>
          </w:pPr>
          <w:hyperlink w:anchor="GOSTHeading212">
            <w:r>
              <w:t>СПИСОК ИСПОЛЬЗОВАННЫХ ИСТОЧНИКОВ</w:t>
            </w:r>
          </w:hyperlink>
          <w:r>
            <w:tab/>
          </w:r>
          <w:fldSimple w:instr="PAGEREF &quot;GOSTHeading212&quot; \h" w:dirty="true">
            <w:r>
              <w:t>—</w:t>
            </w:r>
          </w:fldSimple>
        </w:p>
        <w:p>
          <w:pPr>
            <w:pStyle w:val="10"/>
          </w:pPr>
          <w:hyperlink w:anchor="GOSTHeading213">
            <w:r>
              <w:t>ПРИЛОЖЕНИЯ</w:t>
            </w:r>
          </w:hyperlink>
          <w:r>
            <w:tab/>
          </w:r>
          <w:fldSimple w:instr="PAGEREF &quot;GOSTHeading213&quot; \h" w:dirty="true">
            <w:r>
              <w:t>—</w:t>
            </w:r>
          </w:fldSimple>
        </w:p>
        <w:p>
          <w:pPr>
            <w:pStyle w:val="10"/>
          </w:pPr>
          <w:hyperlink w:anchor="GOSTHeading214">
            <w:r>
              <w:t>Приложение А</w:t>
            </w:r>
          </w:hyperlink>
          <w:r>
            <w:tab/>
          </w:r>
          <w:fldSimple w:instr="PAGEREF &quot;GOSTHeading214&quot; \h" w:dirty="true">
            <w:r>
              <w:t>—</w:t>
            </w:r>
          </w:fldSimple>
        </w:p>
        <w:p>
          <w:pPr>
            <w:pStyle w:val="10"/>
          </w:pPr>
          <w:hyperlink w:anchor="GOSTHeading215">
            <w:r>
              <w:t>Приложение Б</w:t>
            </w:r>
          </w:hyperlink>
          <w:r>
            <w:tab/>
          </w:r>
          <w:fldSimple w:instr="PAGEREF &quot;GOSTHeading215&quot; \h" w:dirty="true">
            <w:r>
              <w:t>—</w:t>
            </w:r>
          </w:fldSimple>
        </w:p>
        <w:p>
          <w:pPr>
            <w:spacing w:before="0" w:after="0" w:line="1" w:lineRule="exact"/>
          </w:pPr>
          <w:r>
            <w:fldChar w:fldCharType="end"/>
          </w:r>
        </w:p>
      </w:sdtContent>
    </w:sdt>
    <w:bookmarkStart w:id="25" w:name="введение"/>
    <w:p>
      <w:pPr>
        <w:pStyle w:val="GOSTStructuralHeading"/>
      </w:pPr>
      <w:bookmarkStart w:id="166" w:name="GOSTHeading166"/>
      <w:r>
        <w:t xml:space="preserve">ВВЕДЕНИЕ</w:t>
      </w:r>
      <w:bookmarkEnd w:id="166"/>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давность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167" w:name="GOSTHeading167"/>
      <w:r>
        <w:t xml:space="preserve">ЛИТЕРАТУРНЫЙ ОБЗОР</w:t>
      </w:r>
      <w:bookmarkEnd w:id="167"/>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классами Cold, Warm и Hot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168" w:name="GOSTHeading168"/>
      <w:r>
        <w:t xml:space="preserve">1 ИССЛЕДОВАТЕЛЬСКИЙ РАЗДЕЛ</w:t>
      </w:r>
      <w:bookmarkEnd w:id="168"/>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169" w:name="GOSTHeading169"/>
      <w:r>
        <w:t xml:space="preserve">1.1 Анализ предметной области</w:t>
      </w:r>
      <w:bookmarkEnd w:id="169"/>
    </w:p>
    <w:bookmarkStart w:id="27" w:name="предметная-область-и-участники-процесса"/>
    <w:p>
      <w:pPr>
        <w:pStyle w:val="30"/>
      </w:pPr>
      <w:bookmarkStart w:id="170" w:name="GOSTHeading170"/>
      <w:r>
        <w:t xml:space="preserve">1.1.1 Предметная область и участники процесса</w:t>
      </w:r>
      <w:bookmarkEnd w:id="170"/>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171" w:name="GOSTHeading171"/>
      <w:r>
        <w:t xml:space="preserve">1.1.2 Объектная модель и единица размещения</w:t>
      </w:r>
      <w:bookmarkEnd w:id="171"/>
    </w:p>
    <w:p>
      <w:pPr>
        <w:pStyle w:val="FirstParagraph"/>
      </w:pPr>
      <w:r>
        <w:t xml:space="preserve">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172" w:name="GOSTHeading172"/>
      <w:r>
        <w:t xml:space="preserve">1.1.3 Классы хранения и характеристики ресурсов</w:t>
      </w:r>
      <w:bookmarkEnd w:id="172"/>
    </w:p>
    <w:p>
      <w:pPr>
        <w:pStyle w:val="FirstParagraph"/>
      </w:pPr>
      <w:r>
        <w:t xml:space="preserve">Класс хранения объединяет ресурсы с заданными ёмкостью, производительностью и условиями доступа. В работе быстрый HOT предназначен для востребованных объектов, а более медленный и ёмкий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173" w:name="GOSTHeading173"/>
      <w:r>
        <w:t xml:space="preserve">1.1.4 Востребованность и история обращений</w:t>
      </w:r>
      <w:bookmarkEnd w:id="173"/>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давность,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174" w:name="GOSTHeading174"/>
      <w:r>
        <w:t xml:space="preserve">1.1.5 Способы управления размещением</w:t>
      </w:r>
      <w:bookmarkEnd w:id="174"/>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принцип давности (англ. Least Recently Used, далее LRU), частоты (англ. Least Frequently Used, далее LFU) или экспоненциально взвешенное скользящее среднее (англ. Exponentially Weighted Moving Average, далее EWMA).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175" w:name="GOSTHeading175"/>
      <w:r>
        <w:t xml:space="preserve">1.1.6 Ресурсные ограничения и затраты</w:t>
      </w:r>
      <w:bookmarkEnd w:id="175"/>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176" w:name="GOSTHeading176"/>
      <w:r>
        <w:t xml:space="preserve">1.1.7 Согласованность и безопасное перемещение</w:t>
      </w:r>
      <w:bookmarkEnd w:id="176"/>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177" w:name="GOSTHeading177"/>
      <w:r>
        <w:t xml:space="preserve">1.1.8 Источники данных и условия исследования</w:t>
      </w:r>
      <w:bookmarkEnd w:id="177"/>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2610"/>
        <w:gridCol w:w="3077"/>
        <w:gridCol w:w="3951"/>
      </w:tblGrid>
      <w:tr>
        <w:trPr>
          <w:tblHeader w:val="on"/>
          <w:cantSplit/>
        </w:trPr>
        <w:tc>
          <w:tcPr>
            <w:tcW w:w="261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307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95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[19], [20]</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178" w:name="GOSTHeading178"/>
      <w:r>
        <w:t xml:space="preserve">1.2 Анализ существующих решений</w:t>
      </w:r>
      <w:bookmarkEnd w:id="178"/>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179" w:name="GOSTHeading179"/>
      <w:r>
        <w:t xml:space="preserve">1.2.1 Анализ критериев</w:t>
      </w:r>
      <w:bookmarkEnd w:id="179"/>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180" w:name="GOSTHeading180"/>
      <w:r>
        <w:t xml:space="preserve">1.2.2 Обзор аналогов</w:t>
      </w:r>
      <w:bookmarkEnd w:id="180"/>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181" w:name="GOSTHeading181"/>
      <w:r>
        <w:t xml:space="preserve">1.2.3 Сопоставление аналогов</w:t>
      </w:r>
      <w:bookmarkEnd w:id="181"/>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давность доступа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182" w:name="GOSTHeading182"/>
      <w:r>
        <w:t xml:space="preserve">1.3 Требования к разрабатываемой системе</w:t>
      </w:r>
      <w:bookmarkEnd w:id="182"/>
    </w:p>
    <w:p>
      <w:pPr>
        <w:pStyle w:val="FirstParagraph"/>
      </w:pPr>
      <w:r>
        <w:t xml:space="preserve">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bookmarkStart w:id="43" w:name="X8598c0664c0a28e1ff66ecf15bcb872afa60c4f"/>
    <w:p>
      <w:pPr>
        <w:pStyle w:val="30"/>
      </w:pPr>
      <w:bookmarkStart w:id="183" w:name="GOSTHeading183"/>
      <w:r>
        <w:t xml:space="preserve">1.3.1 Назначение и границы разрабатываемого расширения</w:t>
      </w:r>
      <w:bookmarkEnd w:id="183"/>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184" w:name="GOSTHeading184"/>
      <w:r>
        <w:t xml:space="preserve">1.3.2 Требования к выполняемым функциям</w:t>
      </w:r>
      <w:bookmarkEnd w:id="184"/>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185" w:name="GOSTHeading185"/>
      <w:r>
        <w:t xml:space="preserve">1.3.3 Требования к надёжности и сохранности данных</w:t>
      </w:r>
      <w:bookmarkEnd w:id="185"/>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186" w:name="GOSTHeading186"/>
      <w:r>
        <w:t xml:space="preserve">1.3.4 Требования к доступу и интерфейсу администратора</w:t>
      </w:r>
      <w:bookmarkEnd w:id="186"/>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187" w:name="GOSTHeading187"/>
      <w:r>
        <w:t xml:space="preserve">1.3.5 Требования к ресурсам, совместимости и контролю выполнения</w:t>
      </w:r>
      <w:bookmarkEnd w:id="187"/>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69"/>
        <w:gridCol w:w="6969"/>
      </w:tblGrid>
      <w:tr>
        <w:trPr>
          <w:tblHeader w:val="on"/>
          <w:cantSplit/>
        </w:trPr>
        <w:tc>
          <w:tcPr>
            <w:tcW w:w="2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696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188" w:name="GOSTHeading188"/>
      <w:r>
        <w:t xml:space="preserve">1.3.6 Требования к жизненному циклу модели</w:t>
      </w:r>
      <w:bookmarkEnd w:id="188"/>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189" w:name="GOSTHeading189"/>
      <w:r>
        <w:t xml:space="preserve">1.3.7 Требования к проверке эффективности и минимальному результату</w:t>
      </w:r>
      <w:bookmarkEnd w:id="189"/>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давности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190" w:name="GOSTHeading190"/>
      <w:r>
        <w:t xml:space="preserve">1.4 Выводы по исследовательскому разделу</w:t>
      </w:r>
      <w:bookmarkEnd w:id="190"/>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0" w:name="аналитический-раздел"/>
    <w:p>
      <w:pPr>
        <w:pStyle w:val="1"/>
      </w:pPr>
      <w:bookmarkStart w:id="191" w:name="GOSTHeading191"/>
      <w:r>
        <w:t xml:space="preserve">2 АНАЛИТИЧЕСКИЙ РАЗДЕЛ</w:t>
      </w:r>
      <w:bookmarkEnd w:id="191"/>
    </w:p>
    <w:p>
      <w:pPr>
        <w:pStyle w:val="FirstParagraph"/>
      </w:pPr>
      <w:r>
        <w:t xml:space="preserve">Проектируемая СППР связывает прогноз клиентского спроса с планом размещения. Применение плана требует решения администратора и безопасного изменения расположения версий.</w:t>
      </w:r>
    </w:p>
    <w:bookmarkStart w:id="72" w:name="X84bd9294f1307ff8601e5cfa6da9c74af29fe47"/>
    <w:p>
      <w:pPr>
        <w:pStyle w:val="21"/>
      </w:pPr>
      <w:bookmarkStart w:id="192" w:name="GOSTHeading192"/>
      <w:r>
        <w:t xml:space="preserve">2.1 Математическое и алгоритмическое обеспечение</w:t>
      </w:r>
      <w:bookmarkEnd w:id="192"/>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193" w:name="GOSTHeading193"/>
      <w:r>
        <w:t xml:space="preserve">2.1.1 Постановка задачи размещения</w:t>
      </w:r>
      <w:bookmarkEnd w:id="193"/>
    </w:p>
    <w:p>
      <w:pPr>
        <w:pStyle w:val="FirstParagraph"/>
      </w:pPr>
      <w:r>
        <w:t xml:space="preserve">В каждом цикле планирования для текущей версии каждого объекта выбирается класс хранения HOT или COLD так, чтобы уменьшить ожидаемую суммарную задержку клиентских чтений за горизонт прогноза. На входе задачи прогноз спроса и состояние каталога Metadata,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функциональное требование F-05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3851"/>
        <w:gridCol w:w="1270"/>
        <w:gridCol w:w="2676"/>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3851"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c>
          <w:tcPr>
            <w:tcW w:w="1270" w:type="dxa"/>
          </w:tcPr>
          <w:p>
            <w:pPr>
              <w:pStyle w:val="Compact"/>
              <w:keepNext w:val="0"/>
              <w:pageBreakBefore w:val="0"/>
              <w:suppressAutoHyphens w:val="1"/>
              <w:spacing w:before="0" w:after="0" w:line="240" w:lineRule="auto"/>
              <w:ind w:firstLine="0" w:left="0" w:right="0"/>
              <w:jc w:val="center"/>
            </w:pPr>
            <w:r>
              <w:rPr>
                <w:b w:val="1"/>
                <w:sz w:val="24"/>
                <w:szCs w:val="24"/>
              </w:rPr>
              <w:t xml:space="preserve">Единица</w:t>
            </w:r>
          </w:p>
        </w:tc>
        <w:tc>
          <w:tcPr>
            <w:tcW w:w="2676" w:type="dxa"/>
          </w:tcPr>
          <w:p>
            <w:pPr>
              <w:pStyle w:val="Compact"/>
              <w:keepNext w:val="0"/>
              <w:pageBreakBefore w:val="0"/>
              <w:suppressAutoHyphens w:val="1"/>
              <w:spacing w:before="0" w:after="0" w:line="240" w:lineRule="auto"/>
              <w:ind w:firstLine="0" w:left="0" w:right="0"/>
              <w:jc w:val="center"/>
            </w:pPr>
            <w:r>
              <w:rPr>
                <w:b w:val="1"/>
                <w:sz w:val="24"/>
                <w:szCs w:val="24"/>
              </w:rPr>
              <w:t xml:space="preserve">Откуда значение</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время</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Расписание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Metadata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Metadata</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Metadata</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МиБ</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Metadata</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Metadata</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Решение алгоритма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время</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Подбирается на данных настройки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Вычисляется по формуле (2.14)</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Вычисляется по формуле (2.10)</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1 при полном чтении</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Вычисляется по истории обращений</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МиБ</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Вычисляется по</w:t>
            </w:r>
            <w:r>
              <w:rPr>
                <w:sz w:val="24"/>
                <w:szCs w:val="24"/>
              </w:rPr>
              <w:t xml:space="preserve"> </w:t>
            </w:r>
            <m:oMath>
              <m:sSub>
                <m:e>
                  <m:acc>
                    <m:accPr>
                      <m:chr m:val="̂"/>
                    </m:accPr>
                    <m:e>
                      <m:r>
                        <m:t>N</m:t>
                      </m:r>
                    </m:e>
                  </m:acc>
                </m:e>
                <m:sub>
                  <m:r>
                    <m:t>i</m:t>
                  </m:r>
                </m:sub>
              </m:sSub>
            </m:oMath>
            <w:r>
              <w:rPr>
                <w:sz w:val="24"/>
                <w:szCs w:val="24"/>
              </w:rPr>
              <w:t xml:space="preserve">,</w:t>
            </w:r>
            <w:r>
              <w:rPr>
                <w:sz w:val="24"/>
                <w:szCs w:val="24"/>
              </w:rPr>
              <w:t xml:space="preserve"> </w:t>
            </w:r>
            <m:oMath>
              <m:sSub>
                <m:e>
                  <m:r>
                    <m:t>r</m:t>
                  </m:r>
                </m:e>
                <m:sub>
                  <m:r>
                    <m:t>i</m:t>
                  </m:r>
                </m:sub>
              </m:sSub>
            </m:oMath>
            <w:r>
              <w:rPr>
                <w:sz w:val="24"/>
                <w:szCs w:val="24"/>
              </w:rPr>
              <w:t xml:space="preserve"> </w:t>
            </w:r>
            <w:r>
              <w:rPr>
                <w:sz w:val="24"/>
                <w:szCs w:val="24"/>
              </w:rPr>
              <w:t xml:space="preserve">и</w:t>
            </w:r>
            <w:r>
              <w:rPr>
                <w:sz w:val="24"/>
                <w:szCs w:val="24"/>
              </w:rPr>
              <w:t xml:space="preserve"> </w:t>
            </w:r>
            <m:oMath>
              <m:sSub>
                <m:e>
                  <m:r>
                    <m:t>s</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мс</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Измеряется на стенде</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МиБ/мс</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Измеряется на стенде</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МиБ</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Metadata</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Администратор</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МиБ</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Metadata</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МиБ</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Metadata</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МиБ</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Бюджет задаёт администратор, остаток вычисляется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мс/МиБ</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Подбирается на данных настройки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3851"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мс</w:t>
            </w:r>
          </w:p>
        </w:tc>
        <w:tc>
          <w:tcPr>
            <w:tcW w:w="2676" w:type="dxa"/>
          </w:tcPr>
          <w:p>
            <w:pPr>
              <w:pStyle w:val="Compact"/>
              <w:keepNext w:val="0"/>
              <w:pageBreakBefore w:val="0"/>
              <w:suppressAutoHyphens w:val="1"/>
              <w:spacing w:before="0" w:after="0" w:line="240" w:lineRule="auto"/>
              <w:ind w:firstLine="0" w:left="0" w:right="0"/>
              <w:jc w:val="both"/>
            </w:pPr>
            <w:r>
              <w:rPr>
                <w:sz w:val="24"/>
                <w:szCs w:val="24"/>
              </w:rPr>
              <w:t xml:space="preserve">Подбирается на данных настройки</w:t>
            </w:r>
          </w:p>
        </w:tc>
      </w:tr>
    </w:tbl>
    <w:bookmarkEnd w:id="55"/>
    <w:p>
      <w:pPr>
        <w:pStyle w:val="a2"/>
        <w:spacing w:before="120"/>
      </w:pPr>
      <w:r>
        <w:t xml:space="preserve">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194" w:name="GOSTHeading194"/>
      <w:r>
        <w:t xml:space="preserve">2.1.2 Модель прогнозирования востребованности</w:t>
      </w:r>
      <w:bookmarkEnd w:id="194"/>
    </w:p>
    <w:p>
      <w:pPr>
        <w:pStyle w:val="FirstParagraph"/>
        <w:keepNext w:val="1"/>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показанная на Рисунке 2.1: классификатор оценивает вероятность спроса</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а их произведение даёт</w:t>
      </w:r>
      <w:r>
        <w:t xml:space="preserve"> </w:t>
      </w:r>
      <m:oMath>
        <m:sSub>
          <m:e>
            <m:acc>
              <m:accPr>
                <m:chr m:val="̂"/>
              </m:accPr>
              <m:e>
                <m:r>
                  <m:t>N</m:t>
                </m:r>
              </m:e>
            </m:acc>
          </m:e>
          <m:sub>
            <m:r>
              <m:t>i</m:t>
            </m:r>
          </m:sub>
        </m:sSub>
      </m:oMath>
      <w:r>
        <w:t xml:space="preserve">.</w:t>
      </w:r>
    </w:p>
    <w:bookmarkStart w:id="60" w:name="gost-fig:forecast_model"/>
    <w:p>
      <w:pPr>
        <w:pStyle w:val="CaptionedFigure"/>
        <w:keepNext w:val="1"/>
      </w:pPr>
      <w:r>
        <w:drawing>
          <wp:inline>
            <wp:extent cx="5039999" cy="3671674"/>
            <wp:effectExtent b="0" l="0" r="0" t="0"/>
            <wp:docPr descr="Схема модели прогнозирования востребованности"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039999" cy="3671674"/>
                    </a:xfrm>
                    <a:prstGeom prst="rect">
                      <a:avLst/>
                    </a:prstGeom>
                    <a:noFill/>
                    <a:ln w="9525">
                      <a:noFill/>
                      <a:headEnd/>
                      <a:tailEnd/>
                    </a:ln>
                  </pic:spPr>
                </pic:pic>
              </a:graphicData>
            </a:graphic>
          </wp:inline>
        </w:drawing>
      </w:r>
    </w:p>
    <w:p>
      <w:pPr>
        <w:pStyle w:val="ImageCaption"/>
      </w:pPr>
      <w:r>
        <w:t xml:space="preserve">Рисунок 2.1 — Схема модели прогнозирования востребованности</w:t>
      </w:r>
    </w:p>
    <w:bookmarkEnd w:id="60"/>
    <w:p>
      <w:pPr>
        <w:pStyle w:val="a2"/>
      </w:pPr>
      <w:r>
        <w:t xml:space="preserve">Пунктиром на схеме показаны базовые оценки, которые выдают прогноз через тот же интерфейс, что и модель, и приводятся к числу чтений за</w:t>
      </w:r>
      <w:r>
        <w:t xml:space="preserve"> </w:t>
      </w:r>
      <m:oMath>
        <m:r>
          <m:t>H</m:t>
        </m:r>
      </m:oMath>
      <w:r>
        <w:t xml:space="preserve">: EWMA и частота пересчётом, давность и возраст — монотонной функцией, подобранной на данных настройки. EWMA служит также базовой политикой из функционального требования F-12.</w:t>
      </w:r>
    </w:p>
    <w:p>
      <w:pPr>
        <w:pStyle w:val="a2"/>
      </w:pPr>
      <w:r>
        <w:t xml:space="preserve">Обе части модели строятся градиентным бустингом деревьев решений (англ. Gradient Boosting Decision Tree, далее GBDT) [31], в котором модель представляется суммой деревьев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F</m:t>
        </m:r>
        <m:r>
          <m:rPr>
            <m:sty m:val="p"/>
          </m:rPr>
          <m:t>(</m:t>
        </m:r>
        <m:r>
          <m:t>x</m:t>
        </m:r>
        <m:r>
          <m:rPr>
            <m:sty m:val="p"/>
          </m:rPr>
          <m:t>)</m:t>
        </m:r>
        <m:r>
          <m:rPr>
            <m:sty m:val="p"/>
          </m:rPr>
          <m:t>=</m:t>
        </m:r>
        <m:sSub>
          <m:e>
            <m:r>
              <m:t>F</m:t>
            </m:r>
          </m:e>
          <m:sub>
            <m:r>
              <m:t>0</m:t>
            </m:r>
          </m:sub>
        </m:sSub>
        <m:r>
          <m:rPr>
            <m:sty m:val="p"/>
          </m:rPr>
          <m:t>+</m:t>
        </m:r>
        <m:r>
          <m:t>η</m:t>
        </m:r>
        <m:nary>
          <m:naryPr>
            <m:chr m:val="∑"/>
            <m:limLoc m:val="undOvr"/>
            <m:subHide m:val="off"/>
            <m:supHide m:val="off"/>
          </m:naryPr>
          <m:sub>
            <m:r>
              <m:t>k</m:t>
            </m:r>
            <m:r>
              <m:rPr>
                <m:sty m:val="p"/>
              </m:rPr>
              <m:t>=</m:t>
            </m:r>
            <m:r>
              <m:t>1</m:t>
            </m:r>
          </m:sub>
          <m:sup>
            <m:r>
              <m:t>M</m:t>
            </m:r>
          </m:sup>
          <m:e>
            <m:sSub>
              <m:e>
                <m:r>
                  <m:t>f</m:t>
                </m:r>
              </m:e>
              <m:sub>
                <m:r>
                  <m:t>k</m:t>
                </m:r>
              </m:sub>
            </m:sSub>
          </m:e>
        </m:nary>
        <m:r>
          <m:rPr>
            <m:sty m:val="p"/>
          </m:rPr>
          <m:t>(</m:t>
        </m:r>
        <m:r>
          <m:t>x</m:t>
        </m:r>
        <m:r>
          <m:rPr>
            <m:sty m:val="p"/>
          </m:rPr>
          <m:t>)</m:t>
        </m:r>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r>
          <m:t>F</m:t>
        </m:r>
        <m:r>
          <m:rPr>
            <m:sty m:val="p"/>
          </m:rPr>
          <m:t>(</m:t>
        </m:r>
        <m:r>
          <m:t>x</m:t>
        </m:r>
        <m:r>
          <m:rPr>
            <m:sty m:val="p"/>
          </m:rPr>
          <m:t>)</m:t>
        </m:r>
      </m:oMath>
      <w:r>
        <w:t xml:space="preserve"> </w:t>
      </w:r>
      <w:r>
        <w:t xml:space="preserve">— выход модели до преобразования в прогноз;</w:t>
      </w:r>
    </w:p>
    <w:p>
      <w:pPr>
        <w:pStyle w:val="Where"/>
      </w:pPr>
      <w:r>
        <w:tab/>
      </w:r>
      <m:oMath>
        <m:r>
          <m:t>x</m:t>
        </m:r>
      </m:oMath>
      <w:r>
        <w:t xml:space="preserve"> </w:t>
      </w:r>
      <w:r>
        <w:t xml:space="preserve">— вектор признаков объекта, состав которого приведён в разделе 2.1.3 пояснительной записки;</w:t>
      </w:r>
    </w:p>
    <w:p>
      <w:pPr>
        <w:pStyle w:val="Where"/>
      </w:pPr>
      <w:r>
        <w:tab/>
      </w:r>
      <m:oMath>
        <m:sSub>
          <m:e>
            <m:r>
              <m:t>F</m:t>
            </m:r>
          </m:e>
          <m:sub>
            <m:r>
              <m:t>0</m:t>
            </m:r>
          </m:sub>
        </m:sSub>
      </m:oMath>
      <w:r>
        <w:t xml:space="preserve"> </w:t>
      </w:r>
      <w:r>
        <w:t xml:space="preserve">— начальное приближение;</w:t>
      </w:r>
    </w:p>
    <w:p>
      <w:pPr>
        <w:pStyle w:val="Where"/>
      </w:pPr>
      <w:r>
        <w:tab/>
      </w:r>
      <m:oMath>
        <m:r>
          <m:t>η</m:t>
        </m:r>
      </m:oMath>
      <w:r>
        <w:t xml:space="preserve"> </w:t>
      </w:r>
      <w:r>
        <w:t xml:space="preserve">— коэффициент обучения;</w:t>
      </w:r>
    </w:p>
    <w:p>
      <w:pPr>
        <w:pStyle w:val="Where"/>
      </w:pPr>
      <w:r>
        <w:tab/>
      </w:r>
      <m:oMath>
        <m:r>
          <m:t>M</m:t>
        </m:r>
      </m:oMath>
      <w:r>
        <w:t xml:space="preserve"> </w:t>
      </w:r>
      <w:r>
        <w:t xml:space="preserve">— число деревьев;</w:t>
      </w:r>
    </w:p>
    <w:p>
      <w:pPr>
        <w:pStyle w:val="Where"/>
      </w:pPr>
      <w:r>
        <w:tab/>
      </w:r>
      <m:oMath>
        <m:sSub>
          <m:e>
            <m:r>
              <m:t>f</m:t>
            </m:r>
          </m:e>
          <m:sub>
            <m:r>
              <m:t>k</m:t>
            </m:r>
          </m:sub>
        </m:sSub>
        <m:r>
          <m:rPr>
            <m:sty m:val="p"/>
          </m:rPr>
          <m:t>(</m:t>
        </m:r>
        <m:r>
          <m:t>x</m:t>
        </m:r>
        <m:r>
          <m:rPr>
            <m:sty m:val="p"/>
          </m:rPr>
          <m:t>)</m:t>
        </m:r>
      </m:oMath>
      <w:r>
        <w:t xml:space="preserve"> </w:t>
      </w:r>
      <w:r>
        <w:t xml:space="preserve">— выход дерева, построенного на шаге</w:t>
      </w:r>
      <w:r>
        <w:t xml:space="preserve"> </w:t>
      </w:r>
      <m:oMath>
        <m:r>
          <m:t>k</m:t>
        </m:r>
      </m:oMath>
      <w:r>
        <w:t xml:space="preserve">.</w:t>
      </w:r>
    </w:p>
    <w:p>
      <w:pPr>
        <w:pStyle w:val="a2"/>
      </w:pPr>
      <w:r>
        <w:t xml:space="preserve">Выход классификатора</w:t>
      </w:r>
      <w:r>
        <w:t xml:space="preserve"> </w:t>
      </w:r>
      <m:oMath>
        <m:sSub>
          <m:e>
            <m:r>
              <m:t>F</m:t>
            </m:r>
          </m:e>
          <m:sub>
            <m:r>
              <m:rPr>
                <m:sty m:val="p"/>
              </m:rPr>
              <m:t>к</m:t>
            </m:r>
            <m:r>
              <m:rPr>
                <m:sty m:val="p"/>
              </m:rPr>
              <m:t>л</m:t>
            </m:r>
          </m:sub>
        </m:sSub>
      </m:oMath>
      <w:r>
        <w:t xml:space="preserve"> </w:t>
      </w:r>
      <w:r>
        <w:t xml:space="preserve">переводится в вероятность логистической функцией [32] по формуле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p</m:t>
            </m:r>
          </m:e>
          <m:sub>
            <m:r>
              <m:t>i</m:t>
            </m:r>
          </m:sub>
        </m:sSub>
        <m:r>
          <m:rPr>
            <m:sty m:val="p"/>
          </m:rPr>
          <m:t>=</m:t>
        </m:r>
        <m:f>
          <m:fPr>
            <m:type m:val="bar"/>
          </m:fPr>
          <m:num>
            <m:r>
              <m:t>1</m:t>
            </m:r>
          </m:num>
          <m:den>
            <m:r>
              <m:t>1</m:t>
            </m:r>
            <m:r>
              <m:rPr>
                <m:sty m:val="p"/>
              </m:rPr>
              <m:t>+</m:t>
            </m:r>
            <m:r>
              <m:rPr>
                <m:sty m:val="p"/>
              </m:rPr>
              <m:t>exp</m:t>
            </m:r>
            <m:d>
              <m:dPr>
                <m:begChr m:val="("/>
                <m:sepChr m:val=""/>
                <m:endChr m:val=")"/>
                <m:grow/>
              </m:dPr>
              <m:e>
                <m:r>
                  <m:rPr>
                    <m:sty m:val="p"/>
                  </m:rPr>
                  <m:t>−</m:t>
                </m:r>
                <m:sSub>
                  <m:e>
                    <m:r>
                      <m:t>F</m:t>
                    </m:r>
                  </m:e>
                  <m:sub>
                    <m:r>
                      <m:rPr>
                        <m:sty m:val="p"/>
                      </m:rPr>
                      <m:t>к</m:t>
                    </m:r>
                    <m:r>
                      <m:rPr>
                        <m:sty m:val="p"/>
                      </m:rPr>
                      <m:t>л</m:t>
                    </m:r>
                  </m:sub>
                </m:sSub>
                <m:r>
                  <m:rPr>
                    <m:sty m:val="p"/>
                  </m:rPr>
                  <m:t>(</m:t>
                </m:r>
                <m:sSub>
                  <m:e>
                    <m:r>
                      <m:t>x</m:t>
                    </m:r>
                  </m:e>
                  <m:sub>
                    <m:r>
                      <m:t>i</m:t>
                    </m:r>
                  </m:sub>
                </m:sSub>
                <m:r>
                  <m:rPr>
                    <m:sty m:val="p"/>
                  </m:rPr>
                  <m:t>)</m:t>
                </m:r>
              </m:e>
            </m:d>
          </m:den>
        </m:f>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r>
              <m:t>p</m:t>
            </m:r>
          </m:e>
          <m:sub>
            <m:r>
              <m:t>i</m:t>
            </m:r>
          </m:sub>
        </m:sSub>
      </m:oMath>
      <w:r>
        <w:t xml:space="preserve"> </w:t>
      </w:r>
      <w:r>
        <w:t xml:space="preserve">— вероятность хотя бы одного чтения объекта</w:t>
      </w:r>
      <w:r>
        <w:t xml:space="preserve"> </w:t>
      </w:r>
      <m:oMath>
        <m:r>
          <m:t>i</m:t>
        </m:r>
      </m:oMath>
      <w:r>
        <w:t xml:space="preserve"> </w:t>
      </w:r>
      <w:r>
        <w:t xml:space="preserve">за горизонт,</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w:t>
      </w:r>
    </w:p>
    <w:p>
      <w:pPr>
        <w:pStyle w:val="Where"/>
      </w:pPr>
      <w:r>
        <w:tab/>
      </w:r>
      <m:oMath>
        <m:sSub>
          <m:e>
            <m:r>
              <m:t>F</m:t>
            </m:r>
          </m:e>
          <m:sub>
            <m:r>
              <m:rPr>
                <m:sty m:val="p"/>
              </m:rPr>
              <m:t>к</m:t>
            </m:r>
            <m:r>
              <m:rPr>
                <m:sty m:val="p"/>
              </m:rPr>
              <m:t>л</m:t>
            </m:r>
          </m:sub>
        </m:sSub>
        <m:r>
          <m:rPr>
            <m:sty m:val="p"/>
          </m:rPr>
          <m:t>(</m:t>
        </m:r>
        <m:sSub>
          <m:e>
            <m:r>
              <m:t>x</m:t>
            </m:r>
          </m:e>
          <m:sub>
            <m:r>
              <m:t>i</m:t>
            </m:r>
          </m:sub>
        </m:sSub>
        <m:r>
          <m:rPr>
            <m:sty m:val="p"/>
          </m:rPr>
          <m:t>)</m:t>
        </m:r>
      </m:oMath>
      <w:r>
        <w:t xml:space="preserve"> </w:t>
      </w:r>
      <w:r>
        <w:t xml:space="preserve">— выход классификатора по формуле (2.7).</w:t>
      </w:r>
    </w:p>
    <w:p>
      <w:pPr>
        <w:pStyle w:val="a2"/>
      </w:pPr>
      <w:r>
        <w:t xml:space="preserve">Выход регрессора</w:t>
      </w:r>
      <w:r>
        <w:t xml:space="preserve"> </w:t>
      </w:r>
      <m:oMath>
        <m:sSub>
          <m:e>
            <m:r>
              <m:t>F</m:t>
            </m:r>
          </m:e>
          <m:sub>
            <m:r>
              <m:rPr>
                <m:sty m:val="p"/>
              </m:rPr>
              <m:t>р</m:t>
            </m:r>
            <m:r>
              <m:rPr>
                <m:sty m:val="p"/>
              </m:rPr>
              <m:t>е</m:t>
            </m:r>
            <m:r>
              <m:rPr>
                <m:sty m:val="p"/>
              </m:rPr>
              <m:t>г</m:t>
            </m:r>
          </m:sub>
        </m:sSub>
      </m:oMath>
      <w:r>
        <w:t xml:space="preserve"> </w:t>
      </w:r>
      <w:r>
        <w:t xml:space="preserve">переводится в число чтений при возникшем спросе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r>
          <m:rPr>
            <m:sty m:val="p"/>
          </m:rPr>
          <m:t>exp</m:t>
        </m:r>
        <m:d>
          <m:dPr>
            <m:begChr m:val="("/>
            <m:sepChr m:val=""/>
            <m:endChr m:val=")"/>
            <m:grow/>
          </m:dPr>
          <m:e>
            <m:sSub>
              <m:e>
                <m:r>
                  <m:t>F</m:t>
                </m:r>
              </m:e>
              <m:sub>
                <m:r>
                  <m:rPr>
                    <m:sty m:val="p"/>
                  </m:rPr>
                  <m:t>р</m:t>
                </m:r>
                <m:r>
                  <m:rPr>
                    <m:sty m:val="p"/>
                  </m:rPr>
                  <m:t>е</m:t>
                </m:r>
                <m:r>
                  <m:rPr>
                    <m:sty m:val="p"/>
                  </m:rPr>
                  <m:t>г</m:t>
                </m:r>
              </m:sub>
            </m:sSub>
            <m:r>
              <m:rPr>
                <m:sty m:val="p"/>
              </m:rPr>
              <m:t>(</m:t>
            </m:r>
            <m:sSub>
              <m:e>
                <m:r>
                  <m:t>x</m:t>
                </m:r>
              </m:e>
              <m:sub>
                <m:r>
                  <m:t>i</m:t>
                </m:r>
              </m:sub>
            </m:sSub>
            <m:r>
              <m:rPr>
                <m:sty m:val="p"/>
              </m:rPr>
              <m:t>)</m:t>
            </m:r>
          </m:e>
        </m:d>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за горизонт при условии, что спрос возник;</w:t>
      </w:r>
    </w:p>
    <w:p>
      <w:pPr>
        <w:pStyle w:val="Where"/>
      </w:pPr>
      <w:r>
        <w:tab/>
      </w:r>
      <m:oMath>
        <m:sSub>
          <m:e>
            <m:r>
              <m:t>F</m:t>
            </m:r>
          </m:e>
          <m:sub>
            <m:r>
              <m:rPr>
                <m:sty m:val="p"/>
              </m:rPr>
              <m:t>р</m:t>
            </m:r>
            <m:r>
              <m:rPr>
                <m:sty m:val="p"/>
              </m:rPr>
              <m:t>е</m:t>
            </m:r>
            <m:r>
              <m:rPr>
                <m:sty m:val="p"/>
              </m:rPr>
              <m:t>г</m:t>
            </m:r>
          </m:sub>
        </m:sSub>
        <m:r>
          <m:rPr>
            <m:sty m:val="p"/>
          </m:rPr>
          <m:t>(</m:t>
        </m:r>
        <m:sSub>
          <m:e>
            <m:r>
              <m:t>x</m:t>
            </m:r>
          </m:e>
          <m:sub>
            <m:r>
              <m:t>i</m:t>
            </m:r>
          </m:sub>
        </m:sSub>
        <m:r>
          <m:rPr>
            <m:sty m:val="p"/>
          </m:rPr>
          <m:t>)</m:t>
        </m:r>
      </m:oMath>
      <w:r>
        <w:t xml:space="preserve"> </w:t>
      </w:r>
      <w:r>
        <w:t xml:space="preserve">— выход регрессора по формуле (2.7).</w:t>
      </w:r>
    </w:p>
    <w:p>
      <w:pPr>
        <w:pStyle w:val="a2"/>
      </w:pPr>
      <w:r>
        <w:t xml:space="preserve">Единица учитывает, что при возникшем спросе чтений не меньше одного. В отличие от исходной модели [30], положительная часть не усечена в нуле, а сдвинута на единицу, что позволяет использовать стандартную пуассоновскую функцию потерь библиотек градиентного бустинга [32]. В модели с барьером ожидаемое число чтений равно произведению вероятности спроса и числа чтений при возникшем спросе [30], поэтому итоговый прогноз задаёт формула (2.10).</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(2.10)</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a2"/>
      </w:pPr>
      <w:r>
        <w:t xml:space="preserve">Равенство выполняется при откалиброванной</w:t>
      </w:r>
      <w:r>
        <w:t xml:space="preserve"> </w:t>
      </w:r>
      <m:oMath>
        <m:sSub>
          <m:e>
            <m:r>
              <m:t>p</m:t>
            </m:r>
          </m:e>
          <m:sub>
            <m:r>
              <m:t>i</m:t>
            </m:r>
          </m:sub>
        </m:sSub>
      </m:oMath>
      <w:r>
        <w:t xml:space="preserve">, поэтому калибровка проверяется отдельно. Классификатор обучается на всех примерах с логистической функцией потерь [32].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 величину</w:t>
      </w:r>
      <w:r>
        <w:t xml:space="preserve"> </w:t>
      </w:r>
      <m:oMath>
        <m:r>
          <m:t>y</m:t>
        </m:r>
        <m:r>
          <m:rPr>
            <m:sty m:val="p"/>
          </m:rPr>
          <m:t>=</m:t>
        </m:r>
        <m:sSub>
          <m:e>
            <m:r>
              <m:t>N</m:t>
            </m:r>
          </m:e>
          <m:sub>
            <m:r>
              <m:t>i</m:t>
            </m:r>
          </m:sub>
        </m:sSub>
        <m:r>
          <m:rPr>
            <m:sty m:val="p"/>
          </m:rPr>
          <m:t>−</m:t>
        </m:r>
        <m:r>
          <m:t>1</m:t>
        </m:r>
      </m:oMath>
      <w:r>
        <w:t xml:space="preserve">, то есть число чтений сверх первого, с логарифмической связью, принятой для пуассоновской регрессии [32], [33], по формуле (2.11).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acc>
          <m:accPr>
            <m:chr m:val="̂"/>
          </m:accPr>
          <m:e>
            <m:r>
              <m:t>y</m:t>
            </m:r>
          </m:e>
        </m:acc>
        <m:r>
          <m:rPr>
            <m:sty m:val="p"/>
          </m:rPr>
          <m:t>=</m:t>
        </m:r>
        <m:r>
          <m:rPr>
            <m:sty m:val="p"/>
          </m:rPr>
          <m:t>exp</m:t>
        </m:r>
        <m:d>
          <m:dPr>
            <m:begChr m:val="("/>
            <m:sepChr m:val=""/>
            <m:endChr m:val=")"/>
            <m:grow/>
          </m:dPr>
          <m:e>
            <m:sSub>
              <m:e>
                <m:r>
                  <m:t>F</m:t>
                </m:r>
              </m:e>
              <m:sub>
                <m:r>
                  <m:rPr>
                    <m:sty m:val="p"/>
                  </m:rPr>
                  <m:t>р</m:t>
                </m:r>
                <m:r>
                  <m:rPr>
                    <m:sty m:val="p"/>
                  </m:rPr>
                  <m:t>е</m:t>
                </m:r>
                <m:r>
                  <m:rPr>
                    <m:sty m:val="p"/>
                  </m:rPr>
                  <m:t>г</m:t>
                </m:r>
              </m:sub>
            </m:sSub>
            <m:r>
              <m:rPr>
                <m:sty m:val="p"/>
              </m:rPr>
              <m:t>(</m:t>
            </m:r>
            <m:sSub>
              <m:e>
                <m:r>
                  <m:t>x</m:t>
                </m:r>
              </m:e>
              <m:sub>
                <m:r>
                  <m:t>i</m:t>
                </m:r>
              </m:sub>
            </m:sSub>
            <m:r>
              <m:rPr>
                <m:sty m:val="p"/>
              </m:rPr>
              <m:t>)</m:t>
            </m:r>
          </m:e>
        </m:d>
        <m:r>
          <m:rPr>
            <m:sty m:val="p"/>
          </m:rPr>
          <m:t>,</m:t>
        </m:r>
      </m:oMath>
      <w:r>
        <w:tab/>
      </w:r>
      <w:r>
        <w:rPr>
          <w:rFonts w:ascii="Times New Roman" w:hAnsi="Times New Roman" w:cs="Times New Roman" w:eastAsia="Times New Roman"/>
          <w:b w:val="0"/>
          <w:bCs w:val="0"/>
          <w:i w:val="0"/>
          <w:iCs w:val="0"/>
          <w:color w:val="000000"/>
          <w:sz w:val="28"/>
          <w:szCs w:val="28"/>
        </w:rPr>
        <w:t>(2.11)</w:t>
      </w:r>
    </w:p>
    <w:p>
      <w:pPr>
        <w:pStyle w:val="Where"/>
      </w:pPr>
      <w:r>
        <w:t xml:space="preserve">где</w:t>
      </w:r>
      <w:r>
        <w:tab/>
      </w:r>
      <m:oMath>
        <m:acc>
          <m:accPr>
            <m:chr m:val="̂"/>
          </m:accPr>
          <m:e>
            <m:r>
              <m:t>y</m:t>
            </m:r>
          </m:e>
        </m:acc>
      </m:oMath>
      <w:r>
        <w:t xml:space="preserve"> </w:t>
      </w:r>
      <w:r>
        <w:t xml:space="preserve">— прогноз регрессора для величины</w:t>
      </w:r>
      <w:r>
        <w:t xml:space="preserve"> </w:t>
      </w:r>
      <m:oMath>
        <m:r>
          <m:t>y</m:t>
        </m:r>
      </m:oMath>
      <w:r>
        <w:t xml:space="preserve">, по формуле (2.9) равный</w:t>
      </w:r>
      <w:r>
        <w:t xml:space="preserve"> </w:t>
      </w:r>
      <m:oMath>
        <m:sSub>
          <m:e>
            <m:r>
              <m:t>m</m:t>
            </m:r>
          </m:e>
          <m:sub>
            <m:r>
              <m:t>i</m:t>
            </m:r>
          </m:sub>
        </m:sSub>
        <m:r>
          <m:rPr>
            <m:sty m:val="p"/>
          </m:rPr>
          <m:t>−</m:t>
        </m:r>
        <m:r>
          <m:t>1</m:t>
        </m:r>
      </m:oMath>
      <w:r>
        <w:t xml:space="preserve">.</w:t>
      </w:r>
    </w:p>
    <w:p>
      <w:pPr>
        <w:pStyle w:val="a2"/>
      </w:pPr>
      <w:r>
        <w:t xml:space="preserve">Регрессор обучается с функцией потерь Пуассона [32], [33], которая совпадает с отрицательным логарифмом правдоподобия Пуассона без постоянного слагаемого и задаётся формулой (2.12).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ℓ</m:t>
        </m:r>
        <m:r>
          <m:rPr>
            <m:sty m:val="p"/>
          </m:rPr>
          <m:t>(</m:t>
        </m:r>
        <m:r>
          <m:t>y</m:t>
        </m:r>
        <m:r>
          <m:rPr>
            <m:sty m:val="p"/>
          </m:rPr>
          <m:t>,</m:t>
        </m:r>
        <m:acc>
          <m:accPr>
            <m:chr m:val="̂"/>
          </m:accPr>
          <m:e>
            <m:r>
              <m:t>y</m:t>
            </m:r>
          </m:e>
        </m:acc>
        <m:r>
          <m:rPr>
            <m:sty m:val="p"/>
          </m:rPr>
          <m:t>)</m:t>
        </m:r>
        <m:r>
          <m:rPr>
            <m:sty m:val="p"/>
          </m:rPr>
          <m:t>=</m:t>
        </m:r>
        <m:acc>
          <m:accPr>
            <m:chr m:val="̂"/>
          </m:accPr>
          <m:e>
            <m:r>
              <m:t>y</m:t>
            </m:r>
          </m:e>
        </m:acc>
        <m:r>
          <m:rPr>
            <m:sty m:val="p"/>
          </m:rPr>
          <m:t>−</m:t>
        </m:r>
        <m:r>
          <m:t>y</m:t>
        </m:r>
        <m:r>
          <m:rPr>
            <m:sty m:val="p"/>
          </m:rPr>
          <m:t>ln</m:t>
        </m:r>
        <m:acc>
          <m:accPr>
            <m:chr m:val="̂"/>
          </m:accPr>
          <m:e>
            <m:r>
              <m:t>y</m:t>
            </m:r>
          </m:e>
        </m:acc>
        <m:r>
          <m:rPr>
            <m:sty m:val="p"/>
          </m:rPr>
          <m:t>,</m:t>
        </m:r>
      </m:oMath>
      <w:r>
        <w:tab/>
      </w:r>
      <w:r>
        <w:rPr>
          <w:rFonts w:ascii="Times New Roman" w:hAnsi="Times New Roman" w:cs="Times New Roman" w:eastAsia="Times New Roman"/>
          <w:b w:val="0"/>
          <w:bCs w:val="0"/>
          <w:i w:val="0"/>
          <w:iCs w:val="0"/>
          <w:color w:val="000000"/>
          <w:sz w:val="28"/>
          <w:szCs w:val="28"/>
        </w:rPr>
        <w:t>(2.12)</w:t>
      </w:r>
    </w:p>
    <w:p>
      <w:pPr>
        <w:pStyle w:val="Where"/>
      </w:pPr>
      <w:r>
        <w:t xml:space="preserve">где</w:t>
      </w:r>
      <w:r>
        <w:tab/>
      </w:r>
      <m:oMath>
        <m:r>
          <m:t>ℓ</m:t>
        </m:r>
        <m:r>
          <m:rPr>
            <m:sty m:val="p"/>
          </m:rPr>
          <m:t>(</m:t>
        </m:r>
        <m:r>
          <m:t>y</m:t>
        </m:r>
        <m:r>
          <m:rPr>
            <m:sty m:val="p"/>
          </m:rPr>
          <m:t>,</m:t>
        </m:r>
        <m:acc>
          <m:accPr>
            <m:chr m:val="̂"/>
          </m:accPr>
          <m:e>
            <m:r>
              <m:t>y</m:t>
            </m:r>
          </m:e>
        </m:acc>
        <m:r>
          <m:rPr>
            <m:sty m:val="p"/>
          </m:rPr>
          <m:t>)</m:t>
        </m:r>
      </m:oMath>
      <w:r>
        <w:t xml:space="preserve"> </w:t>
      </w:r>
      <w:r>
        <w:t xml:space="preserve">— значение функции потерь на одном обучающем примере;</w:t>
      </w:r>
    </w:p>
    <w:p>
      <w:pPr>
        <w:pStyle w:val="Where"/>
      </w:pPr>
      <w:r>
        <w:tab/>
      </w:r>
      <m:oMath>
        <m:r>
          <m:t>y</m:t>
        </m:r>
      </m:oMath>
      <w:r>
        <w:t xml:space="preserve"> </w:t>
      </w:r>
      <w:r>
        <w:t xml:space="preserve">— фактическое число чтений объекта сверх первого,</w:t>
      </w:r>
      <w:r>
        <w:t xml:space="preserve"> </w:t>
      </w:r>
      <m:oMath>
        <m:sSub>
          <m:e>
            <m:r>
              <m:t>N</m:t>
            </m:r>
          </m:e>
          <m:sub>
            <m:r>
              <m:t>i</m:t>
            </m:r>
          </m:sub>
        </m:sSub>
        <m:r>
          <m:rPr>
            <m:sty m:val="p"/>
          </m:rPr>
          <m:t>−</m:t>
        </m:r>
        <m:r>
          <m:t>1</m:t>
        </m:r>
      </m:oMath>
      <w:r>
        <w:t xml:space="preserve">.</w:t>
      </w:r>
    </w:p>
    <w:p>
      <w:pPr>
        <w:pStyle w:val="a2"/>
      </w:pPr>
      <w:r>
        <w:t xml:space="preserve">GBDT выбран потому, что на табличных данных ансамбли деревьев обычно не уступают нейронным сетям при меньших затратах [34], обучаются на процессоре и показывают значимость признаков. Чтобы отделить пользу модели от пользы планировщика, все оценки спроса сравниваются с одним планировщиком.</w:t>
      </w:r>
    </w:p>
    <w:p>
      <w:pPr>
        <w:pStyle w:val="a2"/>
      </w:pPr>
      <w:r>
        <w:t xml:space="preserve">Однократный всплеск без предвестников модель не предсказывает, новый объект оценивает грубо, а на равномерной случайной нагрузке преимущества быть не должно, и этот сценарий служит отрицательным контролем.</w:t>
      </w:r>
    </w:p>
    <w:bookmarkEnd w:id="61"/>
    <w:bookmarkStart w:id="63" w:name="X5cb85bb2864257b50580b8dfa11fbf34fed6abe"/>
    <w:p>
      <w:pPr>
        <w:pStyle w:val="30"/>
      </w:pPr>
      <w:bookmarkStart w:id="195" w:name="GOSTHeading195"/>
      <w:r>
        <w:t xml:space="preserve">2.1.3 Обработка данных и формирование обучающих примеров</w:t>
      </w:r>
      <w:bookmarkEnd w:id="195"/>
    </w:p>
    <w:p>
      <w:pPr>
        <w:pStyle w:val="FirstParagraph"/>
      </w:pPr>
      <w:r>
        <w:t xml:space="preserve">Штатные метрики Gateway агрегированы и не различают объекты [7], поэтому Gateway дополняется публикацией событий клиентских чтений с номером Gateway и порядковым номером. Чтения исполнителя идут мимо Gateway и в спрос не попадают, а текущий класс и задержка не входят в признаки, иначе медленный COLD выглядел бы как снижение спроса.</w:t>
      </w:r>
    </w:p>
    <w:p>
      <w:pPr>
        <w:pStyle w:val="a2"/>
      </w:pPr>
      <w:r>
        <w:t xml:space="preserve">Повторы отбрасываются, так как доставка выполняется по схеме «не менее одного раза» [35], а разрыв порядковых номеров отмечается как интервал неполной истории. Отметка актуальности</w:t>
      </w:r>
      <w:r>
        <w:t xml:space="preserve"> </w:t>
      </w:r>
      <m:oMath>
        <m:r>
          <m:t>W</m:t>
        </m:r>
      </m:oMath>
      <w:r>
        <w:t xml:space="preserve"> </w:t>
      </w:r>
      <w:r>
        <w:t xml:space="preserve">— момент, до которого события получены или отнесены к таким интервалам. 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Давность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Чтобы исключить утечку будущего [36], [37], признаки строятся только по событиям до момента</w:t>
      </w:r>
      <w:r>
        <w:t xml:space="preserve"> </w:t>
      </w:r>
      <m:oMath>
        <m:r>
          <m:t>T</m:t>
        </m:r>
      </m:oMath>
      <w:r>
        <w:t xml:space="preserve"> </w:t>
      </w:r>
      <w:r>
        <w:t xml:space="preserve">по формуле (2.13).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x</m:t>
            </m:r>
          </m:e>
          <m:sub>
            <m:r>
              <m:t>i</m:t>
            </m:r>
          </m:sub>
        </m:sSub>
        <m:r>
          <m:rPr>
            <m:sty m:val="p"/>
          </m:rPr>
          <m:t>(</m:t>
        </m:r>
        <m:r>
          <m:t>T</m:t>
        </m:r>
        <m:r>
          <m:rPr>
            <m:sty m:val="p"/>
          </m:rPr>
          <m:t>)</m:t>
        </m:r>
        <m:r>
          <m:rPr>
            <m:sty m:val="p"/>
          </m:rPr>
          <m:t>=</m:t>
        </m:r>
        <m:r>
          <m:rPr>
            <m:sty m:val="p"/>
          </m:rPr>
          <m:t>П</m:t>
        </m:r>
        <m:r>
          <m:rPr>
            <m:sty m:val="p"/>
          </m:rPr>
          <m:t>р</m:t>
        </m:r>
        <m:r>
          <m:rPr>
            <m:sty m:val="p"/>
          </m:rPr>
          <m:t>и</m:t>
        </m:r>
        <m:r>
          <m:rPr>
            <m:sty m:val="p"/>
          </m:rPr>
          <m:t>з</m:t>
        </m:r>
        <m:r>
          <m:rPr>
            <m:sty m:val="p"/>
          </m:rPr>
          <m:t>н</m:t>
        </m:r>
        <m:r>
          <m:rPr>
            <m:sty m:val="p"/>
          </m:rPr>
          <m:t>а</m:t>
        </m:r>
        <m:r>
          <m:rPr>
            <m:sty m:val="p"/>
          </m:rPr>
          <m:t>к</m:t>
        </m:r>
        <m:r>
          <m:rPr>
            <m:sty m:val="p"/>
          </m:rPr>
          <m:t>и</m:t>
        </m:r>
        <m:d>
          <m:dPr>
            <m:begChr m:val="("/>
            <m:sepChr m:val=""/>
            <m:endChr m:val=")"/>
            <m:grow/>
          </m:dPr>
          <m:e>
            <m:r>
              <m:rPr>
                <m:sty m:val="p"/>
              </m:rPr>
              <m:t>{</m:t>
            </m:r>
            <m:r>
              <m:t>e</m:t>
            </m:r>
            <m:r>
              <m:rPr>
                <m:sty m:val="p"/>
              </m:rPr>
              <m:t>∈</m:t>
            </m:r>
            <m:sSub>
              <m:e>
                <m:r>
                  <m:t>E</m:t>
                </m:r>
              </m:e>
              <m:sub>
                <m:r>
                  <m:t>i</m:t>
                </m:r>
              </m:sub>
            </m:sSub>
            <m:r>
              <m:rPr>
                <m:sty m:val="p"/>
              </m:rPr>
              <m:t>:</m:t>
            </m:r>
            <m:sSub>
              <m:e>
                <m:r>
                  <m:t>T</m:t>
                </m:r>
              </m:e>
              <m:sub>
                <m:r>
                  <m:t>e</m:t>
                </m:r>
              </m:sub>
            </m:sSub>
            <m:r>
              <m:rPr>
                <m:sty m:val="p"/>
              </m:rPr>
              <m:t>&lt;</m:t>
            </m:r>
            <m:r>
              <m:t>T</m:t>
            </m:r>
            <m:r>
              <m:rPr>
                <m:sty m:val="p"/>
              </m:rPr>
              <m:t>}</m:t>
            </m:r>
          </m:e>
        </m:d>
        <m:r>
          <m:rPr>
            <m:sty m:val="p"/>
          </m:rPr>
          <m:t>,</m:t>
        </m:r>
      </m:oMath>
      <w:r>
        <w:tab/>
      </w:r>
      <w:r>
        <w:rPr>
          <w:rFonts w:ascii="Times New Roman" w:hAnsi="Times New Roman" w:cs="Times New Roman" w:eastAsia="Times New Roman"/>
          <w:b w:val="0"/>
          <w:bCs w:val="0"/>
          <w:i w:val="0"/>
          <w:iCs w:val="0"/>
          <w:color w:val="000000"/>
          <w:sz w:val="28"/>
          <w:szCs w:val="28"/>
        </w:rPr>
        <w:t>(2.13)</w:t>
      </w:r>
    </w:p>
    <w:p>
      <w:pPr>
        <w:pStyle w:val="Where"/>
      </w:pPr>
      <w:r>
        <w:t xml:space="preserve">где</w:t>
      </w:r>
      <w:r>
        <w:tab/>
      </w:r>
      <m:oMath>
        <m:sSub>
          <m:e>
            <m:r>
              <m:t>x</m:t>
            </m:r>
          </m:e>
          <m:sub>
            <m:r>
              <m:t>i</m:t>
            </m:r>
          </m:sub>
        </m:sSub>
        <m:r>
          <m:rPr>
            <m:sty m:val="p"/>
          </m:rPr>
          <m:t>(</m:t>
        </m:r>
        <m:r>
          <m:t>T</m:t>
        </m:r>
        <m:r>
          <m:rPr>
            <m:sty m:val="p"/>
          </m:rPr>
          <m:t>)</m:t>
        </m:r>
      </m:oMath>
      <w:r>
        <w:t xml:space="preserve"> </w:t>
      </w:r>
      <w:r>
        <w:t xml:space="preserve">— вектор признаков объекта</w:t>
      </w:r>
      <w:r>
        <w:t xml:space="preserve"> </w:t>
      </w:r>
      <m:oMath>
        <m:r>
          <m:t>i</m:t>
        </m:r>
      </m:oMath>
      <w:r>
        <w:t xml:space="preserve"> </w:t>
      </w:r>
      <w:r>
        <w:t xml:space="preserve">в момент</w:t>
      </w:r>
      <w:r>
        <w:t xml:space="preserve"> </w:t>
      </w:r>
      <m:oMath>
        <m:r>
          <m:t>T</m:t>
        </m:r>
      </m:oMath>
      <w:r>
        <w:t xml:space="preserve">;</w:t>
      </w:r>
    </w:p>
    <w:p>
      <w:pPr>
        <w:pStyle w:val="Where"/>
      </w:pPr>
      <w:r>
        <w:tab/>
      </w:r>
      <m:oMath>
        <m:r>
          <m:rPr>
            <m:sty m:val="p"/>
          </m:rPr>
          <m:t>П</m:t>
        </m:r>
        <m:r>
          <m:rPr>
            <m:sty m:val="p"/>
          </m:rPr>
          <m:t>р</m:t>
        </m:r>
        <m:r>
          <m:rPr>
            <m:sty m:val="p"/>
          </m:rPr>
          <m:t>и</m:t>
        </m:r>
        <m:r>
          <m:rPr>
            <m:sty m:val="p"/>
          </m:rPr>
          <m:t>з</m:t>
        </m:r>
        <m:r>
          <m:rPr>
            <m:sty m:val="p"/>
          </m:rPr>
          <m:t>н</m:t>
        </m:r>
        <m:r>
          <m:rPr>
            <m:sty m:val="p"/>
          </m:rPr>
          <m:t>а</m:t>
        </m:r>
        <m:r>
          <m:rPr>
            <m:sty m:val="p"/>
          </m:rPr>
          <m:t>к</m:t>
        </m:r>
        <m:r>
          <m:rPr>
            <m:sty m:val="p"/>
          </m:rPr>
          <m:t>и</m:t>
        </m:r>
        <m:r>
          <m:rPr>
            <m:sty m:val="p"/>
          </m:rPr>
          <m:t>(</m:t>
        </m:r>
        <m:r>
          <m:rPr>
            <m:sty m:val="p"/>
          </m:rPr>
          <m:t>⋅</m:t>
        </m:r>
        <m:r>
          <m:rPr>
            <m:sty m:val="p"/>
          </m:rPr>
          <m:t>)</m:t>
        </m:r>
      </m:oMath>
      <w:r>
        <w:t xml:space="preserve"> </w:t>
      </w:r>
      <w:r>
        <w:t xml:space="preserve">— правила расчёта признаков из Таблицы 2.2;</w:t>
      </w:r>
    </w:p>
    <w:p>
      <w:pPr>
        <w:pStyle w:val="Where"/>
      </w:pPr>
      <w:r>
        <w:tab/>
      </w:r>
      <m:oMath>
        <m:r>
          <m:t>e</m:t>
        </m:r>
      </m:oMath>
      <w:r>
        <w:t xml:space="preserve"> </w:t>
      </w:r>
      <w:r>
        <w:t xml:space="preserve">— событие обращения;</w:t>
      </w:r>
    </w:p>
    <w:p>
      <w:pPr>
        <w:pStyle w:val="Where"/>
      </w:pPr>
      <w:r>
        <w:tab/>
      </w:r>
      <m:oMath>
        <m:sSub>
          <m:e>
            <m:r>
              <m:t>E</m:t>
            </m:r>
          </m:e>
          <m:sub>
            <m:r>
              <m:t>i</m:t>
            </m:r>
          </m:sub>
        </m:sSub>
      </m:oMath>
      <w:r>
        <w:t xml:space="preserve"> </w:t>
      </w:r>
      <w:r>
        <w:t xml:space="preserve">— множество событий объекта</w:t>
      </w:r>
      <w:r>
        <w:t xml:space="preserve"> </w:t>
      </w:r>
      <m:oMath>
        <m:r>
          <m:t>i</m:t>
        </m:r>
      </m:oMath>
      <w:r>
        <w:t xml:space="preserve"> </w:t>
      </w:r>
      <w:r>
        <w:t xml:space="preserve">и его бакета;</w:t>
      </w:r>
    </w:p>
    <w:p>
      <w:pPr>
        <w:pStyle w:val="Where"/>
      </w:pPr>
      <w:r>
        <w:tab/>
      </w:r>
      <m:oMath>
        <m:sSub>
          <m:e>
            <m:r>
              <m:t>T</m:t>
            </m:r>
          </m:e>
          <m:sub>
            <m:r>
              <m:t>e</m:t>
            </m:r>
          </m:sub>
        </m:sSub>
      </m:oMath>
      <w:r>
        <w:t xml:space="preserve"> </w:t>
      </w:r>
      <w:r>
        <w:t xml:space="preserve">— время события</w:t>
      </w:r>
      <w:r>
        <w:t xml:space="preserve"> </w:t>
      </w:r>
      <m:oMath>
        <m:r>
          <m:t>e</m:t>
        </m:r>
      </m:oMath>
      <w:r>
        <w:t xml:space="preserve">.</w:t>
      </w:r>
    </w:p>
    <w:p>
      <w:pPr>
        <w:pStyle w:val="a2"/>
      </w:pPr>
      <w:r>
        <w:t xml:space="preserve">Метка считается по клиентским чтениям объекта за следующий интервал длительностью</w:t>
      </w:r>
      <w:r>
        <w:t xml:space="preserve"> </w:t>
      </w:r>
      <m:oMath>
        <m:r>
          <m:t>H</m:t>
        </m:r>
      </m:oMath>
      <w:r>
        <w:t xml:space="preserve"> </w:t>
      </w:r>
      <w:r>
        <w:t xml:space="preserve">по формуле (2.14).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N</m:t>
            </m:r>
          </m:e>
          <m:sub>
            <m:r>
              <m:t>i</m:t>
            </m:r>
          </m:sub>
        </m:sSub>
        <m:r>
          <m:rPr>
            <m:sty m:val="p"/>
          </m:rPr>
          <m:t>(</m:t>
        </m:r>
        <m:r>
          <m:t>T</m:t>
        </m:r>
        <m:r>
          <m:rPr>
            <m:sty m:val="p"/>
          </m:rPr>
          <m:t>)</m:t>
        </m:r>
        <m:r>
          <m:rPr>
            <m:sty m:val="p"/>
          </m:rPr>
          <m:t>=</m:t>
        </m:r>
        <m:r>
          <m:rPr>
            <m:sty m:val="p"/>
          </m:rPr>
          <m:t>|</m:t>
        </m:r>
        <m:r>
          <m:rPr>
            <m:sty m:val="p"/>
          </m:rPr>
          <m:t>{</m:t>
        </m:r>
        <m:r>
          <m:t>e</m:t>
        </m:r>
        <m:r>
          <m:rPr>
            <m:sty m:val="p"/>
          </m:rPr>
          <m:t>∈</m:t>
        </m:r>
        <m:sSub>
          <m:e>
            <m:r>
              <m:t>R</m:t>
            </m:r>
          </m:e>
          <m:sub>
            <m:r>
              <m:t>i</m:t>
            </m:r>
          </m:sub>
        </m:sSub>
        <m:r>
          <m:rPr>
            <m:sty m:val="p"/>
          </m:rPr>
          <m:t>:</m:t>
        </m:r>
        <m:r>
          <m:t>T</m:t>
        </m:r>
        <m:r>
          <m:rPr>
            <m:sty m:val="p"/>
          </m:rPr>
          <m:t>≤</m:t>
        </m:r>
        <m:sSub>
          <m:e>
            <m:r>
              <m:t>T</m:t>
            </m:r>
          </m:e>
          <m:sub>
            <m:r>
              <m:t>e</m:t>
            </m:r>
          </m:sub>
        </m:sSub>
        <m:r>
          <m:rPr>
            <m:sty m:val="p"/>
          </m:rPr>
          <m:t>&lt;</m:t>
        </m:r>
        <m:r>
          <m:t>T</m:t>
        </m:r>
        <m:r>
          <m:rPr>
            <m:sty m:val="p"/>
          </m:rPr>
          <m:t>+</m:t>
        </m:r>
        <m:r>
          <m:t>H</m:t>
        </m:r>
        <m:r>
          <m:rPr>
            <m:sty m:val="p"/>
          </m:rPr>
          <m:t>}</m:t>
        </m:r>
        <m:r>
          <m:rPr>
            <m:sty m:val="p"/>
          </m:rPr>
          <m:t>|</m:t>
        </m:r>
        <m:r>
          <m:rPr>
            <m:sty m:val="p"/>
          </m:rPr>
          <m:t>,</m:t>
        </m:r>
      </m:oMath>
      <w:r>
        <w:tab/>
      </w:r>
      <w:r>
        <w:rPr>
          <w:rFonts w:ascii="Times New Roman" w:hAnsi="Times New Roman" w:cs="Times New Roman" w:eastAsia="Times New Roman"/>
          <w:b w:val="0"/>
          <w:bCs w:val="0"/>
          <w:i w:val="0"/>
          <w:iCs w:val="0"/>
          <w:color w:val="000000"/>
          <w:sz w:val="28"/>
          <w:szCs w:val="28"/>
        </w:rPr>
        <w:t>(2.14)</w:t>
      </w:r>
    </w:p>
    <w:p>
      <w:pPr>
        <w:pStyle w:val="Where"/>
      </w:pPr>
      <w:r>
        <w:t xml:space="preserve">где</w:t>
      </w:r>
      <w:r>
        <w:tab/>
      </w:r>
      <m:oMath>
        <m:sSub>
          <m:e>
            <m:r>
              <m:t>N</m:t>
            </m:r>
          </m:e>
          <m:sub>
            <m:r>
              <m:t>i</m:t>
            </m:r>
          </m:sub>
        </m:sSub>
        <m:r>
          <m:rPr>
            <m:sty m:val="p"/>
          </m:rPr>
          <m:t>(</m:t>
        </m:r>
        <m:r>
          <m:t>T</m:t>
        </m:r>
        <m:r>
          <m:rPr>
            <m:sty m:val="p"/>
          </m:rPr>
          <m:t>)</m:t>
        </m:r>
      </m:oMath>
      <w:r>
        <w:t xml:space="preserve"> </w:t>
      </w:r>
      <w:r>
        <w:t xml:space="preserve">— фактическое число клиентских чтений объекта</w:t>
      </w:r>
      <w:r>
        <w:t xml:space="preserve"> </w:t>
      </w:r>
      <m:oMath>
        <m:r>
          <m:t>i</m:t>
        </m:r>
      </m:oMath>
      <w:r>
        <w:t xml:space="preserve"> </w:t>
      </w:r>
      <w:r>
        <w:t xml:space="preserve">на интервале</w:t>
      </w:r>
      <w:r>
        <w:t xml:space="preserve"> </w:t>
      </w:r>
      <m:oMath>
        <m:r>
          <m:rPr>
            <m:sty m:val="p"/>
          </m:rPr>
          <m:t>[</m:t>
        </m:r>
        <m:r>
          <m:t>T</m:t>
        </m:r>
        <m:r>
          <m:rPr>
            <m:sty m:val="p"/>
          </m:rPr>
          <m:t>,</m:t>
        </m:r>
        <m:r>
          <m:t>T</m:t>
        </m:r>
        <m:r>
          <m:rPr>
            <m:sty m:val="p"/>
          </m:rPr>
          <m:t>+</m:t>
        </m:r>
        <m:r>
          <m:t>H</m:t>
        </m:r>
        <m:r>
          <m:rPr>
            <m:sty m:val="p"/>
          </m:rPr>
          <m:t>)</m:t>
        </m:r>
      </m:oMath>
      <w:r>
        <w:t xml:space="preserve">;</w:t>
      </w:r>
    </w:p>
    <w:p>
      <w:pPr>
        <w:pStyle w:val="Where"/>
      </w:pPr>
      <w:r>
        <w:tab/>
      </w:r>
      <m:oMath>
        <m:r>
          <m:rPr>
            <m:sty m:val="p"/>
          </m:rPr>
          <m:t>|</m:t>
        </m:r>
        <m:r>
          <m:rPr>
            <m:sty m:val="p"/>
          </m:rPr>
          <m:t>⋅</m:t>
        </m:r>
        <m:r>
          <m:rPr>
            <m:sty m:val="p"/>
          </m:rPr>
          <m:t>|</m:t>
        </m:r>
      </m:oMath>
      <w:r>
        <w:t xml:space="preserve"> </w:t>
      </w:r>
      <w:r>
        <w:t xml:space="preserve">— число элементов множества;</w:t>
      </w:r>
    </w:p>
    <w:p>
      <w:pPr>
        <w:pStyle w:val="Where"/>
      </w:pPr>
      <w:r>
        <w:tab/>
      </w:r>
      <m:oMath>
        <m:sSub>
          <m:e>
            <m:r>
              <m:t>R</m:t>
            </m:r>
          </m:e>
          <m:sub>
            <m:r>
              <m:t>i</m:t>
            </m:r>
          </m:sub>
        </m:sSub>
      </m:oMath>
      <w:r>
        <w:t xml:space="preserve"> </w:t>
      </w:r>
      <w:r>
        <w:t xml:space="preserve">— множество клиентских чтений объекта</w:t>
      </w:r>
      <w:r>
        <w:t xml:space="preserve"> </w:t>
      </w:r>
      <m:oMath>
        <m:r>
          <m:t>i</m:t>
        </m:r>
      </m:oMath>
      <w:r>
        <w:t xml:space="preserve">;</w:t>
      </w:r>
    </w:p>
    <w:p>
      <w:pPr>
        <w:pStyle w:val="Where"/>
      </w:pPr>
      <w:r>
        <w:tab/>
      </w:r>
      <m:oMath>
        <m:r>
          <m:t>H</m:t>
        </m:r>
      </m:oMath>
      <w:r>
        <w:t xml:space="preserve"> </w:t>
      </w:r>
      <w:r>
        <w:t xml:space="preserve">— горизонт прогноза.</w:t>
      </w:r>
    </w:p>
    <w:p>
      <w:pPr>
        <w:pStyle w:val="a2"/>
      </w:pPr>
      <w:r>
        <w:t xml:space="preserve">По тому же правилу [36], [37] пример момента</w:t>
      </w:r>
      <w:r>
        <w:t xml:space="preserve"> </w:t>
      </w:r>
      <m:oMath>
        <m:r>
          <m:t>T</m:t>
        </m:r>
      </m:oMath>
      <w:r>
        <w:t xml:space="preserve"> </w:t>
      </w:r>
      <w:r>
        <w:t xml:space="preserve">используется для обучения в момент</w:t>
      </w:r>
      <w:r>
        <w:t xml:space="preserve"> </w:t>
      </w:r>
      <m:oMath>
        <m:sSup>
          <m:e>
            <m:r>
              <m:t>T</m:t>
            </m:r>
          </m:e>
          <m:sup>
            <m:r>
              <m:rPr>
                <m:sty m:val="p"/>
              </m:rPr>
              <m:t>′</m:t>
            </m:r>
          </m:sup>
        </m:sSup>
      </m:oMath>
      <w:r>
        <w:t xml:space="preserve"> </w:t>
      </w:r>
      <w:r>
        <w:t xml:space="preserve">только при условии (2.15).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T</m:t>
        </m:r>
        <m:r>
          <m:rPr>
            <m:sty m:val="p"/>
          </m:rPr>
          <m:t>+</m:t>
        </m:r>
        <m:r>
          <m:t>H</m:t>
        </m:r>
        <m:r>
          <m:rPr>
            <m:sty m:val="p"/>
          </m:rPr>
          <m:t>≤</m:t>
        </m:r>
        <m:r>
          <m:t>W</m:t>
        </m:r>
        <m:r>
          <m:rPr>
            <m:sty m:val="p"/>
          </m:rPr>
          <m:t>(</m:t>
        </m:r>
        <m:sSup>
          <m:e>
            <m:r>
              <m:t>T</m:t>
            </m:r>
          </m:e>
          <m:sup>
            <m:r>
              <m:rPr>
                <m:sty m:val="p"/>
              </m:rPr>
              <m:t>′</m:t>
            </m:r>
          </m:sup>
        </m:sSup>
        <m:r>
          <m:rPr>
            <m:sty m:val="p"/>
          </m:rPr>
          <m:t>)</m:t>
        </m:r>
        <m:r>
          <m:rPr>
            <m:sty m:val="p"/>
          </m:rPr>
          <m:t>,</m:t>
        </m:r>
      </m:oMath>
      <w:r>
        <w:tab/>
      </w:r>
      <w:r>
        <w:rPr>
          <w:rFonts w:ascii="Times New Roman" w:hAnsi="Times New Roman" w:cs="Times New Roman" w:eastAsia="Times New Roman"/>
          <w:b w:val="0"/>
          <w:bCs w:val="0"/>
          <w:i w:val="0"/>
          <w:iCs w:val="0"/>
          <w:color w:val="000000"/>
          <w:sz w:val="28"/>
          <w:szCs w:val="28"/>
        </w:rPr>
        <w:t>(2.15)</w:t>
      </w:r>
    </w:p>
    <w:p>
      <w:pPr>
        <w:pStyle w:val="Where"/>
      </w:pPr>
      <w:r>
        <w:t xml:space="preserve">где</w:t>
      </w:r>
      <w:r>
        <w:tab/>
      </w:r>
      <m:oMath>
        <m:r>
          <m:t>W</m:t>
        </m:r>
        <m:r>
          <m:rPr>
            <m:sty m:val="p"/>
          </m:rPr>
          <m:t>(</m:t>
        </m:r>
        <m:sSup>
          <m:e>
            <m:r>
              <m:t>T</m:t>
            </m:r>
          </m:e>
          <m:sup>
            <m:r>
              <m:rPr>
                <m:sty m:val="p"/>
              </m:rPr>
              <m:t>′</m:t>
            </m:r>
          </m:sup>
        </m:sSup>
        <m:r>
          <m:rPr>
            <m:sty m:val="p"/>
          </m:rPr>
          <m:t>)</m:t>
        </m:r>
      </m:oMath>
      <w:r>
        <w:t xml:space="preserve"> </w:t>
      </w:r>
      <w:r>
        <w:t xml:space="preserve">— отметка актуальности на момент</w:t>
      </w:r>
      <w:r>
        <w:t xml:space="preserve"> </w:t>
      </w:r>
      <m:oMath>
        <m:sSup>
          <m:e>
            <m:r>
              <m:t>T</m:t>
            </m:r>
          </m:e>
          <m:sup>
            <m:r>
              <m:rPr>
                <m:sty m:val="p"/>
              </m:rPr>
              <m:t>′</m:t>
            </m:r>
          </m:sup>
        </m:sSup>
      </m:oMath>
      <w:r>
        <w:t xml:space="preserve">;</w:t>
      </w:r>
    </w:p>
    <w:p>
      <w:pPr>
        <w:pStyle w:val="Where"/>
      </w:pPr>
      <w:r>
        <w:tab/>
      </w:r>
      <m:oMath>
        <m:sSup>
          <m:e>
            <m:r>
              <m:t>T</m:t>
            </m:r>
          </m:e>
          <m:sup>
            <m:r>
              <m:rPr>
                <m:sty m:val="p"/>
              </m:rPr>
              <m:t>′</m:t>
            </m:r>
          </m:sup>
        </m:sSup>
      </m:oMath>
      <w:r>
        <w:t xml:space="preserve"> </w:t>
      </w:r>
      <w:r>
        <w:t xml:space="preserve">— момент использования примера для обучения.</w:t>
      </w:r>
    </w:p>
    <w:p>
      <w:pPr>
        <w:pStyle w:val="a2"/>
      </w:pPr>
      <w:r>
        <w:t xml:space="preserve">Условие означает, что интервал метки завершился, а примеры с неполной историей исключаются. Срез фиксируется в момент</w:t>
      </w:r>
      <w:r>
        <w:t xml:space="preserve"> </w:t>
      </w:r>
      <m:oMath>
        <m:r>
          <m:t>T</m:t>
        </m:r>
      </m:oMath>
      <w:r>
        <w:t xml:space="preserve"> </w:t>
      </w:r>
      <w:r>
        <w:t xml:space="preserve">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196" w:name="GOSTHeading196"/>
      <w:r>
        <w:t xml:space="preserve">2.1.4 Обучение, проверка и ввод модели в работу</w:t>
      </w:r>
      <w:bookmarkEnd w:id="196"/>
    </w:p>
    <w:p>
      <w:pPr>
        <w:pStyle w:val="FirstParagraph"/>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[38], и оценкой Брайера, проверяющей калибровку [39]. Пригодность прогноза к размещению проверяет вводимая в работе доля покрытия будущих чтений по формуле (2.16).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(2.16)</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197" w:name="GOSTHeading197"/>
      <w:r>
        <w:t xml:space="preserve">2.1.5 Алгоритм формирования плана размещения</w:t>
      </w:r>
      <w:bookmarkEnd w:id="197"/>
    </w:p>
    <w:p>
      <w:pPr>
        <w:pStyle w:val="FirstParagraph"/>
      </w:pPr>
      <w:r>
        <w:t xml:space="preserve">Алгоритм решает задачу 2.4 – 2.6 жадным выбором после проверки актуальности данных и пригодности модели по правилам разделов 2.1.3 и 2.1.4 пояснительной записки. Если HOT переполнен уже в начале цикла, сначала формируются опускания в COLD. Затем незакреплённые кандидаты COLD перебираются по убыванию удельной ценности</w:t>
      </w:r>
      <w:r>
        <w:t xml:space="preserve"> </w:t>
      </w:r>
      <m:oMath>
        <m:sSub>
          <m:e>
            <m:r>
              <m:rPr>
                <m:sty m:val="p"/>
              </m:rPr>
              <m:t>Δ</m:t>
            </m:r>
          </m:e>
          <m:sub>
            <m:r>
              <m:t>i</m:t>
            </m:r>
          </m:sub>
        </m:sSub>
        <m:r>
          <m:rPr>
            <m:sty m:val="p"/>
          </m:rPr>
          <m:t>/</m:t>
        </m:r>
        <m:sSub>
          <m:e>
            <m:r>
              <m:t>s</m:t>
            </m:r>
          </m:e>
          <m:sub>
            <m:r>
              <m:t>i</m:t>
            </m:r>
          </m:sub>
        </m:sSub>
      </m:oMath>
      <w:r>
        <w:t xml:space="preserve">, и для кандидата без места подбираются вытесняемые объекты HOT с наименьшей ценностью. Набор принимается, если выигрыш превышает потери вытесняемых объектов, штраф и</w:t>
      </w:r>
      <w:r>
        <w:t xml:space="preserve"> </w:t>
      </w:r>
      <m:oMath>
        <m:sSub>
          <m:e>
            <m:r>
              <m:rPr>
                <m:sty m:val="p"/>
              </m:rPr>
              <m:t>Δ</m:t>
            </m:r>
          </m:e>
          <m:sub>
            <m:r>
              <m:rPr>
                <m:sty m:val="p"/>
              </m:rPr>
              <m:t>min</m:t>
            </m:r>
          </m:sub>
        </m:sSub>
      </m:oMath>
      <w:r>
        <w:t xml:space="preserve">, а бюджет и место в COLD достаточны. Подъём в HOT начинается после удаления источников вытесненных объектов, поэтому действия плана связаны зависимостями.</w:t>
      </w:r>
    </w:p>
    <w:p>
      <w:pPr>
        <w:pStyle w:val="a2"/>
      </w:pPr>
      <w:r>
        <w:t xml:space="preserve">При равных размерах и</w:t>
      </w:r>
      <w:r>
        <w:t xml:space="preserve"> </w:t>
      </w:r>
      <m:oMath>
        <m:sSub>
          <m:e>
            <m:r>
              <m:rPr>
                <m:sty m:val="p"/>
              </m:rPr>
              <m:t>Δ</m:t>
            </m:r>
          </m:e>
          <m:sub>
            <m:r>
              <m:rPr>
                <m:sty m:val="p"/>
              </m:rPr>
              <m:t>min</m:t>
            </m:r>
          </m:sub>
        </m:sSub>
        <m:r>
          <m:rPr>
            <m:sty m:val="p"/>
          </m:rPr>
          <m:t>=</m:t>
        </m:r>
        <m:r>
          <m:t>0</m:t>
        </m:r>
      </m:oMath>
      <w:r>
        <w:t xml:space="preserve"> </w:t>
      </w:r>
      <w:r>
        <w:t xml:space="preserve">алгоритм точен: при фиксированном числе замен лучший план меняет лучшие объекты COLD на худшие объекты HOT, а выигрыш каждой следующей замены не возрастает, поэтому жадный выбор останавливается на оптимуме. Для разных размеров он является эвристикой [29], [40] и проверяется точным решением на малых выборках.</w:t>
      </w:r>
    </w:p>
    <w:p>
      <w:pPr>
        <w:pStyle w:val="a2"/>
      </w:pPr>
      <w:r>
        <w:t xml:space="preserve">Сложность алгоритма</w:t>
      </w:r>
      <w:r>
        <w:t xml:space="preserve"> </w:t>
      </w:r>
      <m:oMath>
        <m:r>
          <m:t>O</m:t>
        </m:r>
        <m:r>
          <m:rPr>
            <m:sty m:val="p"/>
          </m:rPr>
          <m:t>(</m:t>
        </m:r>
        <m:r>
          <m:rPr>
            <m:sty m:val="p"/>
          </m:rPr>
          <m:t>|</m:t>
        </m:r>
        <m:r>
          <m:t>I</m:t>
        </m:r>
        <m:r>
          <m:rPr>
            <m:sty m:val="p"/>
          </m:rPr>
          <m:t>|</m:t>
        </m:r>
        <m:r>
          <m:rPr>
            <m:sty m:val="p"/>
          </m:rPr>
          <m:t>log</m:t>
        </m:r>
        <m:r>
          <m:rPr>
            <m:sty m:val="p"/>
          </m:rPr>
          <m:t>|</m:t>
        </m:r>
        <m:r>
          <m:t>I</m:t>
        </m:r>
        <m:r>
          <m:rPr>
            <m:sty m:val="p"/>
          </m:rPr>
          <m:t>|</m:t>
        </m:r>
        <m:r>
          <m:rPr>
            <m:sty m:val="p"/>
          </m:rPr>
          <m:t>)</m:t>
        </m:r>
      </m:oMath>
      <w:r>
        <w:t xml:space="preserve"> </w:t>
      </w:r>
      <w:r>
        <w:t xml:space="preserve">определяется сортировкой.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keepNext w:val="1"/>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198" w:name="GOSTHeading198"/>
      <w:r>
        <w:t xml:space="preserve">2.1.6 Объяснение рекомендаций</w:t>
      </w:r>
      <w:bookmarkEnd w:id="198"/>
    </w:p>
    <w:p>
      <w:pPr>
        <w:pStyle w:val="FirstParagraph"/>
      </w:pPr>
      <w:r>
        <w:t xml:space="preserve">Объяснение нужно администратору как лицу, принимающему решение (далее ЛПР), для решения по плану в пределах функционального требования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давность,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подъём объекта А требует опустить Б, подтверждение только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1" w:name="протокол-безопасного-переноса"/>
    <w:p>
      <w:pPr>
        <w:pStyle w:val="30"/>
      </w:pPr>
      <w:bookmarkStart w:id="199" w:name="GOSTHeading199"/>
      <w:r>
        <w:t xml:space="preserve">2.1.7 Протокол безопасного переноса</w:t>
      </w:r>
      <w:bookmarkEnd w:id="199"/>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[41]: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Gateway.</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[42].</w:t>
      </w:r>
    </w:p>
    <w:p>
      <w:pPr>
        <w:pStyle w:val="a2"/>
      </w:pPr>
      <w:r>
        <w:t xml:space="preserve">Состояния миграции показаны на Рисунке А.1 в Приложении А в нотации диаграммы состояний унифицированного языка моделирования (англ. Unified Modeling Language, далее UML) [43].</w:t>
      </w:r>
    </w:p>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1"/>
    <w:bookmarkEnd w:id="72"/>
    <w:bookmarkStart w:id="85" w:name="модели-процессов"/>
    <w:p>
      <w:pPr>
        <w:pStyle w:val="21"/>
      </w:pPr>
      <w:bookmarkStart w:id="200" w:name="GOSTHeading200"/>
      <w:r>
        <w:t xml:space="preserve">2.2 Модели процессов</w:t>
      </w:r>
      <w:bookmarkEnd w:id="200"/>
    </w:p>
    <w:p>
      <w:pPr>
        <w:pStyle w:val="FirstParagraph"/>
      </w:pPr>
      <w:r>
        <w:t xml:space="preserve">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[44].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77" w:name="исходный-процесс-управления-размещением"/>
    <w:p>
      <w:pPr>
        <w:pStyle w:val="30"/>
      </w:pPr>
      <w:bookmarkStart w:id="201" w:name="GOSTHeading201"/>
      <w:r>
        <w:t xml:space="preserve">2.2.1 Исходный процесс управления размещением</w:t>
      </w:r>
      <w:bookmarkEnd w:id="201"/>
    </w:p>
    <w:p>
      <w:pPr>
        <w:pStyle w:val="FirstParagraph"/>
        <w:keepNext w:val="1"/>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Lifecycle [8], по таймеру переводит старые объекты в COLD. Модель приведена на Рисунке 2.3.</w:t>
      </w:r>
    </w:p>
    <w:bookmarkStart w:id="76" w:name="gost-fig:bpmn_asis"/>
    <w:p>
      <w:pPr>
        <w:pStyle w:val="CaptionedFigure"/>
        <w:keepNext w:val="1"/>
      </w:pPr>
      <w:r>
        <w:drawing>
          <wp:inline>
            <wp:extent cx="5010607" cy="6300000"/>
            <wp:effectExtent b="0" l="0" r="0" t="0"/>
            <wp:docPr descr="Модель исходного процесса управления размещением AS-IS" title="" id="74" name="Picture"/>
            <a:graphic>
              <a:graphicData uri="http://schemas.openxmlformats.org/drawingml/2006/picture">
                <pic:pic>
                  <pic:nvPicPr>
                    <pic:cNvPr descr="images/bpmn_asis.png" id="75" name="Picture"/>
                    <pic:cNvPicPr>
                      <a:picLocks noChangeArrowheads="1" noChangeAspect="1"/>
                    </pic:cNvPicPr>
                  </pic:nvPicPr>
                  <pic:blipFill>
                    <a:blip r:embed="rId73"/>
                    <a:stretch>
                      <a:fillRect/>
                    </a:stretch>
                  </pic:blipFill>
                  <pic:spPr bwMode="auto">
                    <a:xfrm>
                      <a:off x="0" y="0"/>
                      <a:ext cx="5010607" cy="6300000"/>
                    </a:xfrm>
                    <a:prstGeom prst="rect">
                      <a:avLst/>
                    </a:prstGeom>
                    <a:noFill/>
                    <a:ln w="9525">
                      <a:noFill/>
                      <a:headEnd/>
                      <a:tailEnd/>
                    </a:ln>
                  </pic:spPr>
                </pic:pic>
              </a:graphicData>
            </a:graphic>
          </wp:inline>
        </w:drawing>
      </w:r>
    </w:p>
    <w:p>
      <w:pPr>
        <w:pStyle w:val="ImageCaption"/>
      </w:pPr>
      <w:r>
        <w:t xml:space="preserve">Рисунок 2.3 — Модель исходного процесса управления размещением AS-IS</w:t>
      </w:r>
    </w:p>
    <w:bookmarkEnd w:id="76"/>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77"/>
    <w:bookmarkStart w:id="82" w:name="проектируемый-процесс"/>
    <w:p>
      <w:pPr>
        <w:pStyle w:val="30"/>
      </w:pPr>
      <w:bookmarkStart w:id="202" w:name="GOSTHeading202"/>
      <w:r>
        <w:t xml:space="preserve">2.2.2 Проектируемый процесс</w:t>
      </w:r>
      <w:bookmarkEnd w:id="202"/>
    </w:p>
    <w:p>
      <w:pPr>
        <w:pStyle w:val="FirstParagraph"/>
        <w:keepNext w:val="1"/>
      </w:pPr>
      <w:r>
        <w:t xml:space="preserve">Модель TO-BE на Рисунке 2.4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1" w:name="gost-fig:bpmn_tobe"/>
    <w:p>
      <w:pPr>
        <w:pStyle w:val="CaptionedFigure"/>
        <w:keepNext w:val="1"/>
      </w:pPr>
      <w:r>
        <w:drawing>
          <wp:inline>
            <wp:extent cx="4499676" cy="6300000"/>
            <wp:effectExtent b="0" l="0" r="0" t="0"/>
            <wp:docPr descr="Модель проектируемого процесса управления размещением TO-BE" title="" id="79" name="Picture"/>
            <a:graphic>
              <a:graphicData uri="http://schemas.openxmlformats.org/drawingml/2006/picture">
                <pic:pic>
                  <pic:nvPicPr>
                    <pic:cNvPr descr="images/bpmn_tobe.png" id="80" name="Picture"/>
                    <pic:cNvPicPr>
                      <a:picLocks noChangeArrowheads="1" noChangeAspect="1"/>
                    </pic:cNvPicPr>
                  </pic:nvPicPr>
                  <pic:blipFill>
                    <a:blip r:embed="rId78"/>
                    <a:stretch>
                      <a:fillRect/>
                    </a:stretch>
                  </pic:blipFill>
                  <pic:spPr bwMode="auto">
                    <a:xfrm>
                      <a:off x="0" y="0"/>
                      <a:ext cx="4499676" cy="6300000"/>
                    </a:xfrm>
                    <a:prstGeom prst="rect">
                      <a:avLst/>
                    </a:prstGeom>
                    <a:noFill/>
                    <a:ln w="9525">
                      <a:noFill/>
                      <a:headEnd/>
                      <a:tailEnd/>
                    </a:ln>
                  </pic:spPr>
                </pic:pic>
              </a:graphicData>
            </a:graphic>
          </wp:inline>
        </w:drawing>
      </w:r>
    </w:p>
    <w:p>
      <w:pPr>
        <w:pStyle w:val="ImageCaption"/>
      </w:pPr>
      <w:r>
        <w:t xml:space="preserve">Рисунок 2.4 — Модель проектируемого процесса управления размещением TO-BE</w:t>
      </w:r>
    </w:p>
    <w:bookmarkEnd w:id="81"/>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обращений по событиям чтений, которые OpenS3 передаёт сообщениями.</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2"/>
    <w:bookmarkStart w:id="84" w:name="сравнение-процессов"/>
    <w:p>
      <w:pPr>
        <w:pStyle w:val="30"/>
      </w:pPr>
      <w:bookmarkStart w:id="203" w:name="GOSTHeading203"/>
      <w:r>
        <w:t xml:space="preserve">2.2.3 Сравнение процессов</w:t>
      </w:r>
      <w:bookmarkEnd w:id="203"/>
    </w:p>
    <w:p>
      <w:pPr>
        <w:pStyle w:val="FirstParagraph"/>
      </w:pPr>
      <w:r>
        <w:t xml:space="preserve">Изменения сведены в Таблице 2.3. Процессы не измерялись, поэтому сравнение качественное.</w:t>
      </w:r>
    </w:p>
    <w:bookmarkStart w:id="83"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465"/>
        <w:gridCol w:w="3447"/>
        <w:gridCol w:w="3726"/>
      </w:tblGrid>
      <w:tr>
        <w:trPr>
          <w:tblHeader w:val="on"/>
          <w:cantSplit/>
        </w:trPr>
        <w:tc>
          <w:tcPr>
            <w:tcW w:w="2465"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3447"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72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465"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3447"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72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465"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3447"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давности и возрасту</w:t>
            </w:r>
          </w:p>
        </w:tc>
        <w:tc>
          <w:tcPr>
            <w:tcW w:w="372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465"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3447"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72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465"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3447"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72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465"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3447"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72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465"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3447"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72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465"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3447"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72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3"/>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4"/>
    <w:bookmarkEnd w:id="85"/>
    <w:bookmarkStart w:id="97" w:name="архитектура-системы"/>
    <w:p>
      <w:pPr>
        <w:pStyle w:val="21"/>
      </w:pPr>
      <w:bookmarkStart w:id="204" w:name="GOSTHeading204"/>
      <w:r>
        <w:t xml:space="preserve">2.3 Архитектура системы</w:t>
      </w:r>
      <w:bookmarkEnd w:id="204"/>
    </w:p>
    <w:p>
      <w:pPr>
        <w:pStyle w:val="FirstParagraph"/>
      </w:pPr>
      <w:r>
        <w:t xml:space="preserve">Расчёт рекомендаций отделяется от клиентского чтения, а переносы выполняет отдельный процесс. Подраздел определяет ответственность компонентов OpenS3 и СППР, хранение их данных и согласование состояния с Metadata.</w:t>
      </w:r>
    </w:p>
    <w:bookmarkStart w:id="86" w:name="изменения-компонентов-opens3"/>
    <w:p>
      <w:pPr>
        <w:pStyle w:val="30"/>
      </w:pPr>
      <w:bookmarkStart w:id="205" w:name="GOSTHeading205"/>
      <w:r>
        <w:t xml:space="preserve">2.3.1 Изменения компонентов OpenS3</w:t>
      </w:r>
      <w:bookmarkEnd w:id="205"/>
    </w:p>
    <w:p>
      <w:pPr>
        <w:pStyle w:val="FirstParagraph"/>
      </w:pPr>
      <w:r>
        <w:t xml:space="preserve">Для СППР в рассмотренной версии OpenS3 [7] изменяются три компонента. Metadata дополняется классами и расположением версий с условным переключением CAS и учётом временных копий, Storage — необязательным идентификатором blob при записи и вторым экземпляром на отдельном томе, а Gateway — выбором экземпляра Storage по классу, публикацией событий и диапазонным чтением. Auth и AuthZ не изменяются. Новая версия записывается в COLD, что исключает переполнение HOT вне плана, но новый популярный объект читается из COLD до ближайшего плана.</w:t>
      </w:r>
    </w:p>
    <w:bookmarkEnd w:id="86"/>
    <w:bookmarkStart w:id="91" w:name="компонентная-модель"/>
    <w:p>
      <w:pPr>
        <w:pStyle w:val="30"/>
      </w:pPr>
      <w:bookmarkStart w:id="206" w:name="GOSTHeading206"/>
      <w:r>
        <w:t xml:space="preserve">2.3.2 Компонентная модель</w:t>
      </w:r>
      <w:bookmarkEnd w:id="206"/>
    </w:p>
    <w:p>
      <w:pPr>
        <w:pStyle w:val="FirstParagraph"/>
        <w:keepNext w:val="1"/>
      </w:pPr>
      <w:r>
        <w:t xml:space="preserve">Компоненты СППР выведены из модели TO-BE: Ingestor, Feature Builder, Predictor и Planner с Explainer рассчитывают план, Admin API с веб-интерфейсом принимает решения ЛПР, Model Manager запускает Trainer и ведёт реестр моделей, Migration Executor применяет подтверждённые действия. Компоненты показаны на Рисунке 2.5 в нотации диаграммы компонентов UML [43]: пунктирная рамка выделяет OpenS3, сплошная — СППР.</w:t>
      </w:r>
    </w:p>
    <w:bookmarkStart w:id="90" w:name="gost-fig:components"/>
    <w:p>
      <w:pPr>
        <w:pStyle w:val="CaptionedFigure"/>
        <w:keepNext w:val="1"/>
      </w:pPr>
      <w:r>
        <w:drawing>
          <wp:inline>
            <wp:extent cx="5608742" cy="6300000"/>
            <wp:effectExtent b="0" l="0" r="0" t="0"/>
            <wp:docPr descr="Диаграмма компонентов системы" title="" id="88" name="Picture"/>
            <a:graphic>
              <a:graphicData uri="http://schemas.openxmlformats.org/drawingml/2006/picture">
                <pic:pic>
                  <pic:nvPicPr>
                    <pic:cNvPr descr="images/components.png" id="89" name="Picture"/>
                    <pic:cNvPicPr>
                      <a:picLocks noChangeArrowheads="1" noChangeAspect="1"/>
                    </pic:cNvPicPr>
                  </pic:nvPicPr>
                  <pic:blipFill>
                    <a:blip r:embed="rId87"/>
                    <a:stretch>
                      <a:fillRect/>
                    </a:stretch>
                  </pic:blipFill>
                  <pic:spPr bwMode="auto">
                    <a:xfrm>
                      <a:off x="0" y="0"/>
                      <a:ext cx="5608742" cy="6300000"/>
                    </a:xfrm>
                    <a:prstGeom prst="rect">
                      <a:avLst/>
                    </a:prstGeom>
                    <a:noFill/>
                    <a:ln w="9525">
                      <a:noFill/>
                      <a:headEnd/>
                      <a:tailEnd/>
                    </a:ln>
                  </pic:spPr>
                </pic:pic>
              </a:graphicData>
            </a:graphic>
          </wp:inline>
        </w:drawing>
      </w:r>
    </w:p>
    <w:p>
      <w:pPr>
        <w:pStyle w:val="ImageCaption"/>
      </w:pPr>
      <w:r>
        <w:t xml:space="preserve">Рисунок 2.5 — Диаграмма компонентов системы</w:t>
      </w:r>
    </w:p>
    <w:bookmarkEnd w:id="90"/>
    <w:p>
      <w:pPr>
        <w:pStyle w:val="a2"/>
      </w:pPr>
      <w:r>
        <w:t xml:space="preserve">Схема отражает три решения. Во-первых, сервис СППР находится вне синхронного пути чтения: клиентское чтение проходит через Gateway, Metadata и Storage, а события попадают в Ingestor асинхронно через Kafka. Во-вторых, подтверждённые команды сохраняются до исполнения: Admin API проверяет права через Auth и AuthZ и записывает команды в базу СППР, откуда их забирает Migration Executor. В-третьих, исполнитель вынесен в отдельный процесс, так как только он записывает копии в Storage и меняет расположение, а отказ сервиса СППР не прерывает начатые переносы. Сервис СППР и обучение работают в общей квоте вычислительных ресурсов из раздела 1.3.5 пояснительной записки, поэтому влияние обучения на чтения входит в измерения.</w:t>
      </w:r>
    </w:p>
    <w:bookmarkEnd w:id="91"/>
    <w:bookmarkStart w:id="92" w:name="модель-данных"/>
    <w:p>
      <w:pPr>
        <w:pStyle w:val="30"/>
      </w:pPr>
      <w:bookmarkStart w:id="207" w:name="GOSTHeading207"/>
      <w:r>
        <w:t xml:space="preserve">2.3.3 Модель данных</w:t>
      </w:r>
      <w:bookmarkEnd w:id="207"/>
    </w:p>
    <w:p>
      <w:pPr>
        <w:pStyle w:val="FirstParagraph"/>
      </w:pPr>
      <w:r>
        <w:t xml:space="preserve">Структура хранимых данных показана на Рисунке Б.1 в Приложении Б: в Metadata добавляются таблицы</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остальные таблицы относятся к базе СППР.</w:t>
      </w:r>
    </w:p>
    <w:p>
      <w:pPr>
        <w:pStyle w:val="a2"/>
      </w:pPr>
      <w:r>
        <w:t xml:space="preserve">Таблица</w:t>
      </w:r>
      <w:r>
        <w:t xml:space="preserve"> </w:t>
      </w:r>
      <w:r>
        <w:rPr>
          <w:i/>
          <w:iCs/>
        </w:rPr>
        <w:t xml:space="preserve">version_placements</w:t>
      </w:r>
      <w:r>
        <w:t xml:space="preserve"> </w:t>
      </w:r>
      <w:r>
        <w:t xml:space="preserve">хранит одну действующую запись расположения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 временные копии. Metadata остаётся единственным источником истины о расположении, а база СППР хранит лишь ссылки на версию и поколение, поэтому расхождения выявляет повторная проверка перед переносом. Таким образом, Metadata хранит то, что нужно для клиентского чтения, а база СППР — данные для расчёта и контроля рекомендаций, в которых команды и миграции образуют журнал.</w:t>
      </w:r>
    </w:p>
    <w:bookmarkEnd w:id="92"/>
    <w:bookmarkStart w:id="94" w:name="анализ-архитектуры"/>
    <w:p>
      <w:pPr>
        <w:pStyle w:val="30"/>
      </w:pPr>
      <w:bookmarkStart w:id="208" w:name="GOSTHeading208"/>
      <w:r>
        <w:t xml:space="preserve">2.3.4 Анализ архитектуры</w:t>
      </w:r>
      <w:bookmarkEnd w:id="208"/>
    </w:p>
    <w:p>
      <w:pPr>
        <w:pStyle w:val="FirstParagraph"/>
      </w:pPr>
      <w:r>
        <w:t xml:space="preserve">Узкие места, точки отказа и принятые решения сведены в Таблице 2.4.</w:t>
      </w:r>
    </w:p>
    <w:bookmarkStart w:id="93" w:name="gost-tbl:arch_analysis"/>
    <w:p>
      <w:pPr>
        <w:pStyle w:val="TableCaption"/>
      </w:pPr>
      <w:r>
        <w:t xml:space="preserve">Таблица 2.4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Анализ архитектуры"/>
      </w:tblPr>
      <w:tblGrid>
        <w:gridCol w:w="2100"/>
        <w:gridCol w:w="2792"/>
        <w:gridCol w:w="4746"/>
      </w:tblGrid>
      <w:tr>
        <w:trPr>
          <w:tblHeader w:val="on"/>
          <w:cantSplit/>
        </w:trPr>
        <w:tc>
          <w:tcPr>
            <w:tcW w:w="21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92"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746"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Gateway и Metadata</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Admin API, исполнитель перепроверяет условия</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Storage COLD</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Metadata — источник истины, CAS</w:t>
            </w:r>
          </w:p>
        </w:tc>
      </w:tr>
    </w:tbl>
    <w:bookmarkEnd w:id="93"/>
    <w:p>
      <w:pPr>
        <w:pStyle w:val="a2"/>
        <w:spacing w:before="120"/>
      </w:pPr>
      <w:r>
        <w:t xml:space="preserve">Узким местом остаётся применение плана: если спрос меняется быстрее, чем позволяет бюджет, даже точный прогноз не уменьшит задержку, и эта граница проверяется прогонами с разными</w:t>
      </w:r>
      <w:r>
        <w:t xml:space="preserve"> </w:t>
      </w:r>
      <m:oMath>
        <m:r>
          <m:t>B</m:t>
        </m:r>
      </m:oMath>
      <w:r>
        <w:t xml:space="preserve">.</w:t>
      </w:r>
    </w:p>
    <w:bookmarkEnd w:id="94"/>
    <w:bookmarkStart w:id="96" w:name="соответствие-требованиям"/>
    <w:p>
      <w:pPr>
        <w:pStyle w:val="30"/>
      </w:pPr>
      <w:bookmarkStart w:id="209" w:name="GOSTHeading209"/>
      <w:r>
        <w:t xml:space="preserve">2.3.5 Соответствие требованиям</w:t>
      </w:r>
      <w:bookmarkEnd w:id="209"/>
    </w:p>
    <w:p>
      <w:pPr>
        <w:pStyle w:val="FirstParagraph"/>
      </w:pPr>
      <w:r>
        <w:t xml:space="preserve">Связь функциональных требований раздела 1.3.2 пояснительной записки с проектом приведена в Таблице 2.5.</w:t>
      </w:r>
    </w:p>
    <w:bookmarkStart w:id="95" w:name="gost-tbl:traceability"/>
    <w:p>
      <w:pPr>
        <w:pStyle w:val="TableCaption"/>
      </w:pPr>
      <w:r>
        <w:t xml:space="preserve">Таблица 2.5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Gateway, Ingestor: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Metadata: классы, расположение, занятость с копиями (Рисунок Б.1)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Feature Builder: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Model Manager, Trainer: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Planner: задача 2.4 – 2.6 и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Explainer: объяснение из величин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Admin API, Migration Executor: ревизии плана, отмена и пауза (Рисунок 2.4)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Migration Executor, Metadata: повторная проверка, проверка копии до CAS, сохранение состояния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 (Рисунок Б.1)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Predictor, Planner: базовые политики с тем же планировщиком (раздел 2.1.2)</w:t>
            </w:r>
          </w:p>
        </w:tc>
      </w:tr>
    </w:tbl>
    <w:bookmarkEnd w:id="95"/>
    <w:p>
      <w:pPr>
        <w:pStyle w:val="a2"/>
        <w:spacing w:before="120"/>
      </w:pPr>
      <w:r>
        <w:t xml:space="preserve">Путь событий и признаков обеспечивают Gateway, Ingestor и Feature Builder, расчёт плана — Predictor, Planner и Explainer, управление и перенос — Admin API, Migration Executor и Metadata. Выполнение требований предстоит подтвердить реализацией и испытаниями.</w:t>
      </w:r>
    </w:p>
    <w:bookmarkEnd w:id="96"/>
    <w:bookmarkEnd w:id="97"/>
    <w:bookmarkStart w:id="98" w:name="обоснование-инструментов-реализации"/>
    <w:p>
      <w:pPr>
        <w:pStyle w:val="21"/>
      </w:pPr>
      <w:bookmarkStart w:id="210" w:name="GOSTHeading210"/>
      <w:r>
        <w:t xml:space="preserve">2.4 Обоснование инструментов реализации</w:t>
      </w:r>
      <w:bookmarkEnd w:id="210"/>
    </w:p>
    <w:p>
      <w:pPr>
        <w:pStyle w:val="FirstParagraph"/>
      </w:pPr>
      <w:r>
        <w:t xml:space="preserve">Инструменты выбраны под модель, архитектуру и совместимость с OpenS3, сервисы которого написаны на Go и общаются по gRPC [7], поэтому сервис СППР и исполнитель разрабатываются на Go с общими клиентами gRPC. Модель обучается на процессоре на Python с библиотекой LightGBM, которая поддерживает логистическую и пуассоновскую функции потерь [32] и строит деревья по гистограммам, что уменьшает время и память обучения [45], а применяется в сервисе СППР через библиотеку leaves, читающую модели LightGBM на Go [46]. Для данных СППР и потока событий используются уже развёрнутые в OpenS3 PostgreSQL, транзакции которого защищают команды и миграции [47], и Kafka, отделяющая публикацию событий от обработки [35]. Применение модели на Go выбрано вместо отдельного сервиса на Python, который добавил бы сетевой вызов, и формата обмена моделями (англ. Open Neural Network Exchange, далее ONNX), требующего нативной библиотеки ONNX Runtime [48].</w:t>
      </w:r>
    </w:p>
    <w:bookmarkEnd w:id="98"/>
    <w:bookmarkStart w:id="99" w:name="выводы-по-аналитическому-разделу"/>
    <w:p>
      <w:pPr>
        <w:pStyle w:val="21"/>
      </w:pPr>
      <w:bookmarkStart w:id="211" w:name="GOSTHeading211"/>
      <w:r>
        <w:t xml:space="preserve">2.5 Выводы по аналитическому разделу</w:t>
      </w:r>
      <w:bookmarkEnd w:id="211"/>
    </w:p>
    <w:p>
      <w:pPr>
        <w:pStyle w:val="FirstParagraph"/>
      </w:pPr>
      <w:r>
        <w:t xml:space="preserve">Задача размещения сведена к варианту задачи о ранце: прогноз двухэтапной модели преобразуется в ожидаемое уменьшение задержки, а план учитывает ёмкость классов, бюджет копирования, закрепления и зависимости действий.</w:t>
      </w:r>
    </w:p>
    <w:p>
      <w:pPr>
        <w:pStyle w:val="a2"/>
      </w:pPr>
      <w:r>
        <w:t xml:space="preserve">Спроектированы сервис СППР рядом с OpenS3 и отдельный исполнитель переносов. Администратор как ЛПР решает, применять ли план, расчёт отделён от клиентского чтения очередью событий, а расположение меняется в Metadata через CAS только после проверки версии и целевой копии.</w:t>
      </w:r>
    </w:p>
    <w:p>
      <w:pPr>
        <w:pStyle w:val="a2"/>
      </w:pPr>
      <w:r>
        <w:t xml:space="preserve">Проверку определяют ограничения проекта: единственный экземпляр сервиса СППР и исполнителя, отсутствие общей транзакции двух баз, ограниченная бюджетом скорость применения плана, чтение новых версий из COLD до ближайшего плана, непредсказуемость всплесков без предвестников и грубая оценка новых объектов, линейная модель времени чтения без очередей, эвристический характер алгоритма для объектов разного размера и приостановка прогнозных действий при пропусках событий. На следующем этапе предстоит реализовать компоненты, подобрать экспериментом</w:t>
      </w:r>
      <w:r>
        <w:t xml:space="preserve"> </w:t>
      </w:r>
      <m:oMath>
        <m:r>
          <m:t>H</m:t>
        </m:r>
      </m:oMath>
      <w:r>
        <w:t xml:space="preserve">, окна признаков,</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и сравнить прогнозную политику с базовыми.</w:t>
      </w:r>
    </w:p>
    <w:bookmarkEnd w:id="99"/>
    <w:bookmarkEnd w:id="100"/>
    <w:bookmarkStart w:id="154" w:name="список-использованных-источников"/>
    <w:p>
      <w:pPr>
        <w:pStyle w:val="GOSTStructuralHeading"/>
      </w:pPr>
      <w:bookmarkStart w:id="212" w:name="GOSTHeading212"/>
      <w:r>
        <w:t xml:space="preserve">СПИСОК ИСПОЛЬЗОВАННЫХ ИСТОЧНИКОВ</w:t>
      </w:r>
      <w:bookmarkEnd w:id="212"/>
    </w:p>
    <w:p>
      <w:pPr>
        <w:pStyle w:val="Compact"/>
        <w:numPr>
          <w:ilvl w:val="0"/>
          <w:numId w:val="1004"/>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01">
        <w:r>
          <w:rPr>
            <w:rStyle w:val="af4"/>
          </w:rPr>
          <w:t xml:space="preserve">10.1145/3803857</w:t>
        </w:r>
      </w:hyperlink>
      <w:r>
        <w:t xml:space="preserve">.</w:t>
      </w:r>
    </w:p>
    <w:p>
      <w:pPr>
        <w:pStyle w:val="Compact"/>
        <w:numPr>
          <w:ilvl w:val="0"/>
          <w:numId w:val="1004"/>
        </w:numPr>
        <w:spacing w:before="0" w:after="0" w:line="360" w:lineRule="auto"/>
        <w:ind w:left="0" w:firstLine="709"/>
      </w:pPr>
      <w:r>
        <w:t xml:space="preserve">Amazon Web Services. Amazon S3 User Guide [Электронный ресурс]. URL:</w:t>
      </w:r>
      <w:r>
        <w:t xml:space="preserve"> </w:t>
      </w:r>
      <w:hyperlink r:id="rId102">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03">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04">
        <w:r>
          <w:rPr>
            <w:rStyle w:val="af4"/>
          </w:rPr>
          <w:t xml:space="preserve">https://​docs.​aws.​amazon.​com/​AmazonS3/​latest/​userguide/​intelligent-​tiering-​overview.​html</w:t>
        </w:r>
      </w:hyperlink>
      <w:r>
        <w:t xml:space="preserve"> </w:t>
      </w:r>
      <w:r>
        <w:t xml:space="preserve">(How S3 Intelligent-Tiering works) (дата обращения: 09.10.2026).</w:t>
      </w:r>
    </w:p>
    <w:p>
      <w:pPr>
        <w:pStyle w:val="Compact"/>
        <w:numPr>
          <w:ilvl w:val="0"/>
          <w:numId w:val="1004"/>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05">
        <w:r>
          <w:rPr>
            <w:rStyle w:val="af4"/>
          </w:rPr>
          <w:t xml:space="preserve">10.1016/j.comcom.2026.108437</w:t>
        </w:r>
      </w:hyperlink>
      <w:r>
        <w:t xml:space="preserve">.</w:t>
      </w:r>
    </w:p>
    <w:p>
      <w:pPr>
        <w:pStyle w:val="Compact"/>
        <w:numPr>
          <w:ilvl w:val="0"/>
          <w:numId w:val="1004"/>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06">
        <w:r>
          <w:rPr>
            <w:rStyle w:val="af4"/>
          </w:rPr>
          <w:t xml:space="preserve">10.​17586/​2226-​1494-​2023-​23-​6-​1171-​1177</w:t>
        </w:r>
      </w:hyperlink>
      <w:r>
        <w:t xml:space="preserve">.</w:t>
      </w:r>
    </w:p>
    <w:p>
      <w:pPr>
        <w:pStyle w:val="Compact"/>
        <w:numPr>
          <w:ilvl w:val="0"/>
          <w:numId w:val="1004"/>
        </w:numPr>
        <w:spacing w:before="0" w:after="0" w:line="360" w:lineRule="auto"/>
        <w:ind w:left="0" w:firstLine="709"/>
      </w:pPr>
      <w:r>
        <w:t xml:space="preserve">Amazon Web Services. Naming Amazon S3 objects [Электронный ресурс]. URL:</w:t>
      </w:r>
      <w:r>
        <w:t xml:space="preserve"> </w:t>
      </w:r>
      <w:hyperlink r:id="rId107">
        <w:r>
          <w:rPr>
            <w:rStyle w:val="af4"/>
          </w:rPr>
          <w:t xml:space="preserve">https://​docs.​aws.​amazon.​com/​AmazonS3/​latest/​userguide/​object-​keys.​html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08">
        <w:r>
          <w:rPr>
            <w:rStyle w:val="af4"/>
          </w:rPr>
          <w:t xml:space="preserve">https://​docs.​aws.​amazon.​com/​AmazonS3/​latest/​userguide/​Versioning.​html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09">
        <w:r>
          <w:rPr>
            <w:rStyle w:val="af4"/>
          </w:rPr>
          <w:t xml:space="preserve">https://​github.​com/​alesplll/​opens3-​rebac/​tree/​ac858c748b5d3af96f0440864f4b299e7b617d76</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Transitioning objects using Amazon S3 Lifecycle [Электронный ресурс]. URL:</w:t>
      </w:r>
      <w:r>
        <w:t xml:space="preserve"> </w:t>
      </w:r>
      <w:hyperlink r:id="rId110">
        <w:r>
          <w:rPr>
            <w:rStyle w:val="af4"/>
          </w:rPr>
          <w:t xml:space="preserve">https://​docs.​aws.​amazon.​com/​AmazonS3/​latest/​userguide/​lifecycle-​transition-​general-​considerations.​html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11">
        <w:r>
          <w:rPr>
            <w:rStyle w:val="af4"/>
          </w:rPr>
          <w:t xml:space="preserve">https://​docs.​ceph.​com/​en/​squid/​radosgw/​placement/​</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12">
        <w:r>
          <w:rPr>
            <w:rStyle w:val="af4"/>
          </w:rPr>
          <w:t xml:space="preserve">https://​docs.​ceph.​com/​en/​squid/​rados/​operations/​crush-​map-​edits/​</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MinIO. Object Lifecycle Management. AIStor Documentation [Электронный ресурс]. URL:</w:t>
      </w:r>
      <w:r>
        <w:t xml:space="preserve"> </w:t>
      </w:r>
      <w:hyperlink r:id="rId113">
        <w:r>
          <w:rPr>
            <w:rStyle w:val="af4"/>
          </w:rPr>
          <w:t xml:space="preserve">https://​docs.​min.​io/​aistor/​administration/​object-​lifecycle-​management/​</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MinIO. Object Tiering. AIStor Documentation [Электронный ресурс]. URL:</w:t>
      </w:r>
      <w:r>
        <w:t xml:space="preserve"> </w:t>
      </w:r>
      <w:hyperlink r:id="rId114">
        <w:r>
          <w:rPr>
            <w:rStyle w:val="af4"/>
          </w:rPr>
          <w:t xml:space="preserve">https://​docs.​min.​io/​aistor/​administration/​object-​lifecycle-​management/​object-​tiering/​</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GetObject. Amazon S3 API Reference [Электронный ресурс]. URL:</w:t>
      </w:r>
      <w:r>
        <w:t xml:space="preserve"> </w:t>
      </w:r>
      <w:hyperlink r:id="rId115">
        <w:r>
          <w:rPr>
            <w:rStyle w:val="af4"/>
          </w:rPr>
          <w:t xml:space="preserve">https://​docs.​aws.​amazon.​com/​AmazonS3/​latest/​API/​API_​GetObject.​html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Amazon S3 server access log format [Электронный ресурс]. URL:</w:t>
      </w:r>
      <w:r>
        <w:t xml:space="preserve"> </w:t>
      </w:r>
      <w:hyperlink r:id="rId116">
        <w:r>
          <w:rPr>
            <w:rStyle w:val="af4"/>
          </w:rPr>
          <w:t xml:space="preserve">https://​docs.​aws.​amazon.​com/​AmazonS3/​latest/​userguide/​LogFormat.​html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17">
        <w:r>
          <w:rPr>
            <w:rStyle w:val="af4"/>
          </w:rPr>
          <w:t xml:space="preserve">https://​arxiv.​org/​abs/​2305.​14818</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18">
        <w:r>
          <w:rPr>
            <w:rStyle w:val="af4"/>
          </w:rPr>
          <w:t xml:space="preserve">https://​www.​usenix.​org/​conference/​fast24/​presentation/​wong</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Amazon S3 pricing [Электронный ресурс]. URL:</w:t>
      </w:r>
      <w:r>
        <w:t xml:space="preserve"> </w:t>
      </w:r>
      <w:hyperlink r:id="rId119">
        <w:r>
          <w:rPr>
            <w:rStyle w:val="af4"/>
          </w:rPr>
          <w:t xml:space="preserve">https://​aws.​amazon.​com/​s3/​pricing/​</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20">
        <w:r>
          <w:rPr>
            <w:rStyle w:val="af4"/>
          </w:rPr>
          <w:t xml:space="preserve">https://​docs.​aws.​amazon.​com/​AmazonS3/​latest/​userguide/​Welcome.​html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21">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22">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pStyle w:val="Compact"/>
        <w:numPr>
          <w:ilvl w:val="0"/>
          <w:numId w:val="1004"/>
        </w:numPr>
        <w:spacing w:before="0" w:after="0" w:line="360" w:lineRule="auto"/>
        <w:ind w:left="0" w:firstLine="709"/>
      </w:pPr>
      <w:r>
        <w:t xml:space="preserve">CacheMon. Open-source Cache Dataset. Раздел Meta CDN request traces [Электронный ресурс]. URL:</w:t>
      </w:r>
      <w:r>
        <w:t xml:space="preserve"> </w:t>
      </w:r>
      <w:hyperlink r:id="rId123">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24">
        <w:r>
          <w:rPr>
            <w:rStyle w:val="af4"/>
          </w:rPr>
          <w:t xml:space="preserve">https://​s3.​amazonaws.​com/​cache-​datasets/​index.​html</w:t>
        </w:r>
      </w:hyperlink>
      <w:r>
        <w:t xml:space="preserve"> </w:t>
      </w:r>
      <w:r>
        <w:t xml:space="preserve">(открытый архив файлов) (дата обращения: 01.10.2026).</w:t>
      </w:r>
    </w:p>
    <w:p>
      <w:pPr>
        <w:pStyle w:val="Compact"/>
        <w:numPr>
          <w:ilvl w:val="0"/>
          <w:numId w:val="1004"/>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25">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26">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pStyle w:val="Compact"/>
        <w:numPr>
          <w:ilvl w:val="0"/>
          <w:numId w:val="1004"/>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27">
        <w:r>
          <w:rPr>
            <w:rStyle w:val="af4"/>
          </w:rPr>
          <w:t xml:space="preserve">https://​www.​usenix.​org/​conference/​fast18/​presentation/​anwar</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28">
        <w:r>
          <w:rPr>
            <w:rStyle w:val="af4"/>
          </w:rPr>
          <w:t xml:space="preserve">https://​github.​com/​ds2-​lab/​IBM-​docker-​registry-​traces</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29">
        <w:r>
          <w:rPr>
            <w:rStyle w:val="af4"/>
          </w:rPr>
          <w:t xml:space="preserve">https://www.pdl.cmu.edu/CILES/</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30">
        <w:r>
          <w:rPr>
            <w:rStyle w:val="af4"/>
          </w:rPr>
          <w:t xml:space="preserve">10.14778/3357377.3357381</w:t>
        </w:r>
      </w:hyperlink>
      <w:r>
        <w:t xml:space="preserve">. URL:</w:t>
      </w:r>
      <w:r>
        <w:t xml:space="preserve"> </w:t>
      </w:r>
      <w:hyperlink r:id="rId131">
        <w:r>
          <w:rPr>
            <w:rStyle w:val="af4"/>
          </w:rPr>
          <w:t xml:space="preserve">https://​www.​vldb.​org/​pvldb/​vol13/​p43-​herodotou.​pdf</w:t>
        </w:r>
      </w:hyperlink>
      <w:r>
        <w:t xml:space="preserve"> </w:t>
      </w:r>
      <w:r>
        <w:t xml:space="preserve">(дата обращения: 04.10.2026).</w:t>
      </w:r>
    </w:p>
    <w:p>
      <w:pPr>
        <w:pStyle w:val="Compact"/>
        <w:numPr>
          <w:ilvl w:val="0"/>
          <w:numId w:val="1004"/>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32">
        <w:r>
          <w:rPr>
            <w:rStyle w:val="af4"/>
          </w:rPr>
          <w:t xml:space="preserve">10.​1109/​FiCloud66139.​2025.​00024</w:t>
        </w:r>
      </w:hyperlink>
      <w:r>
        <w:t xml:space="preserve">.</w:t>
      </w:r>
    </w:p>
    <w:p>
      <w:pPr>
        <w:pStyle w:val="Compact"/>
        <w:numPr>
          <w:ilvl w:val="0"/>
          <w:numId w:val="1004"/>
        </w:numPr>
        <w:spacing w:before="0" w:after="0" w:line="360" w:lineRule="auto"/>
        <w:ind w:left="0" w:firstLine="709"/>
      </w:pPr>
      <w:r>
        <w:t xml:space="preserve">Ceph. Rados Gateway Data Layout. Документация версии Squid [Электронный ресурс]. URL:</w:t>
      </w:r>
      <w:r>
        <w:t xml:space="preserve"> </w:t>
      </w:r>
      <w:hyperlink r:id="rId133">
        <w:r>
          <w:rPr>
            <w:rStyle w:val="af4"/>
          </w:rPr>
          <w:t xml:space="preserve">https://​docs.​ceph.​com/​en/​squid/​radosgw/​layout/​</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Logging requests with server access logging [Электронный ресурс]. URL:</w:t>
      </w:r>
      <w:r>
        <w:t xml:space="preserve"> </w:t>
      </w:r>
      <w:hyperlink r:id="rId134">
        <w:r>
          <w:rPr>
            <w:rStyle w:val="af4"/>
          </w:rPr>
          <w:t xml:space="preserve">https://​docs.​aws.​amazon.​com/​AmazonS3/​latest/​userguide/​ServerLogs.​html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Kellerer H., Pferschy U., Pisinger D. Knapsack Problems. Berlin; Heidelberg: Springer, 2004. 546 p. DOI:</w:t>
      </w:r>
      <w:r>
        <w:t xml:space="preserve"> </w:t>
      </w:r>
      <w:hyperlink r:id="rId135">
        <w:r>
          <w:rPr>
            <w:rStyle w:val="af4"/>
          </w:rPr>
          <w:t xml:space="preserve">10.1007/978-3-540-24777-7</w:t>
        </w:r>
      </w:hyperlink>
      <w:r>
        <w:t xml:space="preserve">.</w:t>
      </w:r>
    </w:p>
    <w:p>
      <w:pPr>
        <w:pStyle w:val="Compact"/>
        <w:numPr>
          <w:ilvl w:val="0"/>
          <w:numId w:val="1004"/>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36">
        <w:r>
          <w:rPr>
            <w:rStyle w:val="af4"/>
          </w:rPr>
          <w:t xml:space="preserve">10.1016/0304-4076(86)90002-3</w:t>
        </w:r>
      </w:hyperlink>
      <w:r>
        <w:t xml:space="preserve">.</w:t>
      </w:r>
    </w:p>
    <w:p>
      <w:pPr>
        <w:pStyle w:val="Compact"/>
        <w:numPr>
          <w:ilvl w:val="0"/>
          <w:numId w:val="1004"/>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37">
        <w:r>
          <w:rPr>
            <w:rStyle w:val="af4"/>
          </w:rPr>
          <w:t xml:space="preserve">10.1214/aos/1013203451</w:t>
        </w:r>
      </w:hyperlink>
      <w:r>
        <w:t xml:space="preserve">.</w:t>
      </w:r>
    </w:p>
    <w:p>
      <w:pPr>
        <w:pStyle w:val="Compact"/>
        <w:numPr>
          <w:ilvl w:val="0"/>
          <w:numId w:val="1004"/>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38">
        <w:r>
          <w:rPr>
            <w:rStyle w:val="af4"/>
          </w:rPr>
          <w:t xml:space="preserve">https://​lightgbm.​readthedocs.​io/​en/​latest/​Parameters.​html</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39">
        <w:r>
          <w:rPr>
            <w:rStyle w:val="af4"/>
          </w:rPr>
          <w:t xml:space="preserve">10.2307/2344614</w:t>
        </w:r>
      </w:hyperlink>
      <w:r>
        <w:t xml:space="preserve">.</w:t>
      </w:r>
    </w:p>
    <w:p>
      <w:pPr>
        <w:pStyle w:val="Compact"/>
        <w:numPr>
          <w:ilvl w:val="0"/>
          <w:numId w:val="1004"/>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40">
        <w:r>
          <w:rPr>
            <w:rStyle w:val="af4"/>
          </w:rPr>
          <w:t xml:space="preserve">https://​arxiv.​org/​abs/​2207.​08815</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41">
        <w:r>
          <w:rPr>
            <w:rStyle w:val="af4"/>
          </w:rPr>
          <w:t xml:space="preserve">https://​kafka.​apache.​org/​documentation/#​semantics</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42">
        <w:r>
          <w:rPr>
            <w:rStyle w:val="af4"/>
          </w:rPr>
          <w:t xml:space="preserve">https://​scikit-​learn.​org/​stable/​common_​pitfalls.​html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Scikit-learn developers. TimeSeriesSplit [Электронный ресурс]. URL:</w:t>
      </w:r>
      <w:r>
        <w:t xml:space="preserve"> </w:t>
      </w:r>
      <w:hyperlink r:id="rId143">
        <w:r>
          <w:rPr>
            <w:rStyle w:val="af4"/>
          </w:rPr>
          <w:t xml:space="preserve">https://​scikit-​learn.​org/​stable/​modules/​generated/​sklearn.​model_​selection.​TimeSeriesSplit.​html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44">
        <w:r>
          <w:rPr>
            <w:rStyle w:val="af4"/>
          </w:rPr>
          <w:t xml:space="preserve">10.1145/1143844.1143874</w:t>
        </w:r>
      </w:hyperlink>
      <w:r>
        <w:t xml:space="preserve">.</w:t>
      </w:r>
    </w:p>
    <w:p>
      <w:pPr>
        <w:pStyle w:val="Compact"/>
        <w:numPr>
          <w:ilvl w:val="0"/>
          <w:numId w:val="1004"/>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45">
        <w:r>
          <w:rPr>
            <w:rStyle w:val="af4"/>
          </w:rPr>
          <w:t xml:space="preserve">10.​1175/​1520-​0493(1950)078&lt;0001:VOFEIT&gt;2.​0.​CO;2</w:t>
        </w:r>
      </w:hyperlink>
      <w:r>
        <w:t xml:space="preserve">.</w:t>
      </w:r>
    </w:p>
    <w:p>
      <w:pPr>
        <w:pStyle w:val="Compact"/>
        <w:numPr>
          <w:ilvl w:val="0"/>
          <w:numId w:val="1004"/>
        </w:numPr>
        <w:spacing w:before="0" w:after="0" w:line="360" w:lineRule="auto"/>
        <w:ind w:left="0" w:firstLine="709"/>
      </w:pPr>
      <w:r>
        <w:t xml:space="preserve">Dantzig G. B. Discrete-Variable Extremum Problems // Operations Research. 1957. Vol. 5, no. 2. P. 266–288. DOI:</w:t>
      </w:r>
      <w:r>
        <w:t xml:space="preserve"> </w:t>
      </w:r>
      <w:hyperlink r:id="rId146">
        <w:r>
          <w:rPr>
            <w:rStyle w:val="af4"/>
          </w:rPr>
          <w:t xml:space="preserve">10.1287/opre.5.2.266</w:t>
        </w:r>
      </w:hyperlink>
      <w:r>
        <w:t xml:space="preserve">.</w:t>
      </w:r>
    </w:p>
    <w:p>
      <w:pPr>
        <w:pStyle w:val="Compact"/>
        <w:numPr>
          <w:ilvl w:val="0"/>
          <w:numId w:val="1004"/>
        </w:numPr>
        <w:spacing w:before="0" w:after="0" w:line="360" w:lineRule="auto"/>
        <w:ind w:left="0" w:firstLine="709"/>
      </w:pPr>
      <w:r>
        <w:t xml:space="preserve">Kleppmann M. Designing Data-Intensive Applications. Sebastopol: O’Reilly Media, 2017. 616 p.</w:t>
      </w:r>
    </w:p>
    <w:p>
      <w:pPr>
        <w:pStyle w:val="Compact"/>
        <w:numPr>
          <w:ilvl w:val="0"/>
          <w:numId w:val="1004"/>
        </w:numPr>
        <w:spacing w:before="0" w:after="0" w:line="360" w:lineRule="auto"/>
        <w:ind w:left="0" w:firstLine="709"/>
      </w:pPr>
      <w:r>
        <w:t xml:space="preserve">Amazon Web Services. Checking object integrity for data uploads in Amazon S3 [Электронный ресурс]. URL:</w:t>
      </w:r>
      <w:r>
        <w:t xml:space="preserve"> </w:t>
      </w:r>
      <w:hyperlink r:id="rId147">
        <w:r>
          <w:rPr>
            <w:rStyle w:val="af4"/>
          </w:rPr>
          <w:t xml:space="preserve">https://​docs.​aws.​amazon.​com/​AmazonS3/​latest/​userguide/​checking-​object-​integrity-​upload.​html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48">
        <w:r>
          <w:rPr>
            <w:rStyle w:val="af4"/>
          </w:rPr>
          <w:t xml:space="preserve">https://​www.​omg.​org/​spec/​UML/​2.​5.​1/​</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49">
        <w:r>
          <w:rPr>
            <w:rStyle w:val="af4"/>
          </w:rPr>
          <w:t xml:space="preserve">https://​www.​omg.​org/​spec/​BPMN/​2.​0.​2/​</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50">
        <w:r>
          <w:rPr>
            <w:rStyle w:val="af4"/>
          </w:rPr>
          <w:t xml:space="preserve">https://​papers.​nips.​cc/​paper/​6907-​lightgbm-​a-​highly-​efficient-​gradient-​boosting-​decision-​tree</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51">
        <w:r>
          <w:rPr>
            <w:rStyle w:val="af4"/>
          </w:rPr>
          <w:t xml:space="preserve">https://​github.​com/​dmitryikh/​leaves</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52">
        <w:r>
          <w:rPr>
            <w:rStyle w:val="af4"/>
          </w:rPr>
          <w:t xml:space="preserve">https://​www.​postgresql.​org/​docs/​16/​mvcc.​html</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53">
        <w:r>
          <w:rPr>
            <w:rStyle w:val="af4"/>
          </w:rPr>
          <w:t xml:space="preserve">https://​github.​com/​yalue/​onnxruntime_​go</w:t>
        </w:r>
      </w:hyperlink>
      <w:r>
        <w:t xml:space="preserve"> </w:t>
      </w:r>
      <w:r>
        <w:t xml:space="preserve">(дата обращения: 20.10.2026).</w:t>
      </w:r>
    </w:p>
    <w:bookmarkEnd w:id="154"/>
    <w:bookmarkStart w:id="155" w:name="приложения"/>
    <w:p>
      <w:pPr>
        <w:pStyle w:val="GOSTStructuralHeading"/>
      </w:pPr>
      <w:bookmarkStart w:id="213" w:name="GOSTHeading213"/>
      <w:r>
        <w:t xml:space="preserve">ПРИЛОЖЕНИЯ</w:t>
      </w:r>
      <w:bookmarkEnd w:id="213"/>
    </w:p>
    <w:p>
      <w:pPr>
        <w:pStyle w:val="FirstParagraph"/>
      </w:pPr>
      <w:r>
        <w:t xml:space="preserve">Приложение А — Диаграмма состояний миграции версии</w:t>
      </w:r>
    </w:p>
    <w:p>
      <w:pPr>
        <w:pStyle w:val="a2"/>
      </w:pPr>
      <w:r>
        <w:t xml:space="preserve">Приложение Б — Модель данных Metadata и СПП�</w:t>
      </w:r>
    </w:p>
    <w:bookmarkEnd w:id="155"/>
    <w:bookmarkStart w:id="160" w:name="X58d6892eb4b28b97009897612fe5c22da3991b8"/>
    <w:p>
      <w:pPr>
        <w:pStyle w:val="GOSTAppendixHeading"/>
      </w:pPr>
      <w:bookmarkStart w:id="214" w:name="GOSTHeading214"/>
      <w:r>
        <w:t xml:space="preserve">Приложение А</w:t>
      </w:r>
      <w:bookmarkEnd w:id="214"/>
    </w:p>
    <w:p>
      <w:pPr>
        <w:pStyle w:val="GOSTAppendixTitle"/>
      </w:pPr>
      <w:r>
        <w:t xml:space="preserve">Диаграмма состояний миграции версии</w:t>
      </w:r>
    </w:p>
    <w:p>
      <w:pPr>
        <w:pStyle w:val="a2"/>
        <w:keepNext w:val="1"/>
      </w:pPr>
      <w:r>
        <w:t xml:space="preserve">Приложение относится к разделу 2.1.7 пояснительной записки и показывает в нотации диаграммы состояний UML состояния миграции версии и переходы между ними (Рисунок А.1).</w:t>
      </w:r>
    </w:p>
    <w:bookmarkStart w:id="159" w:name="gost-fig:migration_states"/>
    <w:p>
      <w:pPr>
        <w:pStyle w:val="CaptionedFigure"/>
        <w:keepNext w:val="1"/>
      </w:pPr>
      <w:r>
        <w:drawing>
          <wp:inline>
            <wp:extent cx="5016675" cy="6840000"/>
            <wp:effectExtent b="0" l="0" r="0" t="0"/>
            <wp:docPr descr="Диаграмма состояний миграции версии" title="" id="157" name="Picture"/>
            <a:graphic>
              <a:graphicData uri="http://schemas.openxmlformats.org/drawingml/2006/picture">
                <pic:pic>
                  <pic:nvPicPr>
                    <pic:cNvPr descr="images/migration_states.png" id="158" name="Picture"/>
                    <pic:cNvPicPr>
                      <a:picLocks noChangeArrowheads="1" noChangeAspect="1"/>
                    </pic:cNvPicPr>
                  </pic:nvPicPr>
                  <pic:blipFill>
                    <a:blip r:embed="rId156"/>
                    <a:stretch>
                      <a:fillRect/>
                    </a:stretch>
                  </pic:blipFill>
                  <pic:spPr bwMode="auto">
                    <a:xfrm>
                      <a:off x="0" y="0"/>
                      <a:ext cx="5016675" cy="6840000"/>
                    </a:xfrm>
                    <a:prstGeom prst="rect">
                      <a:avLst/>
                    </a:prstGeom>
                    <a:noFill/>
                    <a:ln w="9525">
                      <a:noFill/>
                      <a:headEnd/>
                      <a:tailEnd/>
                    </a:ln>
                  </pic:spPr>
                </pic:pic>
              </a:graphicData>
            </a:graphic>
          </wp:inline>
        </w:drawing>
      </w:r>
    </w:p>
    <w:p>
      <w:pPr>
        <w:pStyle w:val="ImageCaption"/>
      </w:pPr>
      <w:r>
        <w:t xml:space="preserve">Рисунок А.1 — Диаграмма состояний миграции версии</w:t>
      </w:r>
    </w:p>
    <w:bookmarkEnd w:id="159"/>
    <w:bookmarkEnd w:id="160"/>
    <w:bookmarkStart w:id="165" w:name="Xe9b041aaa13bc2d85aa0272880cededbe3cd285"/>
    <w:p>
      <w:pPr>
        <w:pStyle w:val="GOSTAppendixHeading"/>
      </w:pPr>
      <w:bookmarkStart w:id="215" w:name="GOSTHeading215"/>
      <w:r>
        <w:t xml:space="preserve">Приложение Б</w:t>
      </w:r>
      <w:bookmarkEnd w:id="215"/>
    </w:p>
    <w:p>
      <w:pPr>
        <w:pStyle w:val="GOSTAppendixTitle"/>
      </w:pPr>
      <w:r>
        <w:t xml:space="preserve">Модель данных Metadata и СПП�</w:t>
      </w:r>
    </w:p>
    <w:p>
      <w:pPr>
        <w:pStyle w:val="a2"/>
        <w:keepNext w:val="1"/>
      </w:pPr>
      <w:r>
        <w:t xml:space="preserve">Приложение относится к разделу 2.3.3 пояснительной записки и показывает таблицы, добавляемые в Metadata, таблицы базы СППР и связи между ними (Рисунок Б.1).</w:t>
      </w:r>
    </w:p>
    <w:bookmarkStart w:id="164" w:name="gost-fig:er"/>
    <w:p>
      <w:pPr>
        <w:pStyle w:val="CaptionedFigure"/>
        <w:keepNext w:val="1"/>
      </w:pPr>
      <w:r>
        <w:drawing>
          <wp:inline>
            <wp:extent cx="4732739" cy="6840000"/>
            <wp:effectExtent b="0" l="0" r="0" t="0"/>
            <wp:docPr descr="Модель данных Metadata и СППР" title="" id="162" name="Picture"/>
            <a:graphic>
              <a:graphicData uri="http://schemas.openxmlformats.org/drawingml/2006/picture">
                <pic:pic>
                  <pic:nvPicPr>
                    <pic:cNvPr descr="images/er.png" id="163" name="Picture"/>
                    <pic:cNvPicPr>
                      <a:picLocks noChangeArrowheads="1" noChangeAspect="1"/>
                    </pic:cNvPicPr>
                  </pic:nvPicPr>
                  <pic:blipFill>
                    <a:blip r:embed="rId161"/>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Б.1 — Модель данных Metadata и СППР</w:t>
      </w:r>
    </w:p>
    <w:bookmarkEnd w:id="164"/>
    <w:bookmarkEnd w:id="165"/>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7" Target="media/rId87.png" /><Relationship Type="http://schemas.openxmlformats.org/officeDocument/2006/relationships/image" Id="rId161" Target="media/rId161.png" /><Relationship Type="http://schemas.openxmlformats.org/officeDocument/2006/relationships/image" Id="rId57" Target="media/rId57.png" /><Relationship Type="http://schemas.openxmlformats.org/officeDocument/2006/relationships/image" Id="rId156" Target="media/rId156.png" /><Relationship Type="http://schemas.openxmlformats.org/officeDocument/2006/relationships/image" Id="rId65" Target="media/rId65.png" /><Relationship Type="http://schemas.openxmlformats.org/officeDocument/2006/relationships/hyperlink" Id="rId140" Target="https://arxiv.org/abs/2207.08815" TargetMode="External" /><Relationship Type="http://schemas.openxmlformats.org/officeDocument/2006/relationships/hyperlink" Id="rId117" Target="https://arxiv.org/abs/2305.14818" TargetMode="External" /><Relationship Type="http://schemas.openxmlformats.org/officeDocument/2006/relationships/hyperlink" Id="rId119" Target="https://aws.amazon.com/s3/pricing/" TargetMode="External" /><Relationship Type="http://schemas.openxmlformats.org/officeDocument/2006/relationships/hyperlink" Id="rId121" Target="https://cachelib.org/docs/Cache_Library_User_Guides/Cachebench_FB_HW_eval/" TargetMode="External" /><Relationship Type="http://schemas.openxmlformats.org/officeDocument/2006/relationships/hyperlink" Id="rId115" Target="https://docs.aws.amazon.com/AmazonS3/latest/API/API_GetObject.html" TargetMode="External" /><Relationship Type="http://schemas.openxmlformats.org/officeDocument/2006/relationships/hyperlink" Id="rId116" Target="https://docs.aws.amazon.com/AmazonS3/latest/userguide/LogFormat.html" TargetMode="External" /><Relationship Type="http://schemas.openxmlformats.org/officeDocument/2006/relationships/hyperlink" Id="rId134" Target="https://docs.aws.amazon.com/AmazonS3/latest/userguide/ServerLogs.html" TargetMode="External" /><Relationship Type="http://schemas.openxmlformats.org/officeDocument/2006/relationships/hyperlink" Id="rId108" Target="https://docs.aws.amazon.com/AmazonS3/latest/userguide/Versioning.html" TargetMode="External" /><Relationship Type="http://schemas.openxmlformats.org/officeDocument/2006/relationships/hyperlink" Id="rId120" Target="https://docs.aws.amazon.com/AmazonS3/latest/userguide/Welcome.html" TargetMode="External" /><Relationship Type="http://schemas.openxmlformats.org/officeDocument/2006/relationships/hyperlink" Id="rId147" Target="https://docs.aws.amazon.com/AmazonS3/latest/userguide/checking-object-integrity-upload.html" TargetMode="External" /><Relationship Type="http://schemas.openxmlformats.org/officeDocument/2006/relationships/hyperlink" Id="rId104" Target="https://docs.aws.amazon.com/AmazonS3/latest/userguide/intelligent-tiering-overview.html" TargetMode="External" /><Relationship Type="http://schemas.openxmlformats.org/officeDocument/2006/relationships/hyperlink" Id="rId110" Target="https://docs.aws.amazon.com/AmazonS3/latest/userguide/lifecycle-transition-general-considerations.html" TargetMode="External" /><Relationship Type="http://schemas.openxmlformats.org/officeDocument/2006/relationships/hyperlink" Id="rId107" Target="https://docs.aws.amazon.com/AmazonS3/latest/userguide/object-keys.html" TargetMode="External" /><Relationship Type="http://schemas.openxmlformats.org/officeDocument/2006/relationships/hyperlink" Id="rId103" Target="https://docs.aws.amazon.com/AmazonS3/latest/userguide/object-lifecycle-mgmt.html" TargetMode="External" /><Relationship Type="http://schemas.openxmlformats.org/officeDocument/2006/relationships/hyperlink" Id="rId102" Target="https://docs.aws.amazon.com/AmazonS3/latest/userguide/storage-class-intro.html" TargetMode="External" /><Relationship Type="http://schemas.openxmlformats.org/officeDocument/2006/relationships/hyperlink" Id="rId112" Target="https://docs.ceph.com/en/squid/rados/operations/crush-map-edits/" TargetMode="External" /><Relationship Type="http://schemas.openxmlformats.org/officeDocument/2006/relationships/hyperlink" Id="rId133" Target="https://docs.ceph.com/en/squid/radosgw/layout/" TargetMode="External" /><Relationship Type="http://schemas.openxmlformats.org/officeDocument/2006/relationships/hyperlink" Id="rId111" Target="https://docs.ceph.com/en/squid/radosgw/placement/" TargetMode="External" /><Relationship Type="http://schemas.openxmlformats.org/officeDocument/2006/relationships/hyperlink" Id="rId113" Target="https://docs.min.io/aistor/administration/object-lifecycle-management/" TargetMode="External" /><Relationship Type="http://schemas.openxmlformats.org/officeDocument/2006/relationships/hyperlink" Id="rId114" Target="https://docs.min.io/aistor/administration/object-lifecycle-management/object-tiering/" TargetMode="External" /><Relationship Type="http://schemas.openxmlformats.org/officeDocument/2006/relationships/hyperlink" Id="rId135" Target="https://doi.org/10.1007/978-3-540-24777-7" TargetMode="External" /><Relationship Type="http://schemas.openxmlformats.org/officeDocument/2006/relationships/hyperlink" Id="rId136" Target="https://doi.org/10.1016/0304-4076(86)90002-3" TargetMode="External" /><Relationship Type="http://schemas.openxmlformats.org/officeDocument/2006/relationships/hyperlink" Id="rId105" Target="https://doi.org/10.1016/j.comcom.2026.108437" TargetMode="External" /><Relationship Type="http://schemas.openxmlformats.org/officeDocument/2006/relationships/hyperlink" Id="rId132" Target="https://doi.org/10.1109/FiCloud66139.2025.00024" TargetMode="External" /><Relationship Type="http://schemas.openxmlformats.org/officeDocument/2006/relationships/hyperlink" Id="rId144" Target="https://doi.org/10.1145/1143844.1143874" TargetMode="External" /><Relationship Type="http://schemas.openxmlformats.org/officeDocument/2006/relationships/hyperlink" Id="rId101" Target="https://doi.org/10.1145/3803857" TargetMode="External" /><Relationship Type="http://schemas.openxmlformats.org/officeDocument/2006/relationships/hyperlink" Id="rId145" Target="https://doi.org/10.1175/1520-0493(1950)078%3C0001:VOFEIT%3E2.0.CO;2" TargetMode="External" /><Relationship Type="http://schemas.openxmlformats.org/officeDocument/2006/relationships/hyperlink" Id="rId137" Target="https://doi.org/10.1214/aos/1013203451" TargetMode="External" /><Relationship Type="http://schemas.openxmlformats.org/officeDocument/2006/relationships/hyperlink" Id="rId146" Target="https://doi.org/10.1287/opre.5.2.266" TargetMode="External" /><Relationship Type="http://schemas.openxmlformats.org/officeDocument/2006/relationships/hyperlink" Id="rId130" Target="https://doi.org/10.14778/3357377.3357381" TargetMode="External" /><Relationship Type="http://schemas.openxmlformats.org/officeDocument/2006/relationships/hyperlink" Id="rId106" Target="https://doi.org/10.17586/2226-1494-2023-23-6-1171-1177" TargetMode="External" /><Relationship Type="http://schemas.openxmlformats.org/officeDocument/2006/relationships/hyperlink" Id="rId139" Target="https://doi.org/10.2307/2344614" TargetMode="External" /><Relationship Type="http://schemas.openxmlformats.org/officeDocument/2006/relationships/hyperlink" Id="rId109" Target="https://github.com/alesplll/opens3-rebac/tree/ac858c748b5d3af96f0440864f4b299e7b617d76" TargetMode="External" /><Relationship Type="http://schemas.openxmlformats.org/officeDocument/2006/relationships/hyperlink" Id="rId123" Target="https://github.com/cacheMon/cache_dataset" TargetMode="External" /><Relationship Type="http://schemas.openxmlformats.org/officeDocument/2006/relationships/hyperlink" Id="rId151" Target="https://github.com/dmitryikh/leaves" TargetMode="External" /><Relationship Type="http://schemas.openxmlformats.org/officeDocument/2006/relationships/hyperlink" Id="rId128" Target="https://github.com/ds2-lab/IBM-docker-registry-traces" TargetMode="External" /><Relationship Type="http://schemas.openxmlformats.org/officeDocument/2006/relationships/hyperlink" Id="rId122" Target="https://github.com/facebook/CacheLib/blob/0f7e808335599ca5d0e935d35aad75db8dc63f16/cachelib/cachebench/util/Request.h" TargetMode="External" /><Relationship Type="http://schemas.openxmlformats.org/officeDocument/2006/relationships/hyperlink" Id="rId153" Target="https://github.com/yalue/onnxruntime_go" TargetMode="External" /><Relationship Type="http://schemas.openxmlformats.org/officeDocument/2006/relationships/hyperlink" Id="rId126" Target="https://iotta.snia.org/tracetypes/17" TargetMode="External" /><Relationship Type="http://schemas.openxmlformats.org/officeDocument/2006/relationships/hyperlink" Id="rId141" Target="https://kafka.apache.org/documentation/#semantics" TargetMode="External" /><Relationship Type="http://schemas.openxmlformats.org/officeDocument/2006/relationships/hyperlink" Id="rId138" Target="https://lightgbm.readthedocs.io/en/latest/Parameters.html" TargetMode="External" /><Relationship Type="http://schemas.openxmlformats.org/officeDocument/2006/relationships/hyperlink" Id="rId150" Target="https://papers.nips.cc/paper/6907-lightgbm-a-highly-efficient-gradient-boosting-decision-tree" TargetMode="External" /><Relationship Type="http://schemas.openxmlformats.org/officeDocument/2006/relationships/hyperlink" Id="rId124" Target="https://s3.amazonaws.com/cache-datasets/index.html" TargetMode="External" /><Relationship Type="http://schemas.openxmlformats.org/officeDocument/2006/relationships/hyperlink" Id="rId142" Target="https://scikit-learn.org/stable/common_pitfalls.html" TargetMode="External" /><Relationship Type="http://schemas.openxmlformats.org/officeDocument/2006/relationships/hyperlink" Id="rId143" Target="https://scikit-learn.org/stable/modules/generated/sklearn.model_selection.TimeSeriesSplit.html" TargetMode="External" /><Relationship Type="http://schemas.openxmlformats.org/officeDocument/2006/relationships/hyperlink" Id="rId149" Target="https://www.omg.org/spec/BPMN/2.0.2/" TargetMode="External" /><Relationship Type="http://schemas.openxmlformats.org/officeDocument/2006/relationships/hyperlink" Id="rId148" Target="https://www.omg.org/spec/UML/2.5.1/" TargetMode="External" /><Relationship Type="http://schemas.openxmlformats.org/officeDocument/2006/relationships/hyperlink" Id="rId129" Target="https://www.pdl.cmu.edu/CILES/" TargetMode="External" /><Relationship Type="http://schemas.openxmlformats.org/officeDocument/2006/relationships/hyperlink" Id="rId152" Target="https://www.postgresql.org/docs/16/mvcc.html" TargetMode="External" /><Relationship Type="http://schemas.openxmlformats.org/officeDocument/2006/relationships/hyperlink" Id="rId125" Target="https://www.snia.org/sites/default/files/SDCEMEA/2021/snia-evaluating-cache-performance-using-cloud-storage-traces.pdf" TargetMode="External" /><Relationship Type="http://schemas.openxmlformats.org/officeDocument/2006/relationships/hyperlink" Id="rId127" Target="https://www.usenix.org/conference/fast18/presentation/anwar" TargetMode="External" /><Relationship Type="http://schemas.openxmlformats.org/officeDocument/2006/relationships/hyperlink" Id="rId118" Target="https://www.usenix.org/conference/fast24/presentation/wong" TargetMode="External" /><Relationship Type="http://schemas.openxmlformats.org/officeDocument/2006/relationships/hyperlink" Id="rId131" Target="https://www.vldb.org/pvldb/vol13/p43-herodotou.pdf" TargetMode="External" /></Relationships>
</file>

<file path=word/_rels/footnotes.xml.rels><?xml version="1.0" encoding="UTF-8"?><Relationships xmlns="http://schemas.openxmlformats.org/package/2006/relationships"><Relationship Type="http://schemas.openxmlformats.org/officeDocument/2006/relationships/hyperlink" Id="rId140" Target="https://arxiv.org/abs/2207.08815" TargetMode="External" /><Relationship Type="http://schemas.openxmlformats.org/officeDocument/2006/relationships/hyperlink" Id="rId117" Target="https://arxiv.org/abs/2305.14818" TargetMode="External" /><Relationship Type="http://schemas.openxmlformats.org/officeDocument/2006/relationships/hyperlink" Id="rId119" Target="https://aws.amazon.com/s3/pricing/" TargetMode="External" /><Relationship Type="http://schemas.openxmlformats.org/officeDocument/2006/relationships/hyperlink" Id="rId121" Target="https://cachelib.org/docs/Cache_Library_User_Guides/Cachebench_FB_HW_eval/" TargetMode="External" /><Relationship Type="http://schemas.openxmlformats.org/officeDocument/2006/relationships/hyperlink" Id="rId115" Target="https://docs.aws.amazon.com/AmazonS3/latest/API/API_GetObject.html" TargetMode="External" /><Relationship Type="http://schemas.openxmlformats.org/officeDocument/2006/relationships/hyperlink" Id="rId116" Target="https://docs.aws.amazon.com/AmazonS3/latest/userguide/LogFormat.html" TargetMode="External" /><Relationship Type="http://schemas.openxmlformats.org/officeDocument/2006/relationships/hyperlink" Id="rId134" Target="https://docs.aws.amazon.com/AmazonS3/latest/userguide/ServerLogs.html" TargetMode="External" /><Relationship Type="http://schemas.openxmlformats.org/officeDocument/2006/relationships/hyperlink" Id="rId108" Target="https://docs.aws.amazon.com/AmazonS3/latest/userguide/Versioning.html" TargetMode="External" /><Relationship Type="http://schemas.openxmlformats.org/officeDocument/2006/relationships/hyperlink" Id="rId120" Target="https://docs.aws.amazon.com/AmazonS3/latest/userguide/Welcome.html" TargetMode="External" /><Relationship Type="http://schemas.openxmlformats.org/officeDocument/2006/relationships/hyperlink" Id="rId147" Target="https://docs.aws.amazon.com/AmazonS3/latest/userguide/checking-object-integrity-upload.html" TargetMode="External" /><Relationship Type="http://schemas.openxmlformats.org/officeDocument/2006/relationships/hyperlink" Id="rId104" Target="https://docs.aws.amazon.com/AmazonS3/latest/userguide/intelligent-tiering-overview.html" TargetMode="External" /><Relationship Type="http://schemas.openxmlformats.org/officeDocument/2006/relationships/hyperlink" Id="rId110" Target="https://docs.aws.amazon.com/AmazonS3/latest/userguide/lifecycle-transition-general-considerations.html" TargetMode="External" /><Relationship Type="http://schemas.openxmlformats.org/officeDocument/2006/relationships/hyperlink" Id="rId107" Target="https://docs.aws.amazon.com/AmazonS3/latest/userguide/object-keys.html" TargetMode="External" /><Relationship Type="http://schemas.openxmlformats.org/officeDocument/2006/relationships/hyperlink" Id="rId103" Target="https://docs.aws.amazon.com/AmazonS3/latest/userguide/object-lifecycle-mgmt.html" TargetMode="External" /><Relationship Type="http://schemas.openxmlformats.org/officeDocument/2006/relationships/hyperlink" Id="rId102" Target="https://docs.aws.amazon.com/AmazonS3/latest/userguide/storage-class-intro.html" TargetMode="External" /><Relationship Type="http://schemas.openxmlformats.org/officeDocument/2006/relationships/hyperlink" Id="rId112" Target="https://docs.ceph.com/en/squid/rados/operations/crush-map-edits/" TargetMode="External" /><Relationship Type="http://schemas.openxmlformats.org/officeDocument/2006/relationships/hyperlink" Id="rId133" Target="https://docs.ceph.com/en/squid/radosgw/layout/" TargetMode="External" /><Relationship Type="http://schemas.openxmlformats.org/officeDocument/2006/relationships/hyperlink" Id="rId111" Target="https://docs.ceph.com/en/squid/radosgw/placement/" TargetMode="External" /><Relationship Type="http://schemas.openxmlformats.org/officeDocument/2006/relationships/hyperlink" Id="rId113" Target="https://docs.min.io/aistor/administration/object-lifecycle-management/" TargetMode="External" /><Relationship Type="http://schemas.openxmlformats.org/officeDocument/2006/relationships/hyperlink" Id="rId114" Target="https://docs.min.io/aistor/administration/object-lifecycle-management/object-tiering/" TargetMode="External" /><Relationship Type="http://schemas.openxmlformats.org/officeDocument/2006/relationships/hyperlink" Id="rId135" Target="https://doi.org/10.1007/978-3-540-24777-7" TargetMode="External" /><Relationship Type="http://schemas.openxmlformats.org/officeDocument/2006/relationships/hyperlink" Id="rId136" Target="https://doi.org/10.1016/0304-4076(86)90002-3" TargetMode="External" /><Relationship Type="http://schemas.openxmlformats.org/officeDocument/2006/relationships/hyperlink" Id="rId105" Target="https://doi.org/10.1016/j.comcom.2026.108437" TargetMode="External" /><Relationship Type="http://schemas.openxmlformats.org/officeDocument/2006/relationships/hyperlink" Id="rId132" Target="https://doi.org/10.1109/FiCloud66139.2025.00024" TargetMode="External" /><Relationship Type="http://schemas.openxmlformats.org/officeDocument/2006/relationships/hyperlink" Id="rId144" Target="https://doi.org/10.1145/1143844.1143874" TargetMode="External" /><Relationship Type="http://schemas.openxmlformats.org/officeDocument/2006/relationships/hyperlink" Id="rId101" Target="https://doi.org/10.1145/3803857" TargetMode="External" /><Relationship Type="http://schemas.openxmlformats.org/officeDocument/2006/relationships/hyperlink" Id="rId145" Target="https://doi.org/10.1175/1520-0493(1950)078%3C0001:VOFEIT%3E2.0.CO;2" TargetMode="External" /><Relationship Type="http://schemas.openxmlformats.org/officeDocument/2006/relationships/hyperlink" Id="rId137" Target="https://doi.org/10.1214/aos/1013203451" TargetMode="External" /><Relationship Type="http://schemas.openxmlformats.org/officeDocument/2006/relationships/hyperlink" Id="rId146" Target="https://doi.org/10.1287/opre.5.2.266" TargetMode="External" /><Relationship Type="http://schemas.openxmlformats.org/officeDocument/2006/relationships/hyperlink" Id="rId130" Target="https://doi.org/10.14778/3357377.3357381" TargetMode="External" /><Relationship Type="http://schemas.openxmlformats.org/officeDocument/2006/relationships/hyperlink" Id="rId106" Target="https://doi.org/10.17586/2226-1494-2023-23-6-1171-1177" TargetMode="External" /><Relationship Type="http://schemas.openxmlformats.org/officeDocument/2006/relationships/hyperlink" Id="rId139" Target="https://doi.org/10.2307/2344614" TargetMode="External" /><Relationship Type="http://schemas.openxmlformats.org/officeDocument/2006/relationships/hyperlink" Id="rId109" Target="https://github.com/alesplll/opens3-rebac/tree/ac858c748b5d3af96f0440864f4b299e7b617d76" TargetMode="External" /><Relationship Type="http://schemas.openxmlformats.org/officeDocument/2006/relationships/hyperlink" Id="rId123" Target="https://github.com/cacheMon/cache_dataset" TargetMode="External" /><Relationship Type="http://schemas.openxmlformats.org/officeDocument/2006/relationships/hyperlink" Id="rId151" Target="https://github.com/dmitryikh/leaves" TargetMode="External" /><Relationship Type="http://schemas.openxmlformats.org/officeDocument/2006/relationships/hyperlink" Id="rId128" Target="https://github.com/ds2-lab/IBM-docker-registry-traces" TargetMode="External" /><Relationship Type="http://schemas.openxmlformats.org/officeDocument/2006/relationships/hyperlink" Id="rId122" Target="https://github.com/facebook/CacheLib/blob/0f7e808335599ca5d0e935d35aad75db8dc63f16/cachelib/cachebench/util/Request.h" TargetMode="External" /><Relationship Type="http://schemas.openxmlformats.org/officeDocument/2006/relationships/hyperlink" Id="rId153" Target="https://github.com/yalue/onnxruntime_go" TargetMode="External" /><Relationship Type="http://schemas.openxmlformats.org/officeDocument/2006/relationships/hyperlink" Id="rId126" Target="https://iotta.snia.org/tracetypes/17" TargetMode="External" /><Relationship Type="http://schemas.openxmlformats.org/officeDocument/2006/relationships/hyperlink" Id="rId141" Target="https://kafka.apache.org/documentation/#semantics" TargetMode="External" /><Relationship Type="http://schemas.openxmlformats.org/officeDocument/2006/relationships/hyperlink" Id="rId138" Target="https://lightgbm.readthedocs.io/en/latest/Parameters.html" TargetMode="External" /><Relationship Type="http://schemas.openxmlformats.org/officeDocument/2006/relationships/hyperlink" Id="rId150" Target="https://papers.nips.cc/paper/6907-lightgbm-a-highly-efficient-gradient-boosting-decision-tree" TargetMode="External" /><Relationship Type="http://schemas.openxmlformats.org/officeDocument/2006/relationships/hyperlink" Id="rId124" Target="https://s3.amazonaws.com/cache-datasets/index.html" TargetMode="External" /><Relationship Type="http://schemas.openxmlformats.org/officeDocument/2006/relationships/hyperlink" Id="rId142" Target="https://scikit-learn.org/stable/common_pitfalls.html" TargetMode="External" /><Relationship Type="http://schemas.openxmlformats.org/officeDocument/2006/relationships/hyperlink" Id="rId143" Target="https://scikit-learn.org/stable/modules/generated/sklearn.model_selection.TimeSeriesSplit.html" TargetMode="External" /><Relationship Type="http://schemas.openxmlformats.org/officeDocument/2006/relationships/hyperlink" Id="rId149" Target="https://www.omg.org/spec/BPMN/2.0.2/" TargetMode="External" /><Relationship Type="http://schemas.openxmlformats.org/officeDocument/2006/relationships/hyperlink" Id="rId148" Target="https://www.omg.org/spec/UML/2.5.1/" TargetMode="External" /><Relationship Type="http://schemas.openxmlformats.org/officeDocument/2006/relationships/hyperlink" Id="rId129" Target="https://www.pdl.cmu.edu/CILES/" TargetMode="External" /><Relationship Type="http://schemas.openxmlformats.org/officeDocument/2006/relationships/hyperlink" Id="rId152" Target="https://www.postgresql.org/docs/16/mvcc.html" TargetMode="External" /><Relationship Type="http://schemas.openxmlformats.org/officeDocument/2006/relationships/hyperlink" Id="rId125" Target="https://www.snia.org/sites/default/files/SDCEMEA/2021/snia-evaluating-cache-performance-using-cloud-storage-traces.pdf" TargetMode="External" /><Relationship Type="http://schemas.openxmlformats.org/officeDocument/2006/relationships/hyperlink" Id="rId127" Target="https://www.usenix.org/conference/fast18/presentation/anwar" TargetMode="External" /><Relationship Type="http://schemas.openxmlformats.org/officeDocument/2006/relationships/hyperlink" Id="rId118" Target="https://www.usenix.org/conference/fast24/presentation/wong" TargetMode="External" /><Relationship Type="http://schemas.openxmlformats.org/officeDocument/2006/relationships/hyperlink" Id="rId131" Target="https://www.vldb.org/pvldb/vol13/p43-herodotou.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2026-10-25T12:08:43Z</dcterms:created>
  <dcterms:modified xsi:type="dcterms:W3CDTF">2026-10-25T12:08:43Z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