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15944F28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3233F1BF" w:rsidR="1E5D19FB">
        <w:rPr>
          <w:rFonts w:ascii="Century Gothic" w:hAnsi="Century Gothic" w:eastAsia="Century Gothic" w:cs="Century Gothic" w:asciiTheme="majorAscii" w:hAnsiTheme="majorAscii" w:eastAsiaTheme="majorAscii" w:cstheme="majorAscii"/>
        </w:rPr>
        <w:t>May 5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to </w:t>
      </w:r>
      <w:r w:rsidRPr="3233F1BF" w:rsidR="345F87E9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3233F1BF" w:rsidR="0F460932">
        <w:rPr>
          <w:rFonts w:ascii="Century Gothic" w:hAnsi="Century Gothic" w:eastAsia="Century Gothic" w:cs="Century Gothic" w:asciiTheme="majorAscii" w:hAnsiTheme="majorAscii" w:eastAsiaTheme="majorAscii" w:cstheme="majorAscii"/>
        </w:rPr>
        <w:t>9</w:t>
      </w:r>
      <w:r w:rsidRPr="3233F1BF" w:rsidR="00804215">
        <w:rPr>
          <w:rFonts w:ascii="Century Gothic" w:hAnsi="Century Gothic" w:eastAsia="Century Gothic" w:cs="Century Gothic" w:asciiTheme="majorAscii" w:hAnsiTheme="majorAscii" w:eastAsiaTheme="majorAscii" w:cstheme="majorAscii"/>
        </w:rPr>
        <w:t>,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5AC92724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3233F1BF" w:rsidR="0A452C8A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3233F1BF" w:rsidR="4D03731B">
        <w:rPr>
          <w:rFonts w:ascii="Century Gothic" w:hAnsi="Century Gothic" w:eastAsia="Century Gothic" w:cs="Century Gothic" w:asciiTheme="majorAscii" w:hAnsiTheme="majorAscii" w:eastAsiaTheme="majorAscii" w:cstheme="majorAscii"/>
        </w:rPr>
        <w:t>9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>,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3233F1BF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3233F1BF" w:rsidRDefault="001339C3" w14:paraId="225387F8" w14:textId="4E7BAD72">
            <w:pPr>
              <w:pStyle w:val="AtRisk"/>
              <w:numPr>
                <w:ilvl w:val="0"/>
                <w:numId w:val="0"/>
              </w:numPr>
              <w:ind w:left="360" w:hanging="360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339C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The project is </w:t>
            </w:r>
            <w:r w:rsidRPr="3233F1BF" w:rsidR="67BD872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behind schedule</w:t>
            </w:r>
            <w:r w:rsidRPr="3233F1BF" w:rsidR="7576797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. </w:t>
            </w:r>
            <w:r w:rsidRPr="3233F1BF" w:rsidR="7F9E9AD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Critical business transactions have not been </w:t>
            </w:r>
            <w:r w:rsidRPr="3233F1BF" w:rsidR="384CA01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provided,</w:t>
            </w:r>
            <w:r w:rsidRPr="3233F1BF" w:rsidR="7F9E9AD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teams have been unresponsive. </w:t>
            </w:r>
            <w:r w:rsidRPr="3233F1BF" w:rsidR="7F9E9AD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RBroker</w:t>
            </w:r>
            <w:r w:rsidRPr="3233F1BF" w:rsidR="7F9E9AD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CMOD</w:t>
            </w:r>
            <w:r w:rsidRPr="3233F1BF" w:rsidR="5EF1E0E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teams have been engaged to begin</w:t>
            </w:r>
            <w:r w:rsidRPr="3233F1BF" w:rsidR="35D7F6D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the</w:t>
            </w:r>
            <w:r w:rsidRPr="3233F1BF" w:rsidR="5EF1E0E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3233F1BF" w:rsidR="188477F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observability</w:t>
            </w:r>
            <w:r w:rsidRPr="3233F1BF" w:rsidR="5EF1E0E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3233F1BF" w:rsidR="188477F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onboarding </w:t>
            </w:r>
            <w:r w:rsidRPr="3233F1BF" w:rsidR="5EF1E0E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process in parallel</w:t>
            </w:r>
            <w:r w:rsidRPr="3233F1BF" w:rsidR="224DBE6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</w:t>
            </w:r>
          </w:p>
        </w:tc>
      </w:tr>
      <w:tr w:rsidR="001C5434" w:rsidTr="3233F1BF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3233F1BF" w:rsidRDefault="001C5434" w14:paraId="5B6BFEFA" w14:textId="12051A49">
            <w:pPr>
              <w:pStyle w:val="AtRisk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</w:pPr>
            <w:r w:rsidRPr="3233F1BF" w:rsidR="64225ADA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 xml:space="preserve">At Risk: </w:t>
            </w:r>
            <w:r w:rsidRPr="3233F1BF" w:rsidR="64225AD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Some issues may affect timeline, budget, or scope but</w:t>
            </w:r>
            <w:r w:rsidRPr="3233F1BF" w:rsidR="1B93510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are</w:t>
            </w:r>
            <w:r w:rsidRPr="3233F1BF" w:rsidR="64225AD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manageable.</w:t>
            </w:r>
          </w:p>
        </w:tc>
      </w:tr>
      <w:tr w:rsidR="002A792A" w:rsidTr="3233F1BF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3233F1BF" w:rsidRDefault="00710EC9" w14:paraId="26FE2138" w14:textId="4ECCBE75">
            <w:pPr>
              <w:pStyle w:val="AtRisk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746CE6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Key business transactions have not been provided</w:t>
            </w:r>
            <w:r w:rsidRPr="3233F1BF" w:rsidR="28D9C2E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(no response from AP/OA team)</w:t>
            </w:r>
          </w:p>
          <w:p w:rsidRPr="00710EC9" w:rsidR="001C5434" w:rsidP="3233F1BF" w:rsidRDefault="00710EC9" w14:paraId="037D9B9F" w14:textId="614987D5">
            <w:pPr>
              <w:pStyle w:val="AtRisk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1CBB431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No response from RUM contacts</w:t>
            </w:r>
            <w:r w:rsidRPr="3233F1BF" w:rsidR="5CDAAF1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for POC</w:t>
            </w:r>
          </w:p>
        </w:tc>
      </w:tr>
      <w:tr w:rsidR="002A792A" w:rsidTr="3233F1BF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3233F1BF" w:rsidRDefault="00387884" w14:paraId="03815AD8" w14:textId="224E1F1F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26335E2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Salesforce follow-up meeting</w:t>
            </w:r>
            <w:r w:rsidRPr="3233F1BF" w:rsidR="5BA5C6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, UI demo of Online Access</w:t>
            </w:r>
          </w:p>
          <w:p w:rsidRPr="00804215" w:rsidR="00387884" w:rsidP="3233F1BF" w:rsidRDefault="00387884" w14:paraId="07025A49" w14:textId="15D21C3A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26335E2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Synthetic testing meeting with Sharon Yu, test user </w:t>
            </w:r>
            <w:r w:rsidRPr="3233F1BF" w:rsidR="04BBC03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barriers </w:t>
            </w:r>
            <w:r w:rsidRPr="3233F1BF" w:rsidR="26335E2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</w:p>
          <w:p w:rsidRPr="00804215" w:rsidR="00387884" w:rsidP="3233F1BF" w:rsidRDefault="00387884" w14:paraId="5F488BB8" w14:textId="5F0E0C38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7E6A759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RBroker</w:t>
            </w:r>
            <w:r w:rsidRPr="3233F1BF" w:rsidR="7E6A759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, </w:t>
            </w:r>
            <w:r w:rsidRPr="3233F1BF" w:rsidR="26335E2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MuleSoft and CMOD teams engaged, began </w:t>
            </w:r>
            <w:r w:rsidRPr="3233F1BF" w:rsidR="3AF2D58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onboar</w:t>
            </w:r>
            <w:r w:rsidRPr="3233F1BF" w:rsidR="3AF2D58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ding of CMOD</w:t>
            </w:r>
          </w:p>
        </w:tc>
      </w:tr>
      <w:tr w:rsidR="002A792A" w:rsidTr="3233F1BF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3233F1BF" w:rsidRDefault="000066C5" w14:paraId="008DD2F0" w14:textId="665B3F2B">
            <w:pPr>
              <w:pStyle w:val="ListBullet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B0CD74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Top 5 business transactions from both Advisor and Client Portal defined</w:t>
            </w:r>
            <w:r w:rsidRPr="3233F1BF" w:rsidR="329A553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3233F1BF" w:rsidR="329A5533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(next week if response)</w:t>
            </w:r>
          </w:p>
          <w:p w:rsidRPr="00D021DD" w:rsidR="0092577B" w:rsidP="3233F1BF" w:rsidRDefault="000066C5" w14:paraId="7FADC789" w14:textId="136C3718">
            <w:pPr>
              <w:pStyle w:val="ListBullet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B0CD74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Scope of Advisor and Client Portals as it relates to observability architecture defined</w:t>
            </w:r>
            <w:r w:rsidRPr="3233F1BF" w:rsidR="3B1C0DE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3233F1BF" w:rsidR="3B1C0DE3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(next week if response)</w:t>
            </w:r>
          </w:p>
          <w:p w:rsidRPr="00D021DD" w:rsidR="0092577B" w:rsidP="3233F1BF" w:rsidRDefault="000066C5" w14:paraId="69AC40DE" w14:textId="3162AC2D">
            <w:pPr>
              <w:pStyle w:val="ListBullet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B0CD74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  <w:t>Create artifacts outlining roadmap, scope (synthetics, RUM, APM...), and capabilities (dashboarding) of AP/OA initiative to inform next steps and deliver to Wendy, Swati, and Sanjay</w:t>
            </w:r>
            <w:r w:rsidRPr="3233F1BF" w:rsidR="23E7EB73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  <w:t xml:space="preserve"> </w:t>
            </w:r>
            <w:r w:rsidRPr="3233F1BF" w:rsidR="23E7EB73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(next week if response)</w:t>
            </w:r>
          </w:p>
          <w:p w:rsidRPr="00D021DD" w:rsidR="0092577B" w:rsidP="3233F1BF" w:rsidRDefault="000066C5" w14:paraId="7C5B40E0" w14:textId="775A3AE1">
            <w:pPr>
              <w:pStyle w:val="ListBullet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B0CD74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 xml:space="preserve">Engage with Portals leads (Wendy, Swati, and Sanjay) and </w:t>
            </w:r>
            <w:r w:rsidRPr="3233F1BF" w:rsidR="0B0CD74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>determine</w:t>
            </w:r>
            <w:r w:rsidRPr="3233F1BF" w:rsidR="0B0CD74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 xml:space="preserve"> engagement model for RUM POC</w:t>
            </w:r>
            <w:r w:rsidRPr="3233F1BF" w:rsidR="5259D98B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 xml:space="preserve"> </w:t>
            </w:r>
            <w:r w:rsidRPr="3233F1BF" w:rsidR="5259D98B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(next week if response)</w:t>
            </w:r>
          </w:p>
          <w:p w:rsidRPr="00D021DD" w:rsidR="0092577B" w:rsidP="3233F1BF" w:rsidRDefault="000066C5" w14:paraId="27C3DE73" w14:textId="2C4A66FD">
            <w:pPr>
              <w:pStyle w:val="ListBullet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B0CD74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>Draft Solution Design Document</w:t>
            </w:r>
            <w:r w:rsidRPr="3233F1BF" w:rsidR="76FE28B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 xml:space="preserve"> for AP/OA</w:t>
            </w:r>
            <w:r w:rsidRPr="3233F1BF" w:rsidR="0CEFF756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 xml:space="preserve"> </w:t>
            </w:r>
            <w:r w:rsidRPr="3233F1BF" w:rsidR="0CEFF756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(next week if response)</w:t>
            </w:r>
          </w:p>
        </w:tc>
      </w:tr>
      <w:tr w:rsidR="002A792A" w:rsidTr="3233F1BF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3233F1BF" w:rsidRDefault="00387884" w14:paraId="6C94CE36" w14:textId="58C7F03F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2CF1935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Scope of </w:t>
            </w:r>
            <w:r w:rsidRPr="3233F1BF" w:rsidR="3504121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CMOD</w:t>
            </w:r>
            <w:r w:rsidRPr="3233F1BF" w:rsidR="2CF1935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observability architecture defined</w:t>
            </w:r>
          </w:p>
          <w:p w:rsidRPr="00D021DD" w:rsidR="00A91FA7" w:rsidP="3233F1BF" w:rsidRDefault="00387884" w14:paraId="45D11749" w14:textId="500A51F4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3233F1BF" w:rsidR="46CBDB6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Draft Solution Design Document for CMOD</w:t>
            </w:r>
          </w:p>
          <w:p w:rsidRPr="00D021DD" w:rsidR="00A91FA7" w:rsidP="3233F1BF" w:rsidRDefault="00387884" w14:paraId="58D5A2C1" w14:textId="39133532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3233F1BF" w:rsidR="46CBDB6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Observability onboarding meeting with RBroker</w:t>
            </w:r>
          </w:p>
        </w:tc>
      </w:tr>
      <w:tr w:rsidR="002A792A" w:rsidTr="3233F1BF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3233F1BF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3233F1BF" w:rsidRDefault="001339C3" w14:paraId="0F06217D" w14:textId="1D5E0F8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339C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No Issues</w:t>
            </w: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8EAB27"/>
    <w:rsid w:val="01DFDD49"/>
    <w:rsid w:val="02CE3C28"/>
    <w:rsid w:val="0336E896"/>
    <w:rsid w:val="03490AF3"/>
    <w:rsid w:val="034B4C11"/>
    <w:rsid w:val="03B5BA6E"/>
    <w:rsid w:val="0452BE1E"/>
    <w:rsid w:val="04BBC03D"/>
    <w:rsid w:val="05894512"/>
    <w:rsid w:val="06FBF18B"/>
    <w:rsid w:val="0735B9B3"/>
    <w:rsid w:val="07665E57"/>
    <w:rsid w:val="07F03FB1"/>
    <w:rsid w:val="08016E6C"/>
    <w:rsid w:val="081216A6"/>
    <w:rsid w:val="081C365E"/>
    <w:rsid w:val="08226324"/>
    <w:rsid w:val="08F80EAE"/>
    <w:rsid w:val="09001BA6"/>
    <w:rsid w:val="09B86672"/>
    <w:rsid w:val="0A452C8A"/>
    <w:rsid w:val="0A5C4BFF"/>
    <w:rsid w:val="0B0CD74A"/>
    <w:rsid w:val="0B22106B"/>
    <w:rsid w:val="0B86F4D3"/>
    <w:rsid w:val="0CEFF756"/>
    <w:rsid w:val="0CFA999F"/>
    <w:rsid w:val="0E25A923"/>
    <w:rsid w:val="0F4566EF"/>
    <w:rsid w:val="0F460932"/>
    <w:rsid w:val="11C37FA3"/>
    <w:rsid w:val="120D72B5"/>
    <w:rsid w:val="12C93A50"/>
    <w:rsid w:val="13A09F8E"/>
    <w:rsid w:val="141671A6"/>
    <w:rsid w:val="14B33CB8"/>
    <w:rsid w:val="14EB8B40"/>
    <w:rsid w:val="15034E1F"/>
    <w:rsid w:val="151BE306"/>
    <w:rsid w:val="157F3C16"/>
    <w:rsid w:val="16888774"/>
    <w:rsid w:val="172EC18A"/>
    <w:rsid w:val="174B9802"/>
    <w:rsid w:val="1823D4BF"/>
    <w:rsid w:val="18765F06"/>
    <w:rsid w:val="188477F2"/>
    <w:rsid w:val="188C27F9"/>
    <w:rsid w:val="192B32DA"/>
    <w:rsid w:val="1A385FC9"/>
    <w:rsid w:val="1A4C8D6C"/>
    <w:rsid w:val="1AEB5329"/>
    <w:rsid w:val="1B20AAF0"/>
    <w:rsid w:val="1B93510C"/>
    <w:rsid w:val="1B9A9984"/>
    <w:rsid w:val="1BE361AC"/>
    <w:rsid w:val="1C1B662F"/>
    <w:rsid w:val="1CBB4311"/>
    <w:rsid w:val="1D966993"/>
    <w:rsid w:val="1DCDB3A7"/>
    <w:rsid w:val="1E1921B9"/>
    <w:rsid w:val="1E5D19FB"/>
    <w:rsid w:val="1EED3CA2"/>
    <w:rsid w:val="1F20F0D7"/>
    <w:rsid w:val="1F4C842C"/>
    <w:rsid w:val="21F0B4BE"/>
    <w:rsid w:val="224DBE64"/>
    <w:rsid w:val="22C70451"/>
    <w:rsid w:val="22F065D1"/>
    <w:rsid w:val="23AAE57F"/>
    <w:rsid w:val="23E362D1"/>
    <w:rsid w:val="23E7EB73"/>
    <w:rsid w:val="24361E38"/>
    <w:rsid w:val="2447BE23"/>
    <w:rsid w:val="247FB273"/>
    <w:rsid w:val="25950E12"/>
    <w:rsid w:val="259BEDEE"/>
    <w:rsid w:val="25F54D1D"/>
    <w:rsid w:val="26335E21"/>
    <w:rsid w:val="26DBE7C3"/>
    <w:rsid w:val="26E999B9"/>
    <w:rsid w:val="277F811E"/>
    <w:rsid w:val="281853B2"/>
    <w:rsid w:val="282E2C71"/>
    <w:rsid w:val="283A6E25"/>
    <w:rsid w:val="285507FE"/>
    <w:rsid w:val="288BE843"/>
    <w:rsid w:val="28B5F92A"/>
    <w:rsid w:val="28D9C2E1"/>
    <w:rsid w:val="294240C8"/>
    <w:rsid w:val="299BDC24"/>
    <w:rsid w:val="2A515364"/>
    <w:rsid w:val="2B97D55B"/>
    <w:rsid w:val="2C6D057F"/>
    <w:rsid w:val="2C8115BD"/>
    <w:rsid w:val="2CF1935C"/>
    <w:rsid w:val="2D1F915E"/>
    <w:rsid w:val="2DCC20F5"/>
    <w:rsid w:val="2EB88D5B"/>
    <w:rsid w:val="2ED30B4B"/>
    <w:rsid w:val="2F4E10E5"/>
    <w:rsid w:val="30A28E6E"/>
    <w:rsid w:val="30F1C008"/>
    <w:rsid w:val="31098CAA"/>
    <w:rsid w:val="3140051C"/>
    <w:rsid w:val="3156C5E3"/>
    <w:rsid w:val="3233F1BF"/>
    <w:rsid w:val="329A5533"/>
    <w:rsid w:val="33362996"/>
    <w:rsid w:val="34190820"/>
    <w:rsid w:val="344E3F62"/>
    <w:rsid w:val="345F87E9"/>
    <w:rsid w:val="348140B0"/>
    <w:rsid w:val="34E68116"/>
    <w:rsid w:val="3504121F"/>
    <w:rsid w:val="35D7F6DA"/>
    <w:rsid w:val="36641D9B"/>
    <w:rsid w:val="36D86EAE"/>
    <w:rsid w:val="378F6561"/>
    <w:rsid w:val="37944573"/>
    <w:rsid w:val="37AF25CA"/>
    <w:rsid w:val="384CA011"/>
    <w:rsid w:val="38555831"/>
    <w:rsid w:val="38B24376"/>
    <w:rsid w:val="38E81F85"/>
    <w:rsid w:val="397B5FE3"/>
    <w:rsid w:val="39A5FF19"/>
    <w:rsid w:val="39E34B4C"/>
    <w:rsid w:val="3A18D3C1"/>
    <w:rsid w:val="3AF2D580"/>
    <w:rsid w:val="3B1C0DE3"/>
    <w:rsid w:val="3B33BDB9"/>
    <w:rsid w:val="3BE20BFA"/>
    <w:rsid w:val="3E711CD4"/>
    <w:rsid w:val="3E7AE9B6"/>
    <w:rsid w:val="40128396"/>
    <w:rsid w:val="404E8839"/>
    <w:rsid w:val="405B017C"/>
    <w:rsid w:val="4065BE85"/>
    <w:rsid w:val="421A925A"/>
    <w:rsid w:val="42F29607"/>
    <w:rsid w:val="44A9BF94"/>
    <w:rsid w:val="44D4FE26"/>
    <w:rsid w:val="451C202A"/>
    <w:rsid w:val="4540D545"/>
    <w:rsid w:val="457F2D2F"/>
    <w:rsid w:val="45F5A9E0"/>
    <w:rsid w:val="461F9148"/>
    <w:rsid w:val="46CBDB6B"/>
    <w:rsid w:val="481AA9C1"/>
    <w:rsid w:val="483D9DEC"/>
    <w:rsid w:val="4A41F409"/>
    <w:rsid w:val="4A77418F"/>
    <w:rsid w:val="4AF84FEF"/>
    <w:rsid w:val="4BB5C30A"/>
    <w:rsid w:val="4BBBEAD5"/>
    <w:rsid w:val="4C09DB5C"/>
    <w:rsid w:val="4C72B22C"/>
    <w:rsid w:val="4D03731B"/>
    <w:rsid w:val="4E3DCD84"/>
    <w:rsid w:val="4E50F835"/>
    <w:rsid w:val="5016C85D"/>
    <w:rsid w:val="5177CAB2"/>
    <w:rsid w:val="51B2A06A"/>
    <w:rsid w:val="5259D956"/>
    <w:rsid w:val="5259D98B"/>
    <w:rsid w:val="5334DF33"/>
    <w:rsid w:val="5364DF8A"/>
    <w:rsid w:val="53781524"/>
    <w:rsid w:val="53953E89"/>
    <w:rsid w:val="54206AF3"/>
    <w:rsid w:val="54219921"/>
    <w:rsid w:val="5422E50B"/>
    <w:rsid w:val="5534D82E"/>
    <w:rsid w:val="55A06C8B"/>
    <w:rsid w:val="55AF8593"/>
    <w:rsid w:val="567CDFF8"/>
    <w:rsid w:val="56C1D29F"/>
    <w:rsid w:val="5753CEDC"/>
    <w:rsid w:val="575569E4"/>
    <w:rsid w:val="582C1356"/>
    <w:rsid w:val="598A7D94"/>
    <w:rsid w:val="59B6F241"/>
    <w:rsid w:val="59B6F2A0"/>
    <w:rsid w:val="5B080747"/>
    <w:rsid w:val="5B25CD9B"/>
    <w:rsid w:val="5B9BF016"/>
    <w:rsid w:val="5BA5C62C"/>
    <w:rsid w:val="5BAAEA4B"/>
    <w:rsid w:val="5CDAAF11"/>
    <w:rsid w:val="5D25FC1A"/>
    <w:rsid w:val="5D4B8E41"/>
    <w:rsid w:val="5DAA7A5A"/>
    <w:rsid w:val="5E7939F8"/>
    <w:rsid w:val="5E89DD07"/>
    <w:rsid w:val="5EEA8D6A"/>
    <w:rsid w:val="5EF1E0ED"/>
    <w:rsid w:val="604CAF43"/>
    <w:rsid w:val="60AB02AF"/>
    <w:rsid w:val="621A1417"/>
    <w:rsid w:val="63598CB9"/>
    <w:rsid w:val="63F69A79"/>
    <w:rsid w:val="64225ADA"/>
    <w:rsid w:val="64246454"/>
    <w:rsid w:val="64A3E2E4"/>
    <w:rsid w:val="64C8CE88"/>
    <w:rsid w:val="655E8951"/>
    <w:rsid w:val="6563D674"/>
    <w:rsid w:val="660A8BDC"/>
    <w:rsid w:val="6706192F"/>
    <w:rsid w:val="6715134E"/>
    <w:rsid w:val="67BD872D"/>
    <w:rsid w:val="67EBF489"/>
    <w:rsid w:val="6837DDF3"/>
    <w:rsid w:val="687B7EC0"/>
    <w:rsid w:val="687F421B"/>
    <w:rsid w:val="68B18D11"/>
    <w:rsid w:val="692A8F0A"/>
    <w:rsid w:val="69BCB2DF"/>
    <w:rsid w:val="6A0DA10D"/>
    <w:rsid w:val="6AF5089F"/>
    <w:rsid w:val="6B0EB742"/>
    <w:rsid w:val="6C7DC5CF"/>
    <w:rsid w:val="6D37E945"/>
    <w:rsid w:val="6E2AA192"/>
    <w:rsid w:val="6E854697"/>
    <w:rsid w:val="6F165BE1"/>
    <w:rsid w:val="6F432BC3"/>
    <w:rsid w:val="6FD8334F"/>
    <w:rsid w:val="6FF427B4"/>
    <w:rsid w:val="7041E82E"/>
    <w:rsid w:val="70537896"/>
    <w:rsid w:val="70C3DE31"/>
    <w:rsid w:val="70D100C4"/>
    <w:rsid w:val="718CFA5E"/>
    <w:rsid w:val="721E6A55"/>
    <w:rsid w:val="72847CCD"/>
    <w:rsid w:val="7384FEE8"/>
    <w:rsid w:val="73F63700"/>
    <w:rsid w:val="7409F98C"/>
    <w:rsid w:val="7428E33F"/>
    <w:rsid w:val="743679BA"/>
    <w:rsid w:val="746CE649"/>
    <w:rsid w:val="7474E405"/>
    <w:rsid w:val="7478424D"/>
    <w:rsid w:val="74C21CC5"/>
    <w:rsid w:val="752EF5E6"/>
    <w:rsid w:val="75543E93"/>
    <w:rsid w:val="7576797D"/>
    <w:rsid w:val="757E0BF6"/>
    <w:rsid w:val="767C60BD"/>
    <w:rsid w:val="76B3E0C2"/>
    <w:rsid w:val="76FE28BA"/>
    <w:rsid w:val="7726DAC2"/>
    <w:rsid w:val="77D4A566"/>
    <w:rsid w:val="78EF3EDE"/>
    <w:rsid w:val="7939A96C"/>
    <w:rsid w:val="79ACABD7"/>
    <w:rsid w:val="7A35544D"/>
    <w:rsid w:val="7A3D51C8"/>
    <w:rsid w:val="7A6EC329"/>
    <w:rsid w:val="7AAF7522"/>
    <w:rsid w:val="7B1023C7"/>
    <w:rsid w:val="7B2CCBEE"/>
    <w:rsid w:val="7B38ACA3"/>
    <w:rsid w:val="7B5D1022"/>
    <w:rsid w:val="7BF510A0"/>
    <w:rsid w:val="7BF7A718"/>
    <w:rsid w:val="7CF8054B"/>
    <w:rsid w:val="7D46CFBB"/>
    <w:rsid w:val="7E6A7597"/>
    <w:rsid w:val="7E71FDC2"/>
    <w:rsid w:val="7E8416CC"/>
    <w:rsid w:val="7F11A5F9"/>
    <w:rsid w:val="7F3054A9"/>
    <w:rsid w:val="7F86519F"/>
    <w:rsid w:val="7F9E9AD4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62</revision>
  <lastPrinted>2012-12-03T18:15:00.0000000Z</lastPrinted>
  <dcterms:created xsi:type="dcterms:W3CDTF">2025-02-01T10:13:00.0000000Z</dcterms:created>
  <dcterms:modified xsi:type="dcterms:W3CDTF">2025-05-09T19:22:32.9285784Z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