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png" ContentType="image/png"/>
  <Override PartName="/word/media/image6.jpeg" ContentType="image/jpeg"/>
  <Override PartName="/word/media/image7.jpeg" ContentType="image/jpeg"/>
  <Override PartName="/word/media/image8.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abTitle"/>
        <w:spacing w:before="60" w:after="60"/>
        <w:rPr>
          <w:rStyle w:val="LabTitleInstVersred"/>
          <w:b/>
          <w:b/>
          <w:color w:val="auto"/>
        </w:rPr>
      </w:pPr>
      <w:r>
        <w:rPr/>
        <w:t xml:space="preserve">Práctica de laboratorio: Armar un cable directo Ethernet </w:t>
      </w:r>
    </w:p>
    <w:p>
      <w:pPr>
        <w:pStyle w:val="LabSection"/>
        <w:numPr>
          <w:ilvl w:val="0"/>
          <w:numId w:val="2"/>
        </w:numPr>
        <w:rPr/>
      </w:pPr>
      <w:r>
        <w:rPr/>
      </w:r>
    </w:p>
    <w:p>
      <w:pPr>
        <w:pStyle w:val="LabSection"/>
        <w:numPr>
          <w:ilvl w:val="0"/>
          <w:numId w:val="2"/>
        </w:numPr>
        <w:rPr/>
      </w:pPr>
      <w:r>
        <w:rPr/>
        <w:t>Objetivos</w:t>
      </w:r>
    </w:p>
    <w:p>
      <w:pPr>
        <w:pStyle w:val="BodyTextL25Bold"/>
        <w:rPr/>
      </w:pPr>
      <w:r>
        <w:rPr/>
        <w:t>Parte 1: Analizar los estándares de cableado y los diagramas de pines de Ethernet</w:t>
      </w:r>
    </w:p>
    <w:p>
      <w:pPr>
        <w:pStyle w:val="BodyTextL25Bold"/>
        <w:rPr/>
      </w:pPr>
      <w:r>
        <w:rPr/>
        <w:t>Parte 2: Armar un cable directo Ethernet</w:t>
      </w:r>
    </w:p>
    <w:p>
      <w:pPr>
        <w:pStyle w:val="BodyTextL25Bold"/>
        <w:rPr/>
      </w:pPr>
      <w:r>
        <w:rPr/>
        <w:t>Parte 3: Evaluar el cable directo Ethernet</w:t>
      </w:r>
    </w:p>
    <w:p>
      <w:pPr>
        <w:pStyle w:val="LabSection"/>
        <w:numPr>
          <w:ilvl w:val="0"/>
          <w:numId w:val="2"/>
        </w:numPr>
        <w:rPr/>
      </w:pPr>
      <w:r>
        <w:rPr/>
        <w:t>Información básica/situación</w:t>
      </w:r>
    </w:p>
    <w:p>
      <w:pPr>
        <w:pStyle w:val="BodyTextL25"/>
        <w:rPr/>
      </w:pPr>
      <w:r>
        <w:rPr/>
        <w:t>En esta práctica de laboratorio, armará y conectará un cable directo Ethernet, y lo probará conectando un pc y un switch haciendo ping entre ellas (utilizará la interfaz virtual del switch para ello). Primero analizará los estándares 568-A y 568-B de la Asociación de Industrias Electrónicas y la Asociación de las Industrias de las Telecomunicaciones (TIA/EIA) y la forma en que se aplican a los cables Ethernet. Luego armará un cable directo Ethernet y lo probará. Por último, utilizará el cable que acaba de armar para conectar un PC y el switch y lo probará haciendo ping entre ellos.</w:t>
      </w:r>
    </w:p>
    <w:p>
      <w:pPr>
        <w:pStyle w:val="LabSection"/>
        <w:numPr>
          <w:ilvl w:val="0"/>
          <w:numId w:val="2"/>
        </w:numPr>
        <w:rPr/>
      </w:pPr>
      <w:r>
        <w:rPr/>
        <w:t>Recursos necesarios</w:t>
      </w:r>
    </w:p>
    <w:p>
      <w:pPr>
        <w:pStyle w:val="Bulletlevel1"/>
        <w:numPr>
          <w:ilvl w:val="0"/>
          <w:numId w:val="1"/>
        </w:numPr>
        <w:rPr/>
      </w:pPr>
      <w:r>
        <w:rPr/>
        <w:t>Un tramo de cable UTP.</w:t>
      </w:r>
    </w:p>
    <w:p>
      <w:pPr>
        <w:pStyle w:val="Bulletlevel1"/>
        <w:numPr>
          <w:ilvl w:val="0"/>
          <w:numId w:val="1"/>
        </w:numPr>
        <w:rPr/>
      </w:pPr>
      <w:r>
        <w:rPr/>
        <w:t>2 conectores RJ-45</w:t>
      </w:r>
    </w:p>
    <w:p>
      <w:pPr>
        <w:pStyle w:val="Bulletlevel1"/>
        <w:numPr>
          <w:ilvl w:val="0"/>
          <w:numId w:val="1"/>
        </w:numPr>
        <w:rPr/>
      </w:pPr>
      <w:r>
        <w:rPr/>
        <w:t>Tenaza engarzadora RJ-45</w:t>
      </w:r>
    </w:p>
    <w:p>
      <w:pPr>
        <w:pStyle w:val="Bulletlevel1"/>
        <w:numPr>
          <w:ilvl w:val="0"/>
          <w:numId w:val="1"/>
        </w:numPr>
        <w:rPr/>
      </w:pPr>
      <w:r>
        <w:rPr/>
        <w:t>Alicate</w:t>
      </w:r>
    </w:p>
    <w:p>
      <w:pPr>
        <w:pStyle w:val="Bulletlevel1"/>
        <w:numPr>
          <w:ilvl w:val="0"/>
          <w:numId w:val="1"/>
        </w:numPr>
        <w:rPr/>
      </w:pPr>
      <w:r>
        <w:rPr/>
        <w:t>Pelacables</w:t>
      </w:r>
    </w:p>
    <w:p>
      <w:pPr>
        <w:pStyle w:val="Bulletlevel1"/>
        <w:numPr>
          <w:ilvl w:val="0"/>
          <w:numId w:val="1"/>
        </w:numPr>
        <w:rPr/>
      </w:pPr>
      <w:r>
        <w:rPr/>
        <w:t>Comprobador de cables Ethernet (opcional)</w:t>
      </w:r>
    </w:p>
    <w:p>
      <w:pPr>
        <w:pStyle w:val="Bulletlevel1"/>
        <w:numPr>
          <w:ilvl w:val="0"/>
          <w:numId w:val="1"/>
        </w:numPr>
        <w:rPr/>
      </w:pPr>
      <w:r>
        <w:rPr/>
        <w:t>1 PC y 1 Switch</w:t>
      </w:r>
    </w:p>
    <w:p>
      <w:pPr>
        <w:pStyle w:val="PartHead"/>
        <w:numPr>
          <w:ilvl w:val="0"/>
          <w:numId w:val="3"/>
        </w:numPr>
        <w:rPr/>
      </w:pPr>
      <w:r>
        <w:rPr/>
        <w:t>Análisis de los estándares de cableado y los diagramas de pines de Ethernet</w:t>
      </w:r>
    </w:p>
    <w:p>
      <w:pPr>
        <w:pStyle w:val="BodyTextL25"/>
        <w:rPr/>
      </w:pPr>
      <w:r>
        <w:rPr/>
        <w:t>La TIA/EIA especificó estándares de cableado de par trenzado no blindado (UTP) para el uso en entornos de cableado LAN. Los estándares 568-A y 568-B de la TIA/EIA estipulan los estándares de cableado comercial para las instalaciones de LAN. Estos son los estándares que se utilizan con mayor frecuencia en el cableado LAN de las organizaciones y determinan qué color de hilo se utiliza en cada pin.</w:t>
      </w:r>
    </w:p>
    <w:p>
      <w:pPr>
        <w:pStyle w:val="StepHead"/>
        <w:numPr>
          <w:ilvl w:val="1"/>
          <w:numId w:val="3"/>
        </w:numPr>
        <w:rPr/>
      </w:pPr>
      <w:r>
        <w:rPr/>
        <w:t>Análisis de diagramas y tablas para el cable Ethernet conforme al estándar 568-A de la TIA/EIA.</w:t>
      </w:r>
    </w:p>
    <w:p>
      <w:pPr>
        <w:pStyle w:val="BodyTextL25"/>
        <w:rPr/>
      </w:pPr>
      <w:r>
        <w:rPr/>
        <w:t xml:space="preserve">En la tabla y los diagramas siguientes, se muestran el esquema de colores y el diagrama de pines, así como la función de los cuatro pares de hilos que se utilizan para el estándar 568-A. </w:t>
      </w:r>
    </w:p>
    <w:p>
      <w:pPr>
        <w:pStyle w:val="BodyTextL25"/>
        <w:rPr/>
      </w:pPr>
      <w:r>
        <w:rPr>
          <w:b/>
        </w:rPr>
        <w:t>Nota</w:t>
      </w:r>
      <w:r>
        <w:rPr/>
        <w:t>: En las instalaciones de LAN que utilizan 100Base-T (100 Mbps), se usan solo dos de los cuatro pares.</w:t>
      </w:r>
    </w:p>
    <w:p>
      <w:pPr>
        <w:pStyle w:val="BodyTextL25"/>
        <w:jc w:val="center"/>
        <w:rPr>
          <w:b/>
          <w:b/>
        </w:rPr>
      </w:pPr>
      <w:r>
        <w:rPr>
          <w:b/>
        </w:rPr>
        <w:t>Ethernet 10/100/1000Base-TX conforme al estándar 568-A</w:t>
      </w:r>
    </w:p>
    <w:tbl>
      <w:tblPr>
        <w:tblW w:w="10310" w:type="dxa"/>
        <w:jc w:val="center"/>
        <w:tblInd w:w="0" w:type="dxa"/>
        <w:tblCellMar>
          <w:top w:w="14" w:type="dxa"/>
          <w:left w:w="115" w:type="dxa"/>
          <w:bottom w:w="14" w:type="dxa"/>
          <w:right w:w="115" w:type="dxa"/>
        </w:tblCellMar>
        <w:tblLook w:val="04a0" w:noHBand="0" w:noVBand="1" w:firstColumn="1" w:lastRow="0" w:lastColumn="0" w:firstRow="1"/>
      </w:tblPr>
      <w:tblGrid>
        <w:gridCol w:w="1735"/>
        <w:gridCol w:w="1889"/>
        <w:gridCol w:w="2071"/>
        <w:gridCol w:w="2520"/>
        <w:gridCol w:w="2095"/>
      </w:tblGrid>
      <w:tr>
        <w:trPr>
          <w:cantSplit w:val="true"/>
        </w:trPr>
        <w:tc>
          <w:tcPr>
            <w:tcW w:w="1735"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false"/>
              <w:spacing w:before="120" w:after="120"/>
              <w:rPr/>
            </w:pPr>
            <w:r>
              <w:rPr/>
              <w:t>Número de pin</w:t>
            </w:r>
          </w:p>
        </w:tc>
        <w:tc>
          <w:tcPr>
            <w:tcW w:w="1889"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false"/>
              <w:spacing w:before="120" w:after="120"/>
              <w:rPr/>
            </w:pPr>
            <w:r>
              <w:rPr/>
              <w:t>Número de par</w:t>
            </w:r>
          </w:p>
        </w:tc>
        <w:tc>
          <w:tcPr>
            <w:tcW w:w="2071"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false"/>
              <w:spacing w:before="120" w:after="120"/>
              <w:rPr/>
            </w:pPr>
            <w:r>
              <w:rPr/>
              <w:t>Color de hilo</w:t>
            </w:r>
          </w:p>
        </w:tc>
        <w:tc>
          <w:tcPr>
            <w:tcW w:w="252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false"/>
              <w:spacing w:before="120" w:after="120"/>
              <w:rPr/>
            </w:pPr>
            <w:r>
              <w:rPr/>
              <w:t>Señal 10Base-T</w:t>
              <w:br/>
              <w:t>Señal 100Base-TX</w:t>
            </w:r>
          </w:p>
        </w:tc>
        <w:tc>
          <w:tcPr>
            <w:tcW w:w="2095"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false"/>
              <w:spacing w:before="120" w:after="120"/>
              <w:rPr/>
            </w:pPr>
            <w:r>
              <w:rPr/>
              <w:t>Señal 1000Base-T</w:t>
            </w:r>
          </w:p>
        </w:tc>
      </w:tr>
      <w:tr>
        <w:trPr>
          <w:cantSplit w:val="true"/>
        </w:trPr>
        <w:tc>
          <w:tcPr>
            <w:tcW w:w="173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1</w:t>
            </w:r>
          </w:p>
        </w:tc>
        <w:tc>
          <w:tcPr>
            <w:tcW w:w="188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2</w:t>
            </w:r>
          </w:p>
        </w:tc>
        <w:tc>
          <w:tcPr>
            <w:tcW w:w="2071"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Blanco/Verde</w:t>
            </w:r>
          </w:p>
        </w:tc>
        <w:tc>
          <w:tcPr>
            <w:tcW w:w="252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Transmitir</w:t>
            </w:r>
          </w:p>
        </w:tc>
        <w:tc>
          <w:tcPr>
            <w:tcW w:w="2095" w:type="dxa"/>
            <w:tcBorders>
              <w:top w:val="single" w:sz="2" w:space="0" w:color="000000"/>
              <w:left w:val="single" w:sz="2" w:space="0" w:color="000000"/>
              <w:bottom w:val="single" w:sz="2" w:space="0" w:color="000000"/>
              <w:right w:val="single" w:sz="2" w:space="0" w:color="000000"/>
            </w:tcBorders>
          </w:tcPr>
          <w:p>
            <w:pPr>
              <w:pStyle w:val="TableText"/>
              <w:keepNext w:val="false"/>
              <w:spacing w:before="60" w:after="60"/>
              <w:jc w:val="center"/>
              <w:rPr>
                <w:b/>
                <w:b/>
              </w:rPr>
            </w:pPr>
            <w:r>
              <w:rPr>
                <w:b/>
              </w:rPr>
              <w:t>BI_DA+</w:t>
            </w:r>
          </w:p>
        </w:tc>
      </w:tr>
      <w:tr>
        <w:trPr>
          <w:cantSplit w:val="true"/>
        </w:trPr>
        <w:tc>
          <w:tcPr>
            <w:tcW w:w="173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2</w:t>
            </w:r>
          </w:p>
        </w:tc>
        <w:tc>
          <w:tcPr>
            <w:tcW w:w="188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2</w:t>
            </w:r>
          </w:p>
        </w:tc>
        <w:tc>
          <w:tcPr>
            <w:tcW w:w="2071"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Verde</w:t>
            </w:r>
          </w:p>
        </w:tc>
        <w:tc>
          <w:tcPr>
            <w:tcW w:w="252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Transmitir</w:t>
            </w:r>
          </w:p>
        </w:tc>
        <w:tc>
          <w:tcPr>
            <w:tcW w:w="2095" w:type="dxa"/>
            <w:tcBorders>
              <w:top w:val="single" w:sz="2" w:space="0" w:color="000000"/>
              <w:left w:val="single" w:sz="2" w:space="0" w:color="000000"/>
              <w:bottom w:val="single" w:sz="2" w:space="0" w:color="000000"/>
              <w:right w:val="single" w:sz="2" w:space="0" w:color="000000"/>
            </w:tcBorders>
          </w:tcPr>
          <w:p>
            <w:pPr>
              <w:pStyle w:val="TableText"/>
              <w:keepNext w:val="false"/>
              <w:spacing w:before="60" w:after="60"/>
              <w:jc w:val="center"/>
              <w:rPr>
                <w:b/>
                <w:b/>
              </w:rPr>
            </w:pPr>
            <w:r>
              <w:rPr>
                <w:b/>
              </w:rPr>
              <w:t>BI_DA-</w:t>
            </w:r>
          </w:p>
        </w:tc>
      </w:tr>
      <w:tr>
        <w:trPr>
          <w:cantSplit w:val="true"/>
        </w:trPr>
        <w:tc>
          <w:tcPr>
            <w:tcW w:w="173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3</w:t>
            </w:r>
          </w:p>
        </w:tc>
        <w:tc>
          <w:tcPr>
            <w:tcW w:w="188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3</w:t>
            </w:r>
          </w:p>
        </w:tc>
        <w:tc>
          <w:tcPr>
            <w:tcW w:w="2071"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Blanco/Naranja</w:t>
            </w:r>
          </w:p>
        </w:tc>
        <w:tc>
          <w:tcPr>
            <w:tcW w:w="252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Recibir</w:t>
            </w:r>
          </w:p>
        </w:tc>
        <w:tc>
          <w:tcPr>
            <w:tcW w:w="2095" w:type="dxa"/>
            <w:tcBorders>
              <w:top w:val="single" w:sz="2" w:space="0" w:color="000000"/>
              <w:left w:val="single" w:sz="2" w:space="0" w:color="000000"/>
              <w:bottom w:val="single" w:sz="2" w:space="0" w:color="000000"/>
              <w:right w:val="single" w:sz="2" w:space="0" w:color="000000"/>
            </w:tcBorders>
          </w:tcPr>
          <w:p>
            <w:pPr>
              <w:pStyle w:val="TableText"/>
              <w:keepNext w:val="false"/>
              <w:spacing w:before="60" w:after="60"/>
              <w:jc w:val="center"/>
              <w:rPr>
                <w:b/>
                <w:b/>
              </w:rPr>
            </w:pPr>
            <w:r>
              <w:rPr>
                <w:b/>
              </w:rPr>
              <w:t>BI_DB+</w:t>
            </w:r>
          </w:p>
        </w:tc>
      </w:tr>
      <w:tr>
        <w:trPr>
          <w:cantSplit w:val="true"/>
        </w:trPr>
        <w:tc>
          <w:tcPr>
            <w:tcW w:w="173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4</w:t>
            </w:r>
          </w:p>
        </w:tc>
        <w:tc>
          <w:tcPr>
            <w:tcW w:w="188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1</w:t>
            </w:r>
          </w:p>
        </w:tc>
        <w:tc>
          <w:tcPr>
            <w:tcW w:w="2071"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Azul</w:t>
            </w:r>
          </w:p>
        </w:tc>
        <w:tc>
          <w:tcPr>
            <w:tcW w:w="252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No se usa</w:t>
            </w:r>
          </w:p>
        </w:tc>
        <w:tc>
          <w:tcPr>
            <w:tcW w:w="2095" w:type="dxa"/>
            <w:tcBorders>
              <w:top w:val="single" w:sz="2" w:space="0" w:color="000000"/>
              <w:left w:val="single" w:sz="2" w:space="0" w:color="000000"/>
              <w:bottom w:val="single" w:sz="2" w:space="0" w:color="000000"/>
              <w:right w:val="single" w:sz="2" w:space="0" w:color="000000"/>
            </w:tcBorders>
          </w:tcPr>
          <w:p>
            <w:pPr>
              <w:pStyle w:val="TableText"/>
              <w:keepNext w:val="false"/>
              <w:spacing w:before="60" w:after="60"/>
              <w:jc w:val="center"/>
              <w:rPr>
                <w:b/>
                <w:b/>
              </w:rPr>
            </w:pPr>
            <w:r>
              <w:rPr>
                <w:b/>
              </w:rPr>
              <w:t>BI_DC+</w:t>
            </w:r>
          </w:p>
        </w:tc>
      </w:tr>
      <w:tr>
        <w:trPr>
          <w:cantSplit w:val="true"/>
        </w:trPr>
        <w:tc>
          <w:tcPr>
            <w:tcW w:w="173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5</w:t>
            </w:r>
          </w:p>
        </w:tc>
        <w:tc>
          <w:tcPr>
            <w:tcW w:w="188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1</w:t>
            </w:r>
          </w:p>
        </w:tc>
        <w:tc>
          <w:tcPr>
            <w:tcW w:w="2071"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Blanco/Azul</w:t>
            </w:r>
          </w:p>
        </w:tc>
        <w:tc>
          <w:tcPr>
            <w:tcW w:w="252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No se usa</w:t>
            </w:r>
          </w:p>
        </w:tc>
        <w:tc>
          <w:tcPr>
            <w:tcW w:w="2095" w:type="dxa"/>
            <w:tcBorders>
              <w:top w:val="single" w:sz="2" w:space="0" w:color="000000"/>
              <w:left w:val="single" w:sz="2" w:space="0" w:color="000000"/>
              <w:bottom w:val="single" w:sz="2" w:space="0" w:color="000000"/>
              <w:right w:val="single" w:sz="2" w:space="0" w:color="000000"/>
            </w:tcBorders>
          </w:tcPr>
          <w:p>
            <w:pPr>
              <w:pStyle w:val="TableText"/>
              <w:keepNext w:val="false"/>
              <w:spacing w:before="60" w:after="60"/>
              <w:jc w:val="center"/>
              <w:rPr>
                <w:b/>
                <w:b/>
              </w:rPr>
            </w:pPr>
            <w:r>
              <w:rPr>
                <w:b/>
              </w:rPr>
              <w:t>BI_DC-</w:t>
            </w:r>
          </w:p>
        </w:tc>
      </w:tr>
      <w:tr>
        <w:trPr>
          <w:cantSplit w:val="true"/>
        </w:trPr>
        <w:tc>
          <w:tcPr>
            <w:tcW w:w="173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6</w:t>
            </w:r>
          </w:p>
        </w:tc>
        <w:tc>
          <w:tcPr>
            <w:tcW w:w="188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3</w:t>
            </w:r>
          </w:p>
        </w:tc>
        <w:tc>
          <w:tcPr>
            <w:tcW w:w="2071"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Naranja</w:t>
            </w:r>
          </w:p>
        </w:tc>
        <w:tc>
          <w:tcPr>
            <w:tcW w:w="252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Recibir</w:t>
            </w:r>
          </w:p>
        </w:tc>
        <w:tc>
          <w:tcPr>
            <w:tcW w:w="2095" w:type="dxa"/>
            <w:tcBorders>
              <w:top w:val="single" w:sz="2" w:space="0" w:color="000000"/>
              <w:left w:val="single" w:sz="2" w:space="0" w:color="000000"/>
              <w:bottom w:val="single" w:sz="2" w:space="0" w:color="000000"/>
              <w:right w:val="single" w:sz="2" w:space="0" w:color="000000"/>
            </w:tcBorders>
          </w:tcPr>
          <w:p>
            <w:pPr>
              <w:pStyle w:val="TableText"/>
              <w:keepNext w:val="false"/>
              <w:spacing w:before="60" w:after="60"/>
              <w:jc w:val="center"/>
              <w:rPr>
                <w:b/>
                <w:b/>
              </w:rPr>
            </w:pPr>
            <w:r>
              <w:rPr>
                <w:b/>
              </w:rPr>
              <w:t>BI_DB-</w:t>
            </w:r>
          </w:p>
        </w:tc>
      </w:tr>
      <w:tr>
        <w:trPr>
          <w:cantSplit w:val="true"/>
        </w:trPr>
        <w:tc>
          <w:tcPr>
            <w:tcW w:w="173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7</w:t>
            </w:r>
          </w:p>
        </w:tc>
        <w:tc>
          <w:tcPr>
            <w:tcW w:w="188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4</w:t>
            </w:r>
          </w:p>
        </w:tc>
        <w:tc>
          <w:tcPr>
            <w:tcW w:w="2071"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Blanco/Marrón</w:t>
            </w:r>
          </w:p>
        </w:tc>
        <w:tc>
          <w:tcPr>
            <w:tcW w:w="252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No se usa</w:t>
            </w:r>
          </w:p>
        </w:tc>
        <w:tc>
          <w:tcPr>
            <w:tcW w:w="2095" w:type="dxa"/>
            <w:tcBorders>
              <w:top w:val="single" w:sz="2" w:space="0" w:color="000000"/>
              <w:left w:val="single" w:sz="2" w:space="0" w:color="000000"/>
              <w:bottom w:val="single" w:sz="2" w:space="0" w:color="000000"/>
              <w:right w:val="single" w:sz="2" w:space="0" w:color="000000"/>
            </w:tcBorders>
          </w:tcPr>
          <w:p>
            <w:pPr>
              <w:pStyle w:val="TableText"/>
              <w:keepNext w:val="false"/>
              <w:spacing w:before="60" w:after="60"/>
              <w:jc w:val="center"/>
              <w:rPr>
                <w:b/>
                <w:b/>
              </w:rPr>
            </w:pPr>
            <w:r>
              <w:rPr>
                <w:b/>
              </w:rPr>
              <w:t>BI_DD+</w:t>
            </w:r>
          </w:p>
        </w:tc>
      </w:tr>
      <w:tr>
        <w:trPr>
          <w:cantSplit w:val="true"/>
        </w:trPr>
        <w:tc>
          <w:tcPr>
            <w:tcW w:w="173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8</w:t>
            </w:r>
          </w:p>
        </w:tc>
        <w:tc>
          <w:tcPr>
            <w:tcW w:w="188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4</w:t>
            </w:r>
          </w:p>
        </w:tc>
        <w:tc>
          <w:tcPr>
            <w:tcW w:w="2071"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Marrón</w:t>
            </w:r>
          </w:p>
        </w:tc>
        <w:tc>
          <w:tcPr>
            <w:tcW w:w="252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keepNext w:val="false"/>
              <w:spacing w:before="60" w:after="60"/>
              <w:jc w:val="center"/>
              <w:rPr>
                <w:b/>
                <w:b/>
              </w:rPr>
            </w:pPr>
            <w:r>
              <w:rPr>
                <w:b/>
              </w:rPr>
              <w:t>No se usa</w:t>
            </w:r>
          </w:p>
        </w:tc>
        <w:tc>
          <w:tcPr>
            <w:tcW w:w="2095" w:type="dxa"/>
            <w:tcBorders>
              <w:top w:val="single" w:sz="2" w:space="0" w:color="000000"/>
              <w:left w:val="single" w:sz="2" w:space="0" w:color="000000"/>
              <w:bottom w:val="single" w:sz="2" w:space="0" w:color="000000"/>
              <w:right w:val="single" w:sz="2" w:space="0" w:color="000000"/>
            </w:tcBorders>
          </w:tcPr>
          <w:p>
            <w:pPr>
              <w:pStyle w:val="TableText"/>
              <w:keepNext w:val="false"/>
              <w:spacing w:before="60" w:after="60"/>
              <w:jc w:val="center"/>
              <w:rPr>
                <w:b/>
                <w:b/>
              </w:rPr>
            </w:pPr>
            <w:r>
              <w:rPr>
                <w:b/>
              </w:rPr>
              <w:t>BI_DD-</w:t>
            </w:r>
          </w:p>
        </w:tc>
      </w:tr>
    </w:tbl>
    <w:p>
      <w:pPr>
        <w:pStyle w:val="BodyTextL25"/>
        <w:rPr/>
      </w:pPr>
      <w:r>
        <w:rPr/>
        <w:t>En los diagramas siguientes, se muestra la forma en que el color del hilo y el diagrama de pines se alinean con un conector RJ-45 conforme al estándar 568-A.</w:t>
      </w:r>
    </w:p>
    <w:p>
      <w:pPr>
        <w:pStyle w:val="Visual"/>
        <w:snapToGrid w:val="false"/>
        <w:spacing w:before="0" w:after="0"/>
        <w:rPr/>
      </w:pPr>
      <w:r>
        <w:rPr/>
        <w:drawing>
          <wp:inline distT="0" distB="0" distL="0" distR="0">
            <wp:extent cx="4657090" cy="3684905"/>
            <wp:effectExtent l="0" t="0" r="0" b="0"/>
            <wp:docPr id="1" name="Picture 3" descr="T-5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T-568A"/>
                    <pic:cNvPicPr>
                      <a:picLocks noChangeAspect="1" noChangeArrowheads="1"/>
                    </pic:cNvPicPr>
                  </pic:nvPicPr>
                  <pic:blipFill>
                    <a:blip r:embed="rId2"/>
                    <a:stretch>
                      <a:fillRect/>
                    </a:stretch>
                  </pic:blipFill>
                  <pic:spPr bwMode="auto">
                    <a:xfrm>
                      <a:off x="0" y="0"/>
                      <a:ext cx="4657090" cy="3684905"/>
                    </a:xfrm>
                    <a:prstGeom prst="rect">
                      <a:avLst/>
                    </a:prstGeom>
                  </pic:spPr>
                </pic:pic>
              </a:graphicData>
            </a:graphic>
          </wp:inline>
        </w:drawing>
      </w:r>
    </w:p>
    <w:p>
      <w:pPr>
        <w:pStyle w:val="Visual"/>
        <w:spacing w:before="0" w:after="0"/>
        <w:rPr/>
      </w:pPr>
      <w:r>
        <w:rPr/>
        <w:drawing>
          <wp:inline distT="0" distB="0" distL="0" distR="0">
            <wp:extent cx="3411855" cy="3904615"/>
            <wp:effectExtent l="0" t="0" r="0" b="0"/>
            <wp:docPr id="2" name="Picture 2" descr="RJ-45 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J-45 Jack"/>
                    <pic:cNvPicPr>
                      <a:picLocks noChangeAspect="1" noChangeArrowheads="1"/>
                    </pic:cNvPicPr>
                  </pic:nvPicPr>
                  <pic:blipFill>
                    <a:blip r:embed="rId3"/>
                    <a:srcRect l="0" t="10009" r="0" b="0"/>
                    <a:stretch>
                      <a:fillRect/>
                    </a:stretch>
                  </pic:blipFill>
                  <pic:spPr bwMode="auto">
                    <a:xfrm>
                      <a:off x="0" y="0"/>
                      <a:ext cx="3411855" cy="3904615"/>
                    </a:xfrm>
                    <a:prstGeom prst="rect">
                      <a:avLst/>
                    </a:prstGeom>
                  </pic:spPr>
                </pic:pic>
              </a:graphicData>
            </a:graphic>
          </wp:inline>
        </w:drawing>
      </w:r>
    </w:p>
    <w:p>
      <w:pPr>
        <w:pStyle w:val="StepHead"/>
        <w:numPr>
          <w:ilvl w:val="1"/>
          <w:numId w:val="3"/>
        </w:numPr>
        <w:rPr/>
      </w:pPr>
      <w:r>
        <w:rPr/>
        <w:t>Análisis de diagramas y tablas para el cable Ethernet conforme al estándar 568-B de la TIA/EIA.</w:t>
      </w:r>
    </w:p>
    <w:p>
      <w:pPr>
        <w:pStyle w:val="BodyTextL25"/>
        <w:rPr/>
      </w:pPr>
      <w:r>
        <w:rPr/>
        <w:t>En la tabla y el diagrama siguientes, se muestran el esquema de colores y el diagrama de pines conforme al estándar 568-B.</w:t>
      </w:r>
    </w:p>
    <w:p>
      <w:pPr>
        <w:pStyle w:val="BodyTextL25"/>
        <w:keepNext w:val="true"/>
        <w:jc w:val="center"/>
        <w:rPr>
          <w:b/>
          <w:b/>
        </w:rPr>
      </w:pPr>
      <w:r>
        <w:rPr>
          <w:b/>
        </w:rPr>
        <w:t>Ethernet 10/100/1000-BaseTX conforme al estándar 568-B</w:t>
      </w:r>
    </w:p>
    <w:tbl>
      <w:tblPr>
        <w:tblW w:w="10310" w:type="dxa"/>
        <w:jc w:val="center"/>
        <w:tblInd w:w="0" w:type="dxa"/>
        <w:tblCellMar>
          <w:top w:w="14" w:type="dxa"/>
          <w:left w:w="115" w:type="dxa"/>
          <w:bottom w:w="14" w:type="dxa"/>
          <w:right w:w="115" w:type="dxa"/>
        </w:tblCellMar>
        <w:tblLook w:val="04a0" w:noHBand="0" w:noVBand="1" w:firstColumn="1" w:lastRow="0" w:lastColumn="0" w:firstRow="1"/>
      </w:tblPr>
      <w:tblGrid>
        <w:gridCol w:w="1735"/>
        <w:gridCol w:w="1889"/>
        <w:gridCol w:w="2071"/>
        <w:gridCol w:w="2520"/>
        <w:gridCol w:w="2095"/>
      </w:tblGrid>
      <w:tr>
        <w:trPr>
          <w:cantSplit w:val="true"/>
        </w:trPr>
        <w:tc>
          <w:tcPr>
            <w:tcW w:w="1735"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true"/>
              <w:spacing w:before="120" w:after="120"/>
              <w:jc w:val="center"/>
              <w:rPr/>
            </w:pPr>
            <w:r>
              <w:rPr/>
              <w:t>Número de pin</w:t>
            </w:r>
          </w:p>
        </w:tc>
        <w:tc>
          <w:tcPr>
            <w:tcW w:w="1889"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true"/>
              <w:spacing w:before="120" w:after="120"/>
              <w:jc w:val="center"/>
              <w:rPr/>
            </w:pPr>
            <w:r>
              <w:rPr/>
              <w:t>Número de par</w:t>
            </w:r>
          </w:p>
        </w:tc>
        <w:tc>
          <w:tcPr>
            <w:tcW w:w="2071"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true"/>
              <w:spacing w:before="120" w:after="120"/>
              <w:jc w:val="center"/>
              <w:rPr/>
            </w:pPr>
            <w:r>
              <w:rPr/>
              <w:t>Color de hilo</w:t>
            </w:r>
          </w:p>
        </w:tc>
        <w:tc>
          <w:tcPr>
            <w:tcW w:w="252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true"/>
              <w:spacing w:before="120" w:after="120"/>
              <w:jc w:val="center"/>
              <w:rPr/>
            </w:pPr>
            <w:r>
              <w:rPr/>
              <w:t>Señal 10Base-T</w:t>
              <w:br/>
              <w:t>Señal 100Base-TX</w:t>
            </w:r>
          </w:p>
        </w:tc>
        <w:tc>
          <w:tcPr>
            <w:tcW w:w="2095"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true"/>
              <w:spacing w:before="120" w:after="120"/>
              <w:jc w:val="center"/>
              <w:rPr/>
            </w:pPr>
            <w:r>
              <w:rPr/>
              <w:t>Señal 1000Base-T</w:t>
            </w:r>
          </w:p>
        </w:tc>
      </w:tr>
      <w:tr>
        <w:trPr>
          <w:cantSplit w:val="true"/>
        </w:trPr>
        <w:tc>
          <w:tcPr>
            <w:tcW w:w="173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1</w:t>
            </w:r>
          </w:p>
        </w:tc>
        <w:tc>
          <w:tcPr>
            <w:tcW w:w="188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2</w:t>
            </w:r>
          </w:p>
        </w:tc>
        <w:tc>
          <w:tcPr>
            <w:tcW w:w="2071"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Blanco/Naranja</w:t>
            </w:r>
          </w:p>
        </w:tc>
        <w:tc>
          <w:tcPr>
            <w:tcW w:w="252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Transmitir</w:t>
            </w:r>
          </w:p>
        </w:tc>
        <w:tc>
          <w:tcPr>
            <w:tcW w:w="2095" w:type="dxa"/>
            <w:tcBorders>
              <w:top w:val="single" w:sz="2" w:space="0" w:color="000000"/>
              <w:left w:val="single" w:sz="2" w:space="0" w:color="000000"/>
              <w:bottom w:val="single" w:sz="2" w:space="0" w:color="000000"/>
              <w:right w:val="single" w:sz="2" w:space="0" w:color="000000"/>
            </w:tcBorders>
          </w:tcPr>
          <w:p>
            <w:pPr>
              <w:pStyle w:val="TableText"/>
              <w:spacing w:before="60" w:after="60"/>
              <w:jc w:val="center"/>
              <w:rPr>
                <w:b/>
                <w:b/>
              </w:rPr>
            </w:pPr>
            <w:r>
              <w:rPr>
                <w:b/>
              </w:rPr>
              <w:t>BI_DA+</w:t>
            </w:r>
          </w:p>
        </w:tc>
      </w:tr>
      <w:tr>
        <w:trPr>
          <w:cantSplit w:val="true"/>
        </w:trPr>
        <w:tc>
          <w:tcPr>
            <w:tcW w:w="173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2</w:t>
            </w:r>
          </w:p>
        </w:tc>
        <w:tc>
          <w:tcPr>
            <w:tcW w:w="188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2</w:t>
            </w:r>
          </w:p>
        </w:tc>
        <w:tc>
          <w:tcPr>
            <w:tcW w:w="2071"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Naranja</w:t>
            </w:r>
          </w:p>
        </w:tc>
        <w:tc>
          <w:tcPr>
            <w:tcW w:w="252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Transmitir</w:t>
            </w:r>
          </w:p>
        </w:tc>
        <w:tc>
          <w:tcPr>
            <w:tcW w:w="2095" w:type="dxa"/>
            <w:tcBorders>
              <w:top w:val="single" w:sz="2" w:space="0" w:color="000000"/>
              <w:left w:val="single" w:sz="2" w:space="0" w:color="000000"/>
              <w:bottom w:val="single" w:sz="2" w:space="0" w:color="000000"/>
              <w:right w:val="single" w:sz="2" w:space="0" w:color="000000"/>
            </w:tcBorders>
          </w:tcPr>
          <w:p>
            <w:pPr>
              <w:pStyle w:val="TableText"/>
              <w:spacing w:before="60" w:after="60"/>
              <w:jc w:val="center"/>
              <w:rPr>
                <w:b/>
                <w:b/>
              </w:rPr>
            </w:pPr>
            <w:r>
              <w:rPr>
                <w:b/>
              </w:rPr>
              <w:t>BI_DA-</w:t>
            </w:r>
          </w:p>
        </w:tc>
      </w:tr>
      <w:tr>
        <w:trPr>
          <w:cantSplit w:val="true"/>
        </w:trPr>
        <w:tc>
          <w:tcPr>
            <w:tcW w:w="173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3</w:t>
            </w:r>
          </w:p>
        </w:tc>
        <w:tc>
          <w:tcPr>
            <w:tcW w:w="188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3</w:t>
            </w:r>
          </w:p>
        </w:tc>
        <w:tc>
          <w:tcPr>
            <w:tcW w:w="2071"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Blanco/Verde</w:t>
            </w:r>
          </w:p>
        </w:tc>
        <w:tc>
          <w:tcPr>
            <w:tcW w:w="252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Recibir</w:t>
            </w:r>
          </w:p>
        </w:tc>
        <w:tc>
          <w:tcPr>
            <w:tcW w:w="2095" w:type="dxa"/>
            <w:tcBorders>
              <w:top w:val="single" w:sz="2" w:space="0" w:color="000000"/>
              <w:left w:val="single" w:sz="2" w:space="0" w:color="000000"/>
              <w:bottom w:val="single" w:sz="2" w:space="0" w:color="000000"/>
              <w:right w:val="single" w:sz="2" w:space="0" w:color="000000"/>
            </w:tcBorders>
          </w:tcPr>
          <w:p>
            <w:pPr>
              <w:pStyle w:val="TableText"/>
              <w:spacing w:before="60" w:after="60"/>
              <w:jc w:val="center"/>
              <w:rPr>
                <w:b/>
                <w:b/>
              </w:rPr>
            </w:pPr>
            <w:r>
              <w:rPr>
                <w:b/>
              </w:rPr>
              <w:t>BI_DB+</w:t>
            </w:r>
          </w:p>
        </w:tc>
      </w:tr>
      <w:tr>
        <w:trPr>
          <w:cantSplit w:val="true"/>
        </w:trPr>
        <w:tc>
          <w:tcPr>
            <w:tcW w:w="173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4</w:t>
            </w:r>
          </w:p>
        </w:tc>
        <w:tc>
          <w:tcPr>
            <w:tcW w:w="188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1</w:t>
            </w:r>
          </w:p>
        </w:tc>
        <w:tc>
          <w:tcPr>
            <w:tcW w:w="2071"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Azul</w:t>
            </w:r>
          </w:p>
        </w:tc>
        <w:tc>
          <w:tcPr>
            <w:tcW w:w="252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No se usa</w:t>
            </w:r>
          </w:p>
        </w:tc>
        <w:tc>
          <w:tcPr>
            <w:tcW w:w="2095" w:type="dxa"/>
            <w:tcBorders>
              <w:top w:val="single" w:sz="2" w:space="0" w:color="000000"/>
              <w:left w:val="single" w:sz="2" w:space="0" w:color="000000"/>
              <w:bottom w:val="single" w:sz="2" w:space="0" w:color="000000"/>
              <w:right w:val="single" w:sz="2" w:space="0" w:color="000000"/>
            </w:tcBorders>
          </w:tcPr>
          <w:p>
            <w:pPr>
              <w:pStyle w:val="TableText"/>
              <w:spacing w:before="60" w:after="60"/>
              <w:jc w:val="center"/>
              <w:rPr>
                <w:b/>
                <w:b/>
              </w:rPr>
            </w:pPr>
            <w:r>
              <w:rPr>
                <w:b/>
              </w:rPr>
              <w:t>BI_DC+</w:t>
            </w:r>
          </w:p>
        </w:tc>
      </w:tr>
      <w:tr>
        <w:trPr>
          <w:cantSplit w:val="true"/>
        </w:trPr>
        <w:tc>
          <w:tcPr>
            <w:tcW w:w="173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5</w:t>
            </w:r>
          </w:p>
        </w:tc>
        <w:tc>
          <w:tcPr>
            <w:tcW w:w="188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1</w:t>
            </w:r>
          </w:p>
        </w:tc>
        <w:tc>
          <w:tcPr>
            <w:tcW w:w="2071"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Blanco/Azul</w:t>
            </w:r>
          </w:p>
        </w:tc>
        <w:tc>
          <w:tcPr>
            <w:tcW w:w="252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No se usa</w:t>
            </w:r>
          </w:p>
        </w:tc>
        <w:tc>
          <w:tcPr>
            <w:tcW w:w="2095" w:type="dxa"/>
            <w:tcBorders>
              <w:top w:val="single" w:sz="2" w:space="0" w:color="000000"/>
              <w:left w:val="single" w:sz="2" w:space="0" w:color="000000"/>
              <w:bottom w:val="single" w:sz="2" w:space="0" w:color="000000"/>
              <w:right w:val="single" w:sz="2" w:space="0" w:color="000000"/>
            </w:tcBorders>
          </w:tcPr>
          <w:p>
            <w:pPr>
              <w:pStyle w:val="TableText"/>
              <w:spacing w:before="60" w:after="60"/>
              <w:jc w:val="center"/>
              <w:rPr>
                <w:b/>
                <w:b/>
              </w:rPr>
            </w:pPr>
            <w:r>
              <w:rPr>
                <w:b/>
              </w:rPr>
              <w:t>BI_DC-</w:t>
            </w:r>
          </w:p>
        </w:tc>
      </w:tr>
      <w:tr>
        <w:trPr>
          <w:cantSplit w:val="true"/>
        </w:trPr>
        <w:tc>
          <w:tcPr>
            <w:tcW w:w="173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6</w:t>
            </w:r>
          </w:p>
        </w:tc>
        <w:tc>
          <w:tcPr>
            <w:tcW w:w="188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3</w:t>
            </w:r>
          </w:p>
        </w:tc>
        <w:tc>
          <w:tcPr>
            <w:tcW w:w="2071"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Verde</w:t>
            </w:r>
          </w:p>
        </w:tc>
        <w:tc>
          <w:tcPr>
            <w:tcW w:w="252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Recibir</w:t>
            </w:r>
          </w:p>
        </w:tc>
        <w:tc>
          <w:tcPr>
            <w:tcW w:w="2095" w:type="dxa"/>
            <w:tcBorders>
              <w:top w:val="single" w:sz="2" w:space="0" w:color="000000"/>
              <w:left w:val="single" w:sz="2" w:space="0" w:color="000000"/>
              <w:bottom w:val="single" w:sz="2" w:space="0" w:color="000000"/>
              <w:right w:val="single" w:sz="2" w:space="0" w:color="000000"/>
            </w:tcBorders>
          </w:tcPr>
          <w:p>
            <w:pPr>
              <w:pStyle w:val="TableText"/>
              <w:spacing w:before="60" w:after="60"/>
              <w:jc w:val="center"/>
              <w:rPr>
                <w:b/>
                <w:b/>
              </w:rPr>
            </w:pPr>
            <w:r>
              <w:rPr>
                <w:b/>
              </w:rPr>
              <w:t>BI_DB-</w:t>
            </w:r>
          </w:p>
        </w:tc>
      </w:tr>
      <w:tr>
        <w:trPr>
          <w:cantSplit w:val="true"/>
        </w:trPr>
        <w:tc>
          <w:tcPr>
            <w:tcW w:w="173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7</w:t>
            </w:r>
          </w:p>
        </w:tc>
        <w:tc>
          <w:tcPr>
            <w:tcW w:w="188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4</w:t>
            </w:r>
          </w:p>
        </w:tc>
        <w:tc>
          <w:tcPr>
            <w:tcW w:w="2071"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Blanco/Marrón</w:t>
            </w:r>
          </w:p>
        </w:tc>
        <w:tc>
          <w:tcPr>
            <w:tcW w:w="252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No se usa</w:t>
            </w:r>
          </w:p>
        </w:tc>
        <w:tc>
          <w:tcPr>
            <w:tcW w:w="2095" w:type="dxa"/>
            <w:tcBorders>
              <w:top w:val="single" w:sz="2" w:space="0" w:color="000000"/>
              <w:left w:val="single" w:sz="2" w:space="0" w:color="000000"/>
              <w:bottom w:val="single" w:sz="2" w:space="0" w:color="000000"/>
              <w:right w:val="single" w:sz="2" w:space="0" w:color="000000"/>
            </w:tcBorders>
          </w:tcPr>
          <w:p>
            <w:pPr>
              <w:pStyle w:val="TableText"/>
              <w:spacing w:before="60" w:after="60"/>
              <w:jc w:val="center"/>
              <w:rPr>
                <w:b/>
                <w:b/>
              </w:rPr>
            </w:pPr>
            <w:r>
              <w:rPr>
                <w:b/>
              </w:rPr>
              <w:t>BI_DD+</w:t>
            </w:r>
          </w:p>
        </w:tc>
      </w:tr>
      <w:tr>
        <w:trPr>
          <w:cantSplit w:val="true"/>
        </w:trPr>
        <w:tc>
          <w:tcPr>
            <w:tcW w:w="173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8</w:t>
            </w:r>
          </w:p>
        </w:tc>
        <w:tc>
          <w:tcPr>
            <w:tcW w:w="1889"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4</w:t>
            </w:r>
          </w:p>
        </w:tc>
        <w:tc>
          <w:tcPr>
            <w:tcW w:w="2071"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Marrón</w:t>
            </w:r>
          </w:p>
        </w:tc>
        <w:tc>
          <w:tcPr>
            <w:tcW w:w="252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spacing w:before="60" w:after="60"/>
              <w:jc w:val="center"/>
              <w:rPr>
                <w:b/>
                <w:b/>
              </w:rPr>
            </w:pPr>
            <w:r>
              <w:rPr>
                <w:b/>
              </w:rPr>
              <w:t>No se usa</w:t>
            </w:r>
          </w:p>
        </w:tc>
        <w:tc>
          <w:tcPr>
            <w:tcW w:w="2095" w:type="dxa"/>
            <w:tcBorders>
              <w:top w:val="single" w:sz="2" w:space="0" w:color="000000"/>
              <w:left w:val="single" w:sz="2" w:space="0" w:color="000000"/>
              <w:bottom w:val="single" w:sz="2" w:space="0" w:color="000000"/>
              <w:right w:val="single" w:sz="2" w:space="0" w:color="000000"/>
            </w:tcBorders>
          </w:tcPr>
          <w:p>
            <w:pPr>
              <w:pStyle w:val="TableText"/>
              <w:spacing w:before="60" w:after="60"/>
              <w:jc w:val="center"/>
              <w:rPr>
                <w:b/>
                <w:b/>
              </w:rPr>
            </w:pPr>
            <w:r>
              <w:rPr>
                <w:b/>
              </w:rPr>
              <w:t>BI_DD-</w:t>
            </w:r>
          </w:p>
        </w:tc>
      </w:tr>
    </w:tbl>
    <w:p>
      <w:pPr>
        <w:pStyle w:val="Visual"/>
        <w:rPr/>
      </w:pPr>
      <w:r>
        <w:rPr/>
        <w:drawing>
          <wp:inline distT="0" distB="0" distL="0" distR="0">
            <wp:extent cx="6588125" cy="4004945"/>
            <wp:effectExtent l="0" t="0" r="0" b="0"/>
            <wp:docPr id="3" name="Picture 4" descr="T568B_ColorPinout_AndRJ45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T568B_ColorPinout_AndRJ45Jack"/>
                    <pic:cNvPicPr>
                      <a:picLocks noChangeAspect="1" noChangeArrowheads="1"/>
                    </pic:cNvPicPr>
                  </pic:nvPicPr>
                  <pic:blipFill>
                    <a:blip r:embed="rId4"/>
                    <a:stretch>
                      <a:fillRect/>
                    </a:stretch>
                  </pic:blipFill>
                  <pic:spPr bwMode="auto">
                    <a:xfrm>
                      <a:off x="0" y="0"/>
                      <a:ext cx="6588125" cy="4004945"/>
                    </a:xfrm>
                    <a:prstGeom prst="rect">
                      <a:avLst/>
                    </a:prstGeom>
                  </pic:spPr>
                </pic:pic>
              </a:graphicData>
            </a:graphic>
          </wp:inline>
        </w:drawing>
      </w:r>
    </w:p>
    <w:p>
      <w:pPr>
        <w:pStyle w:val="PartHead"/>
        <w:numPr>
          <w:ilvl w:val="0"/>
          <w:numId w:val="3"/>
        </w:numPr>
        <w:rPr/>
      </w:pPr>
      <w:r>
        <w:rPr/>
        <w:t>Armar el cable cruzado Ethernet</w:t>
      </w:r>
    </w:p>
    <w:p>
      <w:pPr>
        <w:pStyle w:val="BodyTextL25"/>
        <w:rPr>
          <w:rFonts w:eastAsia="Arial"/>
        </w:rPr>
      </w:pPr>
      <w:r>
        <w:rPr/>
        <w:t>Un cable directo tiene el segundo par y el tercer par del conector RJ-45 en un extremo, invertido en el otro extremo (consulte la tabla de la parte 1, paso 2). Los diagramas de pines de los cables se realizan conforme al estándar 568-A en un extremo y al estándar 568-B en el otro extremo. Los diagramas que siguen ilustran este concepto.</w:t>
      </w:r>
    </w:p>
    <w:p>
      <w:pPr>
        <w:pStyle w:val="Normal"/>
        <w:spacing w:lineRule="auto" w:line="240" w:before="0" w:after="0"/>
        <w:rPr>
          <w:rFonts w:ascii="Times New Roman" w:hAnsi="Times New Roman" w:eastAsia="Times New Roman"/>
          <w:sz w:val="24"/>
          <w:szCs w:val="24"/>
          <w:lang w:eastAsia="es-ES_tradnl" w:bidi="ar-SA"/>
        </w:rPr>
      </w:pPr>
      <w:r>
        <w:rPr/>
        <mc:AlternateContent>
          <mc:Choice Requires="wps">
            <w:drawing>
              <wp:inline distT="0" distB="0" distL="0" distR="0">
                <wp:extent cx="6401435" cy="3168650"/>
                <wp:effectExtent l="0" t="0" r="0" b="0"/>
                <wp:docPr id="4"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5"/>
                        <a:stretch/>
                      </pic:blipFill>
                      <pic:spPr>
                        <a:xfrm>
                          <a:off x="0" y="0"/>
                          <a:ext cx="6400800" cy="31680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49.5pt;width:503.95pt;height:249.4pt;mso-position-vertical:top" type="shapetype_75">
                <v:imagedata r:id="rId5" o:detectmouseclick="t"/>
                <w10:wrap type="none"/>
                <v:stroke color="#3465a4" joinstyle="round" endcap="flat"/>
              </v:shape>
            </w:pict>
          </mc:Fallback>
        </mc:AlternateContent>
      </w:r>
    </w:p>
    <w:p>
      <w:pPr>
        <w:pStyle w:val="Visual"/>
        <w:rPr/>
      </w:pPr>
      <w:r>
        <w:rPr/>
      </w:r>
    </w:p>
    <w:p>
      <w:pPr>
        <w:pStyle w:val="StepHead"/>
        <w:numPr>
          <w:ilvl w:val="1"/>
          <w:numId w:val="3"/>
        </w:numPr>
        <w:rPr/>
      </w:pPr>
      <w:r>
        <w:rPr/>
        <w:t>Armado y terminación de un extremo del cable TIA/EIA 568-B.</w:t>
      </w:r>
    </w:p>
    <w:p>
      <w:pPr>
        <w:pStyle w:val="SubStepAlpha"/>
        <w:numPr>
          <w:ilvl w:val="2"/>
          <w:numId w:val="3"/>
        </w:numPr>
        <w:rPr/>
      </w:pPr>
      <w:r>
        <w:rPr/>
        <w:t>Determine la longitud de cable requerida. (El instructor le informará la longitud de cable que debe armar).</w:t>
      </w:r>
    </w:p>
    <w:p>
      <w:pPr>
        <w:pStyle w:val="BodyTextL50"/>
        <w:rPr/>
      </w:pPr>
      <w:r>
        <w:rPr>
          <w:b/>
        </w:rPr>
        <w:t>Nota</w:t>
      </w:r>
      <w:r>
        <w:rPr/>
        <w:t>: Si estuviera armando un cable en un ambiente de producción, la pauta general indica agregar otros 30,48 cm (12 in) a la longitud.</w:t>
      </w:r>
    </w:p>
    <w:p>
      <w:pPr>
        <w:pStyle w:val="SubStepAlpha"/>
        <w:numPr>
          <w:ilvl w:val="2"/>
          <w:numId w:val="3"/>
        </w:numPr>
        <w:rPr/>
      </w:pPr>
      <w:r>
        <w:rPr/>
        <w:t>Corte un trozo de cable de la longitud deseada y, con un pelacables, retire 5,08 cm (2 in) del revestimiento de ambos extremos del cable.</w:t>
      </w:r>
    </w:p>
    <w:p>
      <w:pPr>
        <w:pStyle w:val="SubStepAlpha"/>
        <w:numPr>
          <w:ilvl w:val="2"/>
          <w:numId w:val="3"/>
        </w:numPr>
        <w:rPr/>
      </w:pPr>
      <w:r>
        <w:rPr/>
        <w:t>Sujete con firmeza los cuatro pares de cables trenzados donde se cortó el revestimiento. Reorganice los pares de cables en el orden que indica el estándar de cableado 568-B. Consulte los diagramas, si es necesario. Tome todas las precauciones posibles para mantener las torsiones del cable, a fin de proporcionar anulación de ruidos.</w:t>
      </w:r>
    </w:p>
    <w:p>
      <w:pPr>
        <w:pStyle w:val="SubStepAlpha"/>
        <w:numPr>
          <w:ilvl w:val="2"/>
          <w:numId w:val="3"/>
        </w:numPr>
        <w:rPr/>
      </w:pPr>
      <w:r>
        <w:rPr/>
        <w:t>Aplane, enderece y alinee los hilos con los dedos pulgar e índice.</w:t>
      </w:r>
    </w:p>
    <w:p>
      <w:pPr>
        <w:pStyle w:val="SubStepAlpha"/>
        <w:numPr>
          <w:ilvl w:val="2"/>
          <w:numId w:val="3"/>
        </w:numPr>
        <w:rPr/>
      </w:pPr>
      <w:r>
        <w:rPr/>
        <w:t>Los hilos de los cables deben estar en el orden correcto conforme al estándar 568-B. Utilice el alicate para cortar los cuatro pares en línea recta de 1,25 cm a 1,9 cm (de 1/2 in a 3/4 in).</w:t>
      </w:r>
      <w:r>
        <w:br w:type="page"/>
      </w:r>
    </w:p>
    <w:p>
      <w:pPr>
        <w:pStyle w:val="SubStepAlpha"/>
        <w:numPr>
          <w:ilvl w:val="2"/>
          <w:numId w:val="3"/>
        </w:numPr>
        <w:rPr/>
      </w:pPr>
      <w:r>
        <w:rPr/>
        <w:t>Coloque un conector RJ-45 en el extremo del cable, con la punta de la parte inferior hacia abajo. Inserte con firmeza los hilos en el conector RJ-45. Todos los hilos se deben poder ver en el extremo del conector en la posición correcta. Si los hilos no se extienden hacia el extremo del conector, retire el cable, vuelva a organizar los hilos según sea necesario y vuelva a insertarlos en el conector RJ-45.</w:t>
      </w:r>
    </w:p>
    <w:p>
      <w:pPr>
        <w:pStyle w:val="SubStepAlpha"/>
        <w:numPr>
          <w:ilvl w:val="2"/>
          <w:numId w:val="3"/>
        </w:numPr>
        <w:rPr/>
      </w:pPr>
      <w:r>
        <w:rPr/>
        <w:t>Si todo está bien, inserte el conector RJ-45 con el cable en la engarzadora. Engarce con fuerza para que los contactos del conector RJ-45 pasen a través del material aislante de los hilos y, de ese modo, completen el camino conductor. Consulte el diagrama siguiente para obtener un ejemplo.</w:t>
      </w:r>
    </w:p>
    <w:p>
      <w:pPr>
        <w:pStyle w:val="Visual"/>
        <w:rPr/>
      </w:pPr>
      <w:r>
        <w:rPr/>
        <w:drawing>
          <wp:inline distT="0" distB="0" distL="0" distR="0">
            <wp:extent cx="2743200" cy="1384935"/>
            <wp:effectExtent l="0" t="0" r="0" b="0"/>
            <wp:docPr id="5" name="Picture 6" descr="crimp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rimp_Pic"/>
                    <pic:cNvPicPr>
                      <a:picLocks noChangeAspect="1" noChangeArrowheads="1"/>
                    </pic:cNvPicPr>
                  </pic:nvPicPr>
                  <pic:blipFill>
                    <a:blip r:embed="rId6"/>
                    <a:stretch>
                      <a:fillRect/>
                    </a:stretch>
                  </pic:blipFill>
                  <pic:spPr bwMode="auto">
                    <a:xfrm>
                      <a:off x="0" y="0"/>
                      <a:ext cx="2743200" cy="1384935"/>
                    </a:xfrm>
                    <a:prstGeom prst="rect">
                      <a:avLst/>
                    </a:prstGeom>
                  </pic:spPr>
                </pic:pic>
              </a:graphicData>
            </a:graphic>
          </wp:inline>
        </w:drawing>
      </w:r>
    </w:p>
    <w:p>
      <w:pPr>
        <w:pStyle w:val="StepHead"/>
        <w:numPr>
          <w:ilvl w:val="1"/>
          <w:numId w:val="3"/>
        </w:numPr>
        <w:rPr/>
      </w:pPr>
      <w:r>
        <w:rPr/>
        <w:t>Armado y terminación de un extremo del cable TIA/EIA 568-B.</w:t>
      </w:r>
    </w:p>
    <w:p>
      <w:pPr>
        <w:pStyle w:val="BodyTextL25"/>
        <w:rPr/>
      </w:pPr>
      <w:r>
        <w:rPr/>
        <w:t>Repita los pasos 1a a 1g utilizando el esquema de colores de hilos establecido en el estándar 568-B para el otro extremo.</w:t>
      </w:r>
    </w:p>
    <w:p>
      <w:pPr>
        <w:pStyle w:val="PartHead"/>
        <w:numPr>
          <w:ilvl w:val="0"/>
          <w:numId w:val="3"/>
        </w:numPr>
        <w:rPr/>
      </w:pPr>
      <w:r>
        <w:rPr/>
        <w:t>Prueba de un cable directo Ethernet</w:t>
      </w:r>
    </w:p>
    <w:p>
      <w:pPr>
        <w:pStyle w:val="StepHead"/>
        <w:numPr>
          <w:ilvl w:val="1"/>
          <w:numId w:val="3"/>
        </w:numPr>
        <w:rPr/>
      </w:pPr>
      <w:r>
        <w:rPr/>
        <w:t>Pruebe el cable.</w:t>
      </w:r>
    </w:p>
    <w:p>
      <w:pPr>
        <w:pStyle w:val="BodyTextL25"/>
        <w:rPr/>
      </w:pPr>
      <w:r>
        <w:rPr/>
        <w:t>Muchos comprobadores de cables permiten probar la longitud y el trazado de los hilos. Si el comprobador de cables tiene una característica de trazado, permite comprobar qué pines de un extremo del cable están conectados a qué pines del otro extremo.</w:t>
      </w:r>
    </w:p>
    <w:p>
      <w:pPr>
        <w:pStyle w:val="BodyTextL25"/>
        <w:rPr/>
      </w:pPr>
      <w:r>
        <w:rPr/>
        <w:t>Si el instructor tiene un comprobador de cables, pruebe el cable director para corroborar la funcionalidad. Si falla, corrobore primero con el instructor si debe volver a conectar los extremos de los cables y vuelva a probarlos.</w:t>
      </w:r>
    </w:p>
    <w:p>
      <w:pPr>
        <w:pStyle w:val="BodyTextL25"/>
        <w:rPr/>
      </w:pPr>
      <w:r>
        <w:rPr/>
      </w:r>
    </w:p>
    <w:p>
      <w:pPr>
        <w:pStyle w:val="StepHead"/>
        <w:numPr>
          <w:ilvl w:val="1"/>
          <w:numId w:val="3"/>
        </w:numPr>
        <w:rPr/>
      </w:pPr>
      <w:r>
        <w:rPr/>
        <w:t>Conecte un PC y Switch utilizando el cable directo Ethernet.</w:t>
      </w:r>
    </w:p>
    <w:p>
      <w:pPr>
        <w:pStyle w:val="SubStepAlpha"/>
        <w:numPr>
          <w:ilvl w:val="2"/>
          <w:numId w:val="3"/>
        </w:numPr>
        <w:rPr/>
      </w:pPr>
      <w:r>
        <w:rPr/>
        <w:t xml:space="preserve">Configure el PC con la dirección IP </w:t>
      </w:r>
      <w:r>
        <w:rPr>
          <w:b/>
        </w:rPr>
        <w:t>192.168.10.1</w:t>
      </w:r>
      <w:r>
        <w:rPr/>
        <w:t xml:space="preserve"> y con una </w:t>
      </w:r>
      <w:r>
        <w:rPr>
          <w:b/>
        </w:rPr>
        <w:t>máscara de subred de 24 bits</w:t>
      </w:r>
      <w:r>
        <w:rPr/>
        <w:t xml:space="preserve">. La dirección IP del switch debe ser </w:t>
      </w:r>
      <w:r>
        <w:rPr>
          <w:b/>
        </w:rPr>
        <w:t>192.168.10.2</w:t>
      </w:r>
      <w:r>
        <w:rPr/>
        <w:t>. La dirección de gateway déjela en blanco.</w:t>
      </w:r>
    </w:p>
    <w:p>
      <w:pPr>
        <w:pStyle w:val="SubStepAlpha"/>
        <w:numPr>
          <w:ilvl w:val="2"/>
          <w:numId w:val="3"/>
        </w:numPr>
        <w:rPr/>
      </w:pPr>
      <w:r>
        <w:rPr/>
        <w:t>Utilice el cable directo que armó y conéctelo.</w:t>
      </w:r>
    </w:p>
    <w:p>
      <w:pPr>
        <w:pStyle w:val="SubStepAlpha"/>
        <w:numPr>
          <w:ilvl w:val="2"/>
          <w:numId w:val="3"/>
        </w:numPr>
        <w:rPr/>
      </w:pPr>
      <w:r>
        <w:rPr/>
        <w:t>Haga ping del PC a la dirección del switch.</w:t>
      </w:r>
    </w:p>
    <w:p>
      <w:pPr>
        <w:pStyle w:val="BodyTextL25"/>
        <w:rPr/>
      </w:pPr>
      <w:r>
        <w:rPr/>
      </w:r>
    </w:p>
    <w:p>
      <w:pPr>
        <w:pStyle w:val="BodyTextL25"/>
        <w:rPr/>
      </w:pPr>
      <w:r>
        <w:rPr/>
        <w:t>Si la asignación de direcciones IP no son un problema, los pings deben ser correctos si los cables se armaron como corresponde.</w:t>
      </w:r>
      <w:r>
        <w:br w:type="page"/>
      </w:r>
    </w:p>
    <w:p>
      <w:pPr>
        <w:pStyle w:val="LabSection"/>
        <w:numPr>
          <w:ilvl w:val="0"/>
          <w:numId w:val="0"/>
        </w:numPr>
        <w:ind w:left="0" w:hanging="0"/>
        <w:rPr/>
      </w:pPr>
      <w:r>
        <w:rPr/>
        <w:t>Muestre una foto de su cable</w:t>
      </w:r>
    </w:p>
    <w:p>
      <w:pPr>
        <w:pStyle w:val="BodyText1"/>
        <w:rPr/>
      </w:pPr>
      <w:r>
        <w:rPr/>
      </w:r>
    </w:p>
    <w:p>
      <w:pPr>
        <w:pStyle w:val="BodyTextL25"/>
        <w:rPr>
          <w:rStyle w:val="AnswerGray"/>
        </w:rPr>
      </w:pPr>
      <w:r>
        <w:rPr/>
      </w:r>
    </w:p>
    <w:p>
      <w:pPr>
        <w:pStyle w:val="BodyTextL25"/>
        <w:rPr>
          <w:rStyle w:val="AnswerGray"/>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862455" cy="3313430"/>
            <wp:effectExtent l="0" t="0" r="0" b="0"/>
            <wp:wrapTopAndBottom/>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7"/>
                    <a:stretch>
                      <a:fillRect/>
                    </a:stretch>
                  </pic:blipFill>
                  <pic:spPr bwMode="auto">
                    <a:xfrm>
                      <a:off x="0" y="0"/>
                      <a:ext cx="1862455" cy="3313430"/>
                    </a:xfrm>
                    <a:prstGeom prst="rect">
                      <a:avLst/>
                    </a:prstGeom>
                  </pic:spPr>
                </pic:pic>
              </a:graphicData>
            </a:graphic>
          </wp:anchor>
        </w:drawing>
      </w:r>
    </w:p>
    <w:p>
      <w:pPr>
        <w:pStyle w:val="BodyTextL25"/>
        <w:spacing w:before="120" w:after="120"/>
        <w:rPr>
          <w:rStyle w:val="AnswerGray"/>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72200" cy="3857625"/>
            <wp:effectExtent l="0" t="0" r="0" b="0"/>
            <wp:wrapSquare wrapText="largest"/>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8"/>
                    <a:stretch>
                      <a:fillRect/>
                    </a:stretch>
                  </pic:blipFill>
                  <pic:spPr bwMode="auto">
                    <a:xfrm>
                      <a:off x="0" y="0"/>
                      <a:ext cx="6172200" cy="3857625"/>
                    </a:xfrm>
                    <a:prstGeom prst="rect">
                      <a:avLst/>
                    </a:prstGeom>
                  </pic:spPr>
                </pic:pic>
              </a:graphicData>
            </a:graphic>
          </wp:anchor>
        </w:drawing>
      </w:r>
    </w:p>
    <w:sectPr>
      <w:headerReference w:type="default" r:id="rId9"/>
      <w:headerReference w:type="first" r:id="rId10"/>
      <w:footerReference w:type="default" r:id="rId11"/>
      <w:footerReference w:type="first" r:id="rId12"/>
      <w:type w:val="nextPage"/>
      <w:pgSz w:w="12240" w:h="15840"/>
      <w:pgMar w:left="1080" w:right="108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60" w:after="0"/>
      <w:rPr>
        <w:szCs w:val="16"/>
      </w:rPr>
    </w:pPr>
    <w:r>
      <w:rPr/>
      <w:t xml:space="preserve">© </w:t>
    </w:r>
    <w:r>
      <w:rPr/>
      <w:fldChar w:fldCharType="begin"/>
    </w:r>
    <w:r>
      <w:rPr/>
      <w:instrText> DATE \@"yyyy" </w:instrText>
    </w:r>
    <w:r>
      <w:rPr/>
      <w:fldChar w:fldCharType="separate"/>
    </w:r>
    <w:r>
      <w:rPr/>
      <w:t>2022</w:t>
    </w:r>
    <w:r>
      <w:rPr/>
      <w:fldChar w:fldCharType="end"/>
    </w:r>
    <w:r>
      <w:rPr/>
      <w:t xml:space="preserve"> Cisco y/o sus filiales. Todos los derechos reservados. Este documento es información pública de Cisco.</w:t>
      <w:tab/>
      <w:t xml:space="preserve">Página </w:t>
    </w:r>
    <w:r>
      <w:rPr>
        <w:b/>
        <w:szCs w:val="16"/>
      </w:rPr>
      <w:fldChar w:fldCharType="begin"/>
    </w:r>
    <w:r>
      <w:rPr>
        <w:b/>
        <w:szCs w:val="16"/>
      </w:rPr>
      <w:instrText> PAGE </w:instrText>
    </w:r>
    <w:r>
      <w:rPr>
        <w:b/>
        <w:szCs w:val="16"/>
      </w:rPr>
      <w:fldChar w:fldCharType="separate"/>
    </w:r>
    <w:r>
      <w:rPr>
        <w:b/>
        <w:szCs w:val="16"/>
      </w:rPr>
      <w:t>6</w:t>
    </w:r>
    <w:r>
      <w:rPr>
        <w:b/>
        <w:szCs w:val="16"/>
      </w:rPr>
      <w:fldChar w:fldCharType="end"/>
    </w:r>
    <w:r>
      <w:rPr/>
      <w:t xml:space="preserve"> de </w:t>
    </w:r>
    <w:r>
      <w:rPr>
        <w:b/>
        <w:szCs w:val="16"/>
      </w:rPr>
      <w:fldChar w:fldCharType="begin"/>
    </w:r>
    <w:r>
      <w:rPr>
        <w:b/>
        <w:szCs w:val="16"/>
      </w:rPr>
      <w:instrText> NUMPAGES </w:instrText>
    </w:r>
    <w:r>
      <w:rPr>
        <w:b/>
        <w:szCs w:val="16"/>
      </w:rPr>
      <w:fldChar w:fldCharType="separate"/>
    </w:r>
    <w:r>
      <w:rPr>
        <w:b/>
        <w:szCs w:val="16"/>
      </w:rPr>
      <w:t>8</w:t>
    </w:r>
    <w:r>
      <w:rPr>
        <w:b/>
        <w:szCs w:val="1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60" w:after="0"/>
      <w:rPr>
        <w:szCs w:val="16"/>
      </w:rPr>
    </w:pPr>
    <w:r>
      <w:rPr/>
      <w:t xml:space="preserve">© </w:t>
    </w:r>
    <w:r>
      <w:rPr/>
      <w:fldChar w:fldCharType="begin"/>
    </w:r>
    <w:r>
      <w:rPr/>
      <w:instrText> DATE \@"yyyy" </w:instrText>
    </w:r>
    <w:r>
      <w:rPr/>
      <w:fldChar w:fldCharType="separate"/>
    </w:r>
    <w:r>
      <w:rPr/>
      <w:t>2022</w:t>
    </w:r>
    <w:r>
      <w:rPr/>
      <w:fldChar w:fldCharType="end"/>
    </w:r>
    <w:r>
      <w:rPr/>
      <w:t xml:space="preserve"> Cisco y/o sus filiales. Todos los derechos reservados. Este documento es información pública de Cisco.</w:t>
      <w:tab/>
      <w:t xml:space="preserve">Página </w:t>
    </w:r>
    <w:r>
      <w:rPr>
        <w:b/>
        <w:szCs w:val="16"/>
      </w:rPr>
      <w:fldChar w:fldCharType="begin"/>
    </w:r>
    <w:r>
      <w:rPr>
        <w:b/>
        <w:szCs w:val="16"/>
      </w:rPr>
      <w:instrText> PAGE </w:instrText>
    </w:r>
    <w:r>
      <w:rPr>
        <w:b/>
        <w:szCs w:val="16"/>
      </w:rPr>
      <w:fldChar w:fldCharType="separate"/>
    </w:r>
    <w:r>
      <w:rPr>
        <w:b/>
        <w:szCs w:val="16"/>
      </w:rPr>
      <w:t>1</w:t>
    </w:r>
    <w:r>
      <w:rPr>
        <w:b/>
        <w:szCs w:val="16"/>
      </w:rPr>
      <w:fldChar w:fldCharType="end"/>
    </w:r>
    <w:r>
      <w:rPr/>
      <w:t xml:space="preserve"> de </w:t>
    </w:r>
    <w:r>
      <w:rPr>
        <w:b/>
        <w:szCs w:val="16"/>
      </w:rPr>
      <w:fldChar w:fldCharType="begin"/>
    </w:r>
    <w:r>
      <w:rPr>
        <w:b/>
        <w:szCs w:val="16"/>
      </w:rPr>
      <w:instrText> NUMPAGES </w:instrText>
    </w:r>
    <w:r>
      <w:rPr>
        <w:b/>
        <w:szCs w:val="16"/>
      </w:rPr>
      <w:fldChar w:fldCharType="separate"/>
    </w:r>
    <w:r>
      <w:rPr>
        <w:b/>
        <w:szCs w:val="16"/>
      </w:rPr>
      <w:t>8</w:t>
    </w:r>
    <w:r>
      <w:rPr>
        <w:b/>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ageHead"/>
      <w:pBdr>
        <w:bottom w:val="single" w:sz="18" w:space="1" w:color="000000"/>
      </w:pBdr>
      <w:spacing w:before="60" w:after="60"/>
      <w:rPr/>
    </w:pPr>
    <w:r>
      <w:rPr/>
      <w:t>Práctica de laboratorio: Armado de un cable cruzado Ethernet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spacing w:lineRule="auto" w:line="240" w:before="60" w:after="0"/>
      <w:rPr/>
    </w:pPr>
    <w:r>
      <w:rPr/>
      <w:drawing>
        <wp:anchor behindDoc="1" distT="0" distB="0" distL="0" distR="0" simplePos="0" locked="0" layoutInCell="1" allowOverlap="1" relativeHeight="2">
          <wp:simplePos x="0" y="0"/>
          <wp:positionH relativeFrom="column">
            <wp:posOffset>-704850</wp:posOffset>
          </wp:positionH>
          <wp:positionV relativeFrom="paragraph">
            <wp:posOffset>-274320</wp:posOffset>
          </wp:positionV>
          <wp:extent cx="7772400" cy="678180"/>
          <wp:effectExtent l="0" t="0" r="0" b="0"/>
          <wp:wrapNone/>
          <wp:docPr id="8"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isco NetAcad_Header(Vertical)-01"/>
                  <pic:cNvPicPr>
                    <a:picLocks noChangeAspect="1" noChangeArrowheads="1"/>
                  </pic:cNvPicPr>
                </pic:nvPicPr>
                <pic:blipFill>
                  <a:blip r:embed="rId1"/>
                  <a:stretch>
                    <a:fillRect/>
                  </a:stretch>
                </pic:blipFill>
                <pic:spPr bwMode="auto">
                  <a:xfrm>
                    <a:off x="0" y="0"/>
                    <a:ext cx="7772400" cy="6781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lvl>
    <w:lvl w:ilvl="4">
      <w:start w:val="1"/>
      <w:numFmt w:val="lowerLetter"/>
      <w:lvlText w:val="(%5)"/>
      <w:lvlJc w:val="left"/>
      <w:pPr>
        <w:tabs>
          <w:tab w:val="num" w:pos="0"/>
        </w:tabs>
        <w:ind w:left="2520" w:hanging="360"/>
      </w:pPr>
    </w:lvl>
    <w:lvl w:ilvl="5">
      <w:start w:val="1"/>
      <w:numFmt w:val="lowerRoman"/>
      <w:lvlText w:val="(%6)"/>
      <w:lvlJc w:val="left"/>
      <w:pPr>
        <w:tabs>
          <w:tab w:val="num" w:pos="0"/>
        </w:tabs>
        <w:ind w:left="2880" w:hanging="360"/>
      </w:pPr>
    </w:lvl>
    <w:lvl w:ilvl="6">
      <w:start w:val="1"/>
      <w:numFmt w:val="decimal"/>
      <w:lvlText w:val="%7."/>
      <w:lvlJc w:val="left"/>
      <w:pPr>
        <w:tabs>
          <w:tab w:val="num" w:pos="0"/>
        </w:tabs>
        <w:ind w:left="3240" w:hanging="360"/>
      </w:pPr>
    </w:lvl>
    <w:lvl w:ilvl="7">
      <w:start w:val="1"/>
      <w:numFmt w:val="lowerLetter"/>
      <w:lvlText w:val="%8."/>
      <w:lvlJc w:val="left"/>
      <w:pPr>
        <w:tabs>
          <w:tab w:val="num" w:pos="0"/>
        </w:tabs>
        <w:ind w:left="3600" w:hanging="360"/>
      </w:pPr>
    </w:lvl>
    <w:lvl w:ilvl="8">
      <w:start w:val="1"/>
      <w:numFmt w:val="lowerRoman"/>
      <w:lvlText w:val="%9."/>
      <w:lvlJc w:val="left"/>
      <w:pPr>
        <w:tabs>
          <w:tab w:val="num" w:pos="0"/>
        </w:tabs>
        <w:ind w:left="3960" w:hanging="360"/>
      </w:pPr>
    </w:lvl>
  </w:abstractNum>
  <w:abstractNum w:abstractNumId="2">
    <w:lvl w:ilvl="0">
      <w:start w:val="1"/>
      <w:numFmt w:val="none"/>
      <w:suff w:val="nothing"/>
      <w:lvlText w:val=""/>
      <w:lvlJc w:val="left"/>
      <w:pPr>
        <w:tabs>
          <w:tab w:val="num" w:pos="0"/>
        </w:tabs>
        <w:ind w:left="0" w:hanging="0"/>
      </w:pPr>
    </w:lvl>
    <w:lvl w:ilvl="1">
      <w:start w:val="1"/>
      <w:numFmt w:val="decimal"/>
      <w:lvlText w:val="%2."/>
      <w:lvlJc w:val="left"/>
      <w:pPr>
        <w:tabs>
          <w:tab w:val="num" w:pos="360"/>
        </w:tabs>
        <w:ind w:left="36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Parte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8"/>
  <w:defaultTabStop w:val="720"/>
  <w:autoHyphenation w:val="true"/>
  <w:compat>
    <w:compatSetting w:name="compatibilityMode" w:uri="http://schemas.microsoft.com/office/word" w:val="12"/>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宋体" w:cs="Times New Roman" w:eastAsiaTheme="minorEastAsia"/>
        <w:lang w:val="es-ES" w:eastAsia="es-ES" w:bidi="es-ES"/>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596998"/>
    <w:pPr>
      <w:widowControl/>
      <w:bidi w:val="0"/>
      <w:spacing w:lineRule="auto" w:line="276" w:before="60" w:after="60"/>
      <w:jc w:val="left"/>
    </w:pPr>
    <w:rPr>
      <w:rFonts w:ascii="Arial" w:hAnsi="Arial" w:eastAsia="宋体" w:cs="Times New Roman" w:eastAsiaTheme="minorEastAsia"/>
      <w:color w:val="auto"/>
      <w:kern w:val="0"/>
      <w:sz w:val="22"/>
      <w:szCs w:val="22"/>
      <w:lang w:val="es-ES" w:eastAsia="es-ES" w:bidi="es-ES"/>
    </w:rPr>
  </w:style>
  <w:style w:type="paragraph" w:styleId="Ttulo1">
    <w:name w:val="Heading 1"/>
    <w:basedOn w:val="Normal"/>
    <w:next w:val="Normal"/>
    <w:link w:val="Ttulo1Car"/>
    <w:autoRedefine/>
    <w:uiPriority w:val="9"/>
    <w:unhideWhenUsed/>
    <w:qFormat/>
    <w:rsid w:val="006007bb"/>
    <w:pPr>
      <w:keepNext w:val="true"/>
      <w:keepLines/>
      <w:spacing w:before="480" w:after="0"/>
      <w:outlineLvl w:val="0"/>
    </w:pPr>
    <w:rPr>
      <w:rFonts w:ascii="Cambria" w:hAnsi="Cambria" w:eastAsia="Times New Roman"/>
      <w:b/>
      <w:bCs/>
      <w:color w:val="365F91"/>
      <w:sz w:val="28"/>
      <w:szCs w:val="28"/>
    </w:rPr>
  </w:style>
  <w:style w:type="paragraph" w:styleId="Ttulo2">
    <w:name w:val="Heading 2"/>
    <w:basedOn w:val="Normal"/>
    <w:next w:val="Normal"/>
    <w:link w:val="Ttulo2Car"/>
    <w:autoRedefine/>
    <w:uiPriority w:val="9"/>
    <w:unhideWhenUsed/>
    <w:qFormat/>
    <w:rsid w:val="006007bb"/>
    <w:pPr>
      <w:keepNext w:val="true"/>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Ttulo1Car" w:customStyle="1">
    <w:name w:val="Título 1 Car"/>
    <w:link w:val="Ttulo1"/>
    <w:uiPriority w:val="9"/>
    <w:qFormat/>
    <w:rsid w:val="006007bb"/>
    <w:rPr>
      <w:rFonts w:ascii="Cambria" w:hAnsi="Cambria" w:eastAsia="Times New Roman" w:cs="Times New Roman"/>
      <w:b/>
      <w:bCs/>
      <w:color w:val="365F91"/>
      <w:sz w:val="28"/>
      <w:szCs w:val="28"/>
    </w:rPr>
  </w:style>
  <w:style w:type="character" w:styleId="Ttulo2Car" w:customStyle="1">
    <w:name w:val="Título 2 Car"/>
    <w:link w:val="Ttulo2"/>
    <w:uiPriority w:val="9"/>
    <w:qFormat/>
    <w:rsid w:val="006007bb"/>
    <w:rPr>
      <w:rFonts w:ascii="Cambria" w:hAnsi="Cambria" w:eastAsia="Times New Roman" w:cs="Times New Roman"/>
      <w:b/>
      <w:bCs/>
      <w:color w:val="4F81BD"/>
      <w:sz w:val="26"/>
      <w:szCs w:val="26"/>
    </w:rPr>
  </w:style>
  <w:style w:type="character" w:styleId="EncabezadoCar" w:customStyle="1">
    <w:name w:val="Encabezado Car"/>
    <w:basedOn w:val="DefaultParagraphFont"/>
    <w:link w:val="Encabezado"/>
    <w:uiPriority w:val="99"/>
    <w:qFormat/>
    <w:rsid w:val="0090659a"/>
    <w:rPr/>
  </w:style>
  <w:style w:type="character" w:styleId="PiedepginaCar" w:customStyle="1">
    <w:name w:val="Pie de página Car"/>
    <w:link w:val="Piedepgina"/>
    <w:uiPriority w:val="99"/>
    <w:qFormat/>
    <w:rsid w:val="00163164"/>
    <w:rPr>
      <w:sz w:val="16"/>
      <w:szCs w:val="22"/>
    </w:rPr>
  </w:style>
  <w:style w:type="character" w:styleId="TextodegloboCar" w:customStyle="1">
    <w:name w:val="Texto de globo Car"/>
    <w:link w:val="Textodeglobo"/>
    <w:uiPriority w:val="99"/>
    <w:semiHidden/>
    <w:qFormat/>
    <w:rsid w:val="0090659a"/>
    <w:rPr>
      <w:rFonts w:ascii="Tahoma" w:hAnsi="Tahoma" w:cs="Tahoma"/>
      <w:sz w:val="16"/>
      <w:szCs w:val="16"/>
    </w:rPr>
  </w:style>
  <w:style w:type="character" w:styleId="TableTextChar" w:customStyle="1">
    <w:name w:val="Table Text Char"/>
    <w:link w:val="TableText"/>
    <w:qFormat/>
    <w:rsid w:val="00097163"/>
    <w:rPr/>
  </w:style>
  <w:style w:type="character" w:styleId="MapadeldocumentoCar" w:customStyle="1">
    <w:name w:val="Mapa del documento Car"/>
    <w:link w:val="Mapadeldocumento"/>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HTMLconformatoprevioCar" w:customStyle="1">
    <w:name w:val="HTML con formato previo Car"/>
    <w:link w:val="HTMLconformatoprevio"/>
    <w:uiPriority w:val="99"/>
    <w:semiHidden/>
    <w:qFormat/>
    <w:rsid w:val="00c6495e"/>
    <w:rPr>
      <w:rFonts w:ascii="Courier New" w:hAnsi="Courier New" w:eastAsia="Times New Roman" w:cs="Courier New"/>
    </w:rPr>
  </w:style>
  <w:style w:type="character" w:styleId="Annotationreference">
    <w:name w:val="annotation reference"/>
    <w:uiPriority w:val="99"/>
    <w:semiHidden/>
    <w:unhideWhenUsed/>
    <w:qFormat/>
    <w:rsid w:val="000b2344"/>
    <w:rPr>
      <w:sz w:val="16"/>
      <w:szCs w:val="16"/>
    </w:rPr>
  </w:style>
  <w:style w:type="character" w:styleId="TextocomentarioCar" w:customStyle="1">
    <w:name w:val="Texto comentario Car"/>
    <w:basedOn w:val="DefaultParagraphFont"/>
    <w:link w:val="Textocomentario"/>
    <w:uiPriority w:val="99"/>
    <w:semiHidden/>
    <w:qFormat/>
    <w:rsid w:val="000b2344"/>
    <w:rPr/>
  </w:style>
  <w:style w:type="character" w:styleId="AsuntodelcomentarioCar" w:customStyle="1">
    <w:name w:val="Asunto del comentario Car"/>
    <w:link w:val="Asuntodelcomentario"/>
    <w:uiPriority w:val="99"/>
    <w:semiHidden/>
    <w:qFormat/>
    <w:rsid w:val="000b2344"/>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Normal"/>
    <w:next w:val="BodyText1"/>
    <w:qFormat/>
    <w:rsid w:val="00596998"/>
    <w:pPr>
      <w:keepNext w:val="true"/>
      <w:spacing w:lineRule="auto" w:line="240" w:before="240" w:after="120"/>
    </w:pPr>
    <w:rPr>
      <w:rFonts w:eastAsia="Times New Roman"/>
      <w:b/>
      <w:bCs/>
      <w:iCs/>
      <w:sz w:val="24"/>
    </w:rPr>
  </w:style>
  <w:style w:type="paragraph" w:styleId="LabTitle" w:customStyle="1">
    <w:name w:val="Lab Title"/>
    <w:basedOn w:val="Normal"/>
    <w:qFormat/>
    <w:rsid w:val="00fd4a68"/>
    <w:pPr/>
    <w:rPr>
      <w:b/>
      <w:sz w:val="32"/>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StepHead" w:customStyle="1">
    <w:name w:val="Step Head"/>
    <w:basedOn w:val="Normal"/>
    <w:next w:val="BodyTextL25"/>
    <w:qFormat/>
    <w:rsid w:val="002c475e"/>
    <w:pPr>
      <w:keepNext w:val="true"/>
      <w:spacing w:before="240" w:after="120"/>
    </w:pPr>
    <w:rPr>
      <w:b/>
    </w:rPr>
  </w:style>
  <w:style w:type="paragraph" w:styleId="Cabeceraypie">
    <w:name w:val="Cabecera y pie"/>
    <w:basedOn w:val="Normal"/>
    <w:qFormat/>
    <w:pPr/>
    <w:rPr/>
  </w:style>
  <w:style w:type="paragraph" w:styleId="Cabecera">
    <w:name w:val="Header"/>
    <w:basedOn w:val="Normal"/>
    <w:link w:val="EncabezadoCar"/>
    <w:uiPriority w:val="99"/>
    <w:unhideWhenUsed/>
    <w:rsid w:val="0090659a"/>
    <w:pPr>
      <w:tabs>
        <w:tab w:val="clear" w:pos="720"/>
        <w:tab w:val="center" w:pos="4680" w:leader="none"/>
        <w:tab w:val="right" w:pos="9360" w:leader="none"/>
      </w:tabs>
      <w:spacing w:lineRule="auto" w:line="240" w:before="60" w:after="0"/>
    </w:pPr>
    <w:rPr/>
  </w:style>
  <w:style w:type="paragraph" w:styleId="Piedepgina">
    <w:name w:val="Footer"/>
    <w:basedOn w:val="Normal"/>
    <w:link w:val="PiedepginaCar"/>
    <w:autoRedefine/>
    <w:uiPriority w:val="99"/>
    <w:unhideWhenUsed/>
    <w:rsid w:val="00163164"/>
    <w:pPr>
      <w:tabs>
        <w:tab w:val="clear" w:pos="720"/>
        <w:tab w:val="right" w:pos="10080" w:leader="none"/>
      </w:tabs>
      <w:spacing w:lineRule="auto" w:line="240" w:before="60" w:after="0"/>
    </w:pPr>
    <w:rPr>
      <w:sz w:val="16"/>
    </w:rPr>
  </w:style>
  <w:style w:type="paragraph" w:styleId="BalloonText">
    <w:name w:val="Balloon Text"/>
    <w:basedOn w:val="Normal"/>
    <w:link w:val="TextodegloboCar"/>
    <w:uiPriority w:val="99"/>
    <w:semiHidden/>
    <w:unhideWhenUsed/>
    <w:qFormat/>
    <w:rsid w:val="0090659a"/>
    <w:pPr>
      <w:spacing w:lineRule="auto" w:line="240" w:before="60" w:after="0"/>
    </w:pPr>
    <w:rPr>
      <w:rFonts w:ascii="Tahoma" w:hAnsi="Tahoma"/>
      <w:sz w:val="16"/>
      <w:szCs w:val="16"/>
    </w:rPr>
  </w:style>
  <w:style w:type="paragraph" w:styleId="BodyText1" w:customStyle="1">
    <w:name w:val="Body Text1"/>
    <w:basedOn w:val="Normal"/>
    <w:qFormat/>
    <w:rsid w:val="00596998"/>
    <w:pPr>
      <w:spacing w:lineRule="auto" w:line="240"/>
    </w:pPr>
    <w:rPr>
      <w:sz w:val="20"/>
    </w:rPr>
  </w:style>
  <w:style w:type="paragraph" w:styleId="TableText" w:customStyle="1">
    <w:name w:val="Table Text"/>
    <w:basedOn w:val="Normal"/>
    <w:link w:val="TableTextChar"/>
    <w:qFormat/>
    <w:rsid w:val="00097163"/>
    <w:pPr>
      <w:keepNext w:val="true"/>
      <w:spacing w:lineRule="auto" w:line="240"/>
    </w:pPr>
    <w:rPr>
      <w:sz w:val="20"/>
      <w:szCs w:val="20"/>
    </w:rPr>
  </w:style>
  <w:style w:type="paragraph" w:styleId="Contenidodelatabla">
    <w:name w:val="Contenido de la tabla"/>
    <w:basedOn w:val="Normal"/>
    <w:qFormat/>
    <w:pPr/>
    <w:rPr/>
  </w:style>
  <w:style w:type="paragraph" w:styleId="Ttulodelatabla" w:customStyle="1">
    <w:name w:val="Título de la tabla"/>
    <w:basedOn w:val="Normal"/>
    <w:qFormat/>
    <w:rsid w:val="006030f4"/>
    <w:pPr>
      <w:keepNext w:val="true"/>
      <w:spacing w:before="120" w:after="120"/>
      <w:jc w:val="center"/>
    </w:pPr>
    <w:rPr>
      <w:b/>
      <w:sz w:val="20"/>
    </w:rPr>
  </w:style>
  <w:style w:type="paragraph" w:styleId="Bulletlevel1" w:customStyle="1">
    <w:name w:val="Bullet level 1"/>
    <w:basedOn w:val="Normal"/>
    <w:qFormat/>
    <w:rsid w:val="00ac507d"/>
    <w:pPr/>
    <w:rPr>
      <w:sz w:val="20"/>
    </w:rPr>
  </w:style>
  <w:style w:type="paragraph" w:styleId="Bulletlevel2" w:customStyle="1">
    <w:name w:val="Bullet level 2"/>
    <w:basedOn w:val="Normal"/>
    <w:qFormat/>
    <w:rsid w:val="00ac507d"/>
    <w:pPr/>
    <w:rPr>
      <w:sz w:val="20"/>
    </w:rPr>
  </w:style>
  <w:style w:type="paragraph" w:styleId="InstNoteRed" w:customStyle="1">
    <w:name w:val="Inst Note Red"/>
    <w:basedOn w:val="BodyText1"/>
    <w:next w:val="BodyText1"/>
    <w:qFormat/>
    <w:rsid w:val="00fd33ab"/>
    <w:pPr/>
    <w:rPr>
      <w:color w:val="FF0000"/>
    </w:rPr>
  </w:style>
  <w:style w:type="paragraph" w:styleId="PartHead" w:customStyle="1">
    <w:name w:val="Part Head"/>
    <w:basedOn w:val="ListParagraph"/>
    <w:next w:val="BodyTextL25"/>
    <w:qFormat/>
    <w:rsid w:val="002c475e"/>
    <w:pPr>
      <w:keepNext w:val="true"/>
      <w:spacing w:before="240" w:after="0"/>
      <w:outlineLvl w:val="0"/>
    </w:pPr>
    <w:rPr>
      <w:b/>
      <w:sz w:val="28"/>
    </w:rPr>
  </w:style>
  <w:style w:type="paragraph" w:styleId="SubStepAlpha" w:customStyle="1">
    <w:name w:val="SubStep Alpha"/>
    <w:basedOn w:val="Normal"/>
    <w:qFormat/>
    <w:rsid w:val="00d41566"/>
    <w:pPr>
      <w:spacing w:lineRule="auto" w:line="240" w:before="120" w:after="120"/>
    </w:pPr>
    <w:rPr>
      <w:sz w:val="20"/>
    </w:rPr>
  </w:style>
  <w:style w:type="paragraph" w:styleId="CMD" w:customStyle="1">
    <w:name w:val="CMD"/>
    <w:basedOn w:val="Normal"/>
    <w:qFormat/>
    <w:rsid w:val="003a19dc"/>
    <w:pPr>
      <w:spacing w:lineRule="auto" w:line="240"/>
      <w:ind w:left="720" w:hanging="0"/>
    </w:pPr>
    <w:rPr>
      <w:rFonts w:ascii="Courier New" w:hAnsi="Courier New"/>
      <w:sz w:val="20"/>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BodyText1"/>
    <w:qFormat/>
    <w:rsid w:val="00596998"/>
    <w:pPr>
      <w:spacing w:before="120" w:after="120"/>
      <w:ind w:left="360" w:hanging="0"/>
    </w:pPr>
    <w:rPr/>
  </w:style>
  <w:style w:type="paragraph" w:styleId="InstNoteRedL50" w:customStyle="1">
    <w:name w:val="Inst Note Red L50"/>
    <w:basedOn w:val="InstNoteRed"/>
    <w:next w:val="BodyText1"/>
    <w:qFormat/>
    <w:rsid w:val="0052400a"/>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MapadeldocumentoC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SubStepAlpha"/>
    <w:qFormat/>
    <w:rsid w:val="002c475e"/>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next w:val="BodyTextL25"/>
    <w:qFormat/>
    <w:rsid w:val="00fd33ab"/>
    <w:pPr/>
    <w:rPr>
      <w:color w:val="FF0000"/>
    </w:rPr>
  </w:style>
  <w:style w:type="paragraph" w:styleId="ListParagraph">
    <w:name w:val="List Paragraph"/>
    <w:basedOn w:val="Normal"/>
    <w:uiPriority w:val="34"/>
    <w:semiHidden/>
    <w:unhideWhenUsed/>
    <w:qFormat/>
    <w:rsid w:val="0034455d"/>
    <w:pPr>
      <w:ind w:left="720" w:hanging="0"/>
    </w:pPr>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conformatoprevioC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TextocomentarioCar"/>
    <w:uiPriority w:val="99"/>
    <w:semiHidden/>
    <w:unhideWhenUsed/>
    <w:qFormat/>
    <w:rsid w:val="000b2344"/>
    <w:pPr/>
    <w:rPr>
      <w:sz w:val="20"/>
      <w:szCs w:val="20"/>
    </w:rPr>
  </w:style>
  <w:style w:type="paragraph" w:styleId="Annotationsubject">
    <w:name w:val="annotation subject"/>
    <w:basedOn w:val="Annotationtext"/>
    <w:next w:val="Annotationtext"/>
    <w:link w:val="AsuntodelcomentarioCar"/>
    <w:uiPriority w:val="99"/>
    <w:semiHidden/>
    <w:unhideWhenUsed/>
    <w:qFormat/>
    <w:rsid w:val="000b2344"/>
    <w:pPr/>
    <w:rPr>
      <w:b/>
      <w:bCs/>
    </w:rPr>
  </w:style>
  <w:style w:type="paragraph" w:styleId="ReflectionQ" w:customStyle="1">
    <w:name w:val="Reflection Q"/>
    <w:basedOn w:val="BodyTextL25"/>
    <w:qFormat/>
    <w:rsid w:val="00596998"/>
    <w:pPr/>
    <w:rPr/>
  </w:style>
  <w:style w:type="paragraph" w:styleId="Revision">
    <w:name w:val="Revision"/>
    <w:uiPriority w:val="99"/>
    <w:semiHidden/>
    <w:qFormat/>
    <w:rsid w:val="00837218"/>
    <w:pPr>
      <w:widowControl/>
      <w:bidi w:val="0"/>
      <w:spacing w:before="0" w:after="0"/>
      <w:jc w:val="left"/>
    </w:pPr>
    <w:rPr>
      <w:rFonts w:ascii="Arial" w:hAnsi="Arial" w:eastAsia="宋体" w:cs="Times New Roman" w:eastAsiaTheme="minorEastAsia"/>
      <w:color w:val="auto"/>
      <w:kern w:val="0"/>
      <w:sz w:val="22"/>
      <w:szCs w:val="22"/>
      <w:lang w:val="es-ES" w:eastAsia="es-ES" w:bidi="es-ES"/>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2c475e"/>
  </w:style>
  <w:style w:type="numbering" w:styleId="SectionList" w:customStyle="1">
    <w:name w:val="Section_List"/>
    <w:uiPriority w:val="99"/>
    <w:qFormat/>
    <w:rsid w:val="00596998"/>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a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a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A44529-6A90-4F42-8E47-7D0540D16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Application>LibreOffice/6.4.7.2$Linux_X86_64 LibreOffice_project/40$Build-2</Application>
  <Pages>8</Pages>
  <Words>1178</Words>
  <Characters>5598</Characters>
  <CharactersWithSpaces>6615</CharactersWithSpaces>
  <Paragraphs>147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2015-05-21T20:30:00Z</dcterms:created>
  <dc:creator>Cisco Systems</dc:creator>
  <dc:description/>
  <dc:language>es-ES</dc:language>
  <cp:lastModifiedBy/>
  <cp:lastPrinted>2015-07-08T15:32:00Z</cp:lastPrinted>
  <dcterms:modified xsi:type="dcterms:W3CDTF">2022-02-18T19:36:04Z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