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866D" w14:textId="77777777" w:rsidR="00212CA7" w:rsidRDefault="00064E0D" w:rsidP="00212CA7">
      <w:pPr>
        <w:pStyle w:val="Ttulo"/>
        <w:rPr>
          <w:rStyle w:val="LabTitleInstVersred"/>
        </w:rPr>
      </w:pPr>
      <w:sdt>
        <w:sdtPr>
          <w:rPr>
            <w:b w:val="0"/>
            <w:color w:val="EE0000"/>
          </w:rPr>
          <w:alias w:val="Título"/>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r w:rsidR="00C666D1">
            <w:t>Packet Tracer - Investigar la prevención de bucles STP</w:t>
          </w:r>
        </w:sdtContent>
      </w:sdt>
      <w:r w:rsidR="00C666D1">
        <w:rPr>
          <w:rStyle w:val="LabTitleInstVersred"/>
        </w:rPr>
        <w:t xml:space="preserve"> </w:t>
      </w:r>
    </w:p>
    <w:p w14:paraId="74949424" w14:textId="28447919" w:rsidR="00D778DF" w:rsidRPr="00E70096" w:rsidRDefault="00D778DF" w:rsidP="00212CA7">
      <w:pPr>
        <w:pStyle w:val="Ttulo"/>
      </w:pPr>
      <w:r>
        <w:t>Objetivos</w:t>
      </w:r>
    </w:p>
    <w:p w14:paraId="030417FA" w14:textId="2CA3BF06" w:rsidR="00E70096" w:rsidRPr="00E70096" w:rsidRDefault="00AE5BB1" w:rsidP="00E70096">
      <w:pPr>
        <w:pStyle w:val="BodyTextL25"/>
      </w:pPr>
      <w:r>
        <w:t>En este laboratorio, observará los estados del puerto del árbol de expansión y observará el proceso de convergencia del árbol de expansión.</w:t>
      </w:r>
    </w:p>
    <w:p w14:paraId="4F187EB4" w14:textId="77777777" w:rsidR="00D778DF" w:rsidRPr="004C0909" w:rsidRDefault="004F7BD9" w:rsidP="00075EA9">
      <w:pPr>
        <w:pStyle w:val="Bulletlevel1"/>
      </w:pPr>
      <w:r>
        <w:t>Describir el protocolo del árbol de expansión rápida (STP)</w:t>
      </w:r>
    </w:p>
    <w:p w14:paraId="79C191A9" w14:textId="77777777" w:rsidR="00D778DF" w:rsidRDefault="004F7BD9" w:rsidP="00075EA9">
      <w:pPr>
        <w:pStyle w:val="Bulletlevel1"/>
      </w:pPr>
      <w:r>
        <w:t>Explique cómo el protocolo de árbol de expansión evita los bucles de conmutación al tiempo que permite la redundancia en las redes conmutadas.</w:t>
      </w:r>
    </w:p>
    <w:p w14:paraId="11FE022C" w14:textId="77777777" w:rsidR="00D778DF" w:rsidRDefault="00D778DF" w:rsidP="00D452F4">
      <w:pPr>
        <w:pStyle w:val="Ttulo1"/>
      </w:pPr>
      <w:r>
        <w:t>Antecedentes/Escenario</w:t>
      </w:r>
    </w:p>
    <w:p w14:paraId="58A61C89" w14:textId="77777777" w:rsidR="00D778DF" w:rsidRPr="00683036" w:rsidRDefault="004F7BD9" w:rsidP="00D778DF">
      <w:pPr>
        <w:pStyle w:val="BodyTextL25"/>
      </w:pPr>
      <w:r>
        <w:t>En esta actividad, utilizará Packet Tracer para observar el funcionamiento del protocolo de árbol de expansión en una red conmutada simple que tiene rutas redundantes.</w:t>
      </w:r>
    </w:p>
    <w:p w14:paraId="0FF85ADA" w14:textId="77777777" w:rsidR="00125806" w:rsidRDefault="00125806" w:rsidP="00D452F4">
      <w:pPr>
        <w:pStyle w:val="Ttulo1"/>
      </w:pPr>
      <w:r>
        <w:t>Instrucciones</w:t>
      </w:r>
    </w:p>
    <w:p w14:paraId="45C2056F" w14:textId="77777777" w:rsidR="00D06107" w:rsidRDefault="00A01118" w:rsidP="00A01118">
      <w:pPr>
        <w:pStyle w:val="Ttulo2"/>
      </w:pPr>
      <w:r>
        <w:t>Observar una instancia de árbol de expansión convergente</w:t>
      </w:r>
    </w:p>
    <w:p w14:paraId="3F573B8E" w14:textId="0C329E65" w:rsidR="00D06107" w:rsidRDefault="00A01118" w:rsidP="00A01118">
      <w:pPr>
        <w:pStyle w:val="Ttulo3"/>
      </w:pPr>
      <w:r>
        <w:t>Verificar la conectividad</w:t>
      </w:r>
    </w:p>
    <w:p w14:paraId="10949453" w14:textId="77777777" w:rsidR="00A01118" w:rsidRDefault="00A01118" w:rsidP="00A01118">
      <w:pPr>
        <w:pStyle w:val="BodyTextL25"/>
      </w:pPr>
      <w:r>
        <w:t>Ping de PC1 a PC2 para verificar la conectividad entre los hosts. El comando ping debería enviarse correctamente.</w:t>
      </w:r>
    </w:p>
    <w:p w14:paraId="2F0AF08C" w14:textId="77777777" w:rsidR="00A01118" w:rsidRDefault="00A01118" w:rsidP="00A01118">
      <w:pPr>
        <w:pStyle w:val="Ttulo3"/>
      </w:pPr>
      <w:r>
        <w:t>Ver el estado del árbol de expansión en cada switch.</w:t>
      </w:r>
    </w:p>
    <w:p w14:paraId="51BAEDC5" w14:textId="0C9D0F1E" w:rsidR="00A01118" w:rsidRDefault="00A01118" w:rsidP="00A01118">
      <w:pPr>
        <w:pStyle w:val="BodyTextL25"/>
      </w:pPr>
      <w:r>
        <w:t xml:space="preserve">Utilice el comando </w:t>
      </w:r>
      <w:r>
        <w:rPr>
          <w:b/>
        </w:rPr>
        <w:t>show spanning-tree vlan 1</w:t>
      </w:r>
      <w:r>
        <w:t xml:space="preserve"> para recopilar información sobre el estado del árbol de expansión de cada switch. Completa la tabla. Para los fines de la actividad, considere únicamente la información sobre los puertos troncal Gigabit. Los puertos Fast Ethernet son puertos de acceso que tienen dispositivos finales conectados y no forman parte del árbol de expansión basado en troncal entre switches.</w:t>
      </w:r>
    </w:p>
    <w:p w14:paraId="0059BA82" w14:textId="7855F32C" w:rsidR="004756B5" w:rsidRDefault="004756B5" w:rsidP="004756B5">
      <w:pPr>
        <w:pStyle w:val="ConfigWindow"/>
      </w:pPr>
      <w:r>
        <w:t>Abrir la ventana de configuración</w:t>
      </w:r>
    </w:p>
    <w:tbl>
      <w:tblPr>
        <w:tblStyle w:val="LabTableStyle"/>
        <w:tblW w:w="0" w:type="auto"/>
        <w:tblLook w:val="04A0" w:firstRow="1" w:lastRow="0" w:firstColumn="1" w:lastColumn="0" w:noHBand="0" w:noVBand="1"/>
        <w:tblDescription w:val="Esta tabla contiene toda la información necesaria para registrar el estado del puerto de conmutación y si el switch es un puente raíz. Escriba las respuestas en las celdas indicadas como “en blanco”."/>
      </w:tblPr>
      <w:tblGrid>
        <w:gridCol w:w="2275"/>
        <w:gridCol w:w="2275"/>
        <w:gridCol w:w="2275"/>
        <w:gridCol w:w="2275"/>
      </w:tblGrid>
      <w:tr w:rsidR="004B183D" w14:paraId="7960C958" w14:textId="77777777" w:rsidTr="00D0327C">
        <w:trPr>
          <w:cnfStyle w:val="100000000000" w:firstRow="1" w:lastRow="0" w:firstColumn="0" w:lastColumn="0" w:oddVBand="0" w:evenVBand="0" w:oddHBand="0" w:evenHBand="0" w:firstRowFirstColumn="0" w:firstRowLastColumn="0" w:lastRowFirstColumn="0" w:lastRowLastColumn="0"/>
          <w:tblHeader/>
        </w:trPr>
        <w:tc>
          <w:tcPr>
            <w:tcW w:w="2275" w:type="dxa"/>
          </w:tcPr>
          <w:p w14:paraId="0B408047" w14:textId="77777777" w:rsidR="00A01118" w:rsidRDefault="00A01118" w:rsidP="00A45BF9">
            <w:pPr>
              <w:pStyle w:val="TableHeading"/>
            </w:pPr>
            <w:r>
              <w:t>Switch</w:t>
            </w:r>
          </w:p>
        </w:tc>
        <w:tc>
          <w:tcPr>
            <w:tcW w:w="2275" w:type="dxa"/>
          </w:tcPr>
          <w:p w14:paraId="4485D1E0" w14:textId="77777777" w:rsidR="00A01118" w:rsidRDefault="00A01118" w:rsidP="00A45BF9">
            <w:pPr>
              <w:pStyle w:val="TableHeading"/>
            </w:pPr>
            <w:r>
              <w:t>Puerto</w:t>
            </w:r>
          </w:p>
        </w:tc>
        <w:tc>
          <w:tcPr>
            <w:tcW w:w="2275" w:type="dxa"/>
          </w:tcPr>
          <w:p w14:paraId="5CD14D0C" w14:textId="77777777" w:rsidR="00A01118" w:rsidRDefault="00A01118" w:rsidP="00A45BF9">
            <w:pPr>
              <w:pStyle w:val="TableHeading"/>
            </w:pPr>
            <w:r>
              <w:t>Estado (FWD, BLK...)</w:t>
            </w:r>
          </w:p>
        </w:tc>
        <w:tc>
          <w:tcPr>
            <w:tcW w:w="2275" w:type="dxa"/>
          </w:tcPr>
          <w:p w14:paraId="6485BAEC" w14:textId="77777777" w:rsidR="00A01118" w:rsidRDefault="00A01118" w:rsidP="00A45BF9">
            <w:pPr>
              <w:pStyle w:val="TableHeading"/>
            </w:pPr>
            <w:r>
              <w:t>puente raíz?</w:t>
            </w:r>
          </w:p>
        </w:tc>
      </w:tr>
      <w:tr w:rsidR="00A45BF9" w14:paraId="4F020D94" w14:textId="77777777" w:rsidTr="00D0327C">
        <w:tc>
          <w:tcPr>
            <w:tcW w:w="2275" w:type="dxa"/>
            <w:tcBorders>
              <w:bottom w:val="nil"/>
            </w:tcBorders>
          </w:tcPr>
          <w:p w14:paraId="11193E77" w14:textId="77777777" w:rsidR="00A01118" w:rsidRDefault="00A01118" w:rsidP="00A45BF9">
            <w:pPr>
              <w:pStyle w:val="TableText"/>
            </w:pPr>
            <w:r>
              <w:t>S1</w:t>
            </w:r>
          </w:p>
        </w:tc>
        <w:tc>
          <w:tcPr>
            <w:tcW w:w="2275" w:type="dxa"/>
          </w:tcPr>
          <w:p w14:paraId="107E1AB3" w14:textId="77777777" w:rsidR="00A01118" w:rsidRDefault="00A45BF9" w:rsidP="00A45BF9">
            <w:pPr>
              <w:pStyle w:val="TableText"/>
            </w:pPr>
            <w:r>
              <w:t>G0/1</w:t>
            </w:r>
          </w:p>
        </w:tc>
        <w:tc>
          <w:tcPr>
            <w:tcW w:w="2275" w:type="dxa"/>
          </w:tcPr>
          <w:p w14:paraId="50D2F2BC" w14:textId="4C886E49" w:rsidR="00A01118" w:rsidRPr="00E10CB1" w:rsidRDefault="00716E54" w:rsidP="00A45BF9">
            <w:pPr>
              <w:pStyle w:val="TableText"/>
              <w:rPr>
                <w:rStyle w:val="AnswerGray"/>
              </w:rPr>
            </w:pPr>
            <w:r>
              <w:rPr>
                <w:rStyle w:val="AnswerGray"/>
              </w:rPr>
              <w:t>FWD</w:t>
            </w:r>
          </w:p>
        </w:tc>
        <w:tc>
          <w:tcPr>
            <w:tcW w:w="2275" w:type="dxa"/>
          </w:tcPr>
          <w:p w14:paraId="47B6E87E" w14:textId="37079FD2" w:rsidR="00A01118" w:rsidRPr="00E10CB1" w:rsidRDefault="001F5BD8" w:rsidP="00A45BF9">
            <w:pPr>
              <w:pStyle w:val="TableText"/>
              <w:rPr>
                <w:rStyle w:val="AnswerGray"/>
              </w:rPr>
            </w:pPr>
            <w:r>
              <w:rPr>
                <w:rStyle w:val="AnswerGray"/>
              </w:rPr>
              <w:t>NO</w:t>
            </w:r>
          </w:p>
        </w:tc>
      </w:tr>
      <w:tr w:rsidR="00717C0E" w14:paraId="6BB75BE8" w14:textId="77777777" w:rsidTr="00D0327C">
        <w:tc>
          <w:tcPr>
            <w:tcW w:w="2275" w:type="dxa"/>
            <w:tcBorders>
              <w:top w:val="nil"/>
              <w:bottom w:val="single" w:sz="2" w:space="0" w:color="auto"/>
            </w:tcBorders>
          </w:tcPr>
          <w:p w14:paraId="1CCFBE82" w14:textId="77777777" w:rsidR="00717C0E" w:rsidRPr="004B183D" w:rsidRDefault="00717C0E" w:rsidP="0022293E">
            <w:pPr>
              <w:pStyle w:val="ConfigWindow"/>
            </w:pPr>
            <w:r>
              <w:t>S1</w:t>
            </w:r>
          </w:p>
        </w:tc>
        <w:tc>
          <w:tcPr>
            <w:tcW w:w="2275" w:type="dxa"/>
          </w:tcPr>
          <w:p w14:paraId="68CC4F99" w14:textId="77777777" w:rsidR="00717C0E" w:rsidRDefault="00717C0E" w:rsidP="00717C0E">
            <w:pPr>
              <w:pStyle w:val="TableText"/>
            </w:pPr>
            <w:r>
              <w:t>G0/2</w:t>
            </w:r>
          </w:p>
        </w:tc>
        <w:tc>
          <w:tcPr>
            <w:tcW w:w="2275" w:type="dxa"/>
          </w:tcPr>
          <w:p w14:paraId="0116A0A3" w14:textId="3570BDAA" w:rsidR="00717C0E" w:rsidRPr="00E10CB1" w:rsidRDefault="00716E54" w:rsidP="00717C0E">
            <w:pPr>
              <w:pStyle w:val="TableText"/>
              <w:rPr>
                <w:rStyle w:val="AnswerGray"/>
              </w:rPr>
            </w:pPr>
            <w:r>
              <w:rPr>
                <w:rStyle w:val="AnswerGray"/>
              </w:rPr>
              <w:t>FWD</w:t>
            </w:r>
          </w:p>
        </w:tc>
        <w:tc>
          <w:tcPr>
            <w:tcW w:w="2275" w:type="dxa"/>
          </w:tcPr>
          <w:p w14:paraId="5C1D50F3" w14:textId="0520BFE1" w:rsidR="00717C0E" w:rsidRPr="00E10CB1" w:rsidRDefault="001F5BD8" w:rsidP="00717C0E">
            <w:pPr>
              <w:pStyle w:val="TableText"/>
              <w:rPr>
                <w:rStyle w:val="AnswerGray"/>
              </w:rPr>
            </w:pPr>
            <w:r>
              <w:rPr>
                <w:rStyle w:val="AnswerGray"/>
              </w:rPr>
              <w:t>NO</w:t>
            </w:r>
          </w:p>
        </w:tc>
      </w:tr>
      <w:tr w:rsidR="00A45BF9" w14:paraId="537D7C99" w14:textId="77777777" w:rsidTr="00D0327C">
        <w:tc>
          <w:tcPr>
            <w:tcW w:w="2275" w:type="dxa"/>
            <w:tcBorders>
              <w:bottom w:val="nil"/>
            </w:tcBorders>
          </w:tcPr>
          <w:p w14:paraId="744DD295" w14:textId="77777777" w:rsidR="00A45BF9" w:rsidRDefault="00A45BF9" w:rsidP="00A45BF9">
            <w:pPr>
              <w:pStyle w:val="TableText"/>
            </w:pPr>
            <w:r>
              <w:t>S2</w:t>
            </w:r>
          </w:p>
        </w:tc>
        <w:tc>
          <w:tcPr>
            <w:tcW w:w="2275" w:type="dxa"/>
          </w:tcPr>
          <w:p w14:paraId="68948F58" w14:textId="77777777" w:rsidR="00A45BF9" w:rsidRDefault="00A45BF9" w:rsidP="00A45BF9">
            <w:pPr>
              <w:pStyle w:val="TableText"/>
            </w:pPr>
            <w:r>
              <w:t>G0/1</w:t>
            </w:r>
          </w:p>
        </w:tc>
        <w:tc>
          <w:tcPr>
            <w:tcW w:w="2275" w:type="dxa"/>
          </w:tcPr>
          <w:p w14:paraId="264C0E7E" w14:textId="131B5ACF" w:rsidR="00A45BF9" w:rsidRPr="00E10CB1" w:rsidRDefault="001F5BD8" w:rsidP="00A45BF9">
            <w:pPr>
              <w:pStyle w:val="TableText"/>
              <w:rPr>
                <w:rStyle w:val="AnswerGray"/>
              </w:rPr>
            </w:pPr>
            <w:r>
              <w:rPr>
                <w:rStyle w:val="AnswerGray"/>
              </w:rPr>
              <w:t>FWD</w:t>
            </w:r>
          </w:p>
        </w:tc>
        <w:tc>
          <w:tcPr>
            <w:tcW w:w="2275" w:type="dxa"/>
          </w:tcPr>
          <w:p w14:paraId="4ED4C459" w14:textId="13A104C0" w:rsidR="00A45BF9" w:rsidRPr="00E10CB1" w:rsidRDefault="001F5BD8" w:rsidP="00A45BF9">
            <w:pPr>
              <w:pStyle w:val="TableText"/>
              <w:rPr>
                <w:rStyle w:val="AnswerGray"/>
              </w:rPr>
            </w:pPr>
            <w:r>
              <w:rPr>
                <w:rStyle w:val="AnswerGray"/>
              </w:rPr>
              <w:t>SI</w:t>
            </w:r>
          </w:p>
        </w:tc>
      </w:tr>
      <w:tr w:rsidR="00A45BF9" w14:paraId="3228F4FB" w14:textId="77777777" w:rsidTr="00D0327C">
        <w:tc>
          <w:tcPr>
            <w:tcW w:w="2275" w:type="dxa"/>
            <w:tcBorders>
              <w:top w:val="nil"/>
              <w:bottom w:val="single" w:sz="2" w:space="0" w:color="auto"/>
            </w:tcBorders>
          </w:tcPr>
          <w:p w14:paraId="1021D380" w14:textId="77777777" w:rsidR="00A45BF9" w:rsidRPr="004B183D" w:rsidRDefault="004B183D" w:rsidP="00D0327C">
            <w:pPr>
              <w:pStyle w:val="ConfigWindow"/>
            </w:pPr>
            <w:r>
              <w:t>S2</w:t>
            </w:r>
          </w:p>
        </w:tc>
        <w:tc>
          <w:tcPr>
            <w:tcW w:w="2275" w:type="dxa"/>
          </w:tcPr>
          <w:p w14:paraId="7CBB87C6" w14:textId="77777777" w:rsidR="00A45BF9" w:rsidRDefault="00A45BF9" w:rsidP="00A45BF9">
            <w:pPr>
              <w:pStyle w:val="TableText"/>
            </w:pPr>
            <w:r>
              <w:t>G0/2</w:t>
            </w:r>
          </w:p>
        </w:tc>
        <w:tc>
          <w:tcPr>
            <w:tcW w:w="2275" w:type="dxa"/>
          </w:tcPr>
          <w:p w14:paraId="4154B290" w14:textId="159D270D" w:rsidR="00A45BF9" w:rsidRPr="00E10CB1" w:rsidRDefault="001F5BD8" w:rsidP="00A45BF9">
            <w:pPr>
              <w:pStyle w:val="TableText"/>
              <w:rPr>
                <w:rStyle w:val="AnswerGray"/>
              </w:rPr>
            </w:pPr>
            <w:r>
              <w:rPr>
                <w:rStyle w:val="AnswerGray"/>
              </w:rPr>
              <w:t>FWD</w:t>
            </w:r>
          </w:p>
        </w:tc>
        <w:tc>
          <w:tcPr>
            <w:tcW w:w="2275" w:type="dxa"/>
          </w:tcPr>
          <w:p w14:paraId="69530D0F" w14:textId="67D86C17" w:rsidR="00A45BF9" w:rsidRPr="00E10CB1" w:rsidRDefault="001F5BD8" w:rsidP="00A45BF9">
            <w:pPr>
              <w:pStyle w:val="TableText"/>
              <w:rPr>
                <w:rStyle w:val="AnswerGray"/>
              </w:rPr>
            </w:pPr>
            <w:r>
              <w:rPr>
                <w:rStyle w:val="AnswerGray"/>
              </w:rPr>
              <w:t>SI</w:t>
            </w:r>
          </w:p>
        </w:tc>
      </w:tr>
      <w:tr w:rsidR="00717C0E" w14:paraId="70D3FD57" w14:textId="77777777" w:rsidTr="00D0327C">
        <w:tc>
          <w:tcPr>
            <w:tcW w:w="2275" w:type="dxa"/>
            <w:tcBorders>
              <w:bottom w:val="nil"/>
            </w:tcBorders>
          </w:tcPr>
          <w:p w14:paraId="684B16AD" w14:textId="77777777" w:rsidR="00717C0E" w:rsidRDefault="00717C0E" w:rsidP="00717C0E">
            <w:pPr>
              <w:pStyle w:val="TableText"/>
            </w:pPr>
            <w:r>
              <w:t>S3</w:t>
            </w:r>
          </w:p>
        </w:tc>
        <w:tc>
          <w:tcPr>
            <w:tcW w:w="2275" w:type="dxa"/>
          </w:tcPr>
          <w:p w14:paraId="23B1CE5B" w14:textId="77777777" w:rsidR="00717C0E" w:rsidRDefault="00717C0E" w:rsidP="00717C0E">
            <w:pPr>
              <w:pStyle w:val="TableText"/>
            </w:pPr>
            <w:r>
              <w:t>G0/1</w:t>
            </w:r>
          </w:p>
        </w:tc>
        <w:tc>
          <w:tcPr>
            <w:tcW w:w="2275" w:type="dxa"/>
          </w:tcPr>
          <w:p w14:paraId="774634EC" w14:textId="12779C82" w:rsidR="00717C0E" w:rsidRPr="00E10CB1" w:rsidRDefault="001F5BD8" w:rsidP="00717C0E">
            <w:pPr>
              <w:pStyle w:val="TableText"/>
              <w:rPr>
                <w:rStyle w:val="AnswerGray"/>
              </w:rPr>
            </w:pPr>
            <w:r>
              <w:rPr>
                <w:rStyle w:val="AnswerGray"/>
              </w:rPr>
              <w:t>FWD</w:t>
            </w:r>
          </w:p>
        </w:tc>
        <w:tc>
          <w:tcPr>
            <w:tcW w:w="2275" w:type="dxa"/>
          </w:tcPr>
          <w:p w14:paraId="5B6946F5" w14:textId="45A21645" w:rsidR="00717C0E" w:rsidRPr="00E10CB1" w:rsidRDefault="001F5BD8" w:rsidP="00717C0E">
            <w:pPr>
              <w:pStyle w:val="TableText"/>
              <w:rPr>
                <w:rStyle w:val="AnswerGray"/>
              </w:rPr>
            </w:pPr>
            <w:r>
              <w:rPr>
                <w:rStyle w:val="AnswerGray"/>
              </w:rPr>
              <w:t>NO</w:t>
            </w:r>
          </w:p>
        </w:tc>
      </w:tr>
      <w:tr w:rsidR="00717C0E" w14:paraId="6E30E93F" w14:textId="77777777" w:rsidTr="00D0327C">
        <w:tc>
          <w:tcPr>
            <w:tcW w:w="2275" w:type="dxa"/>
            <w:tcBorders>
              <w:top w:val="nil"/>
            </w:tcBorders>
          </w:tcPr>
          <w:p w14:paraId="0FAAF8BB" w14:textId="77777777" w:rsidR="00717C0E" w:rsidRPr="004B183D" w:rsidRDefault="00717C0E" w:rsidP="00D0327C">
            <w:pPr>
              <w:pStyle w:val="ConfigWindow"/>
            </w:pPr>
            <w:r>
              <w:t>S3</w:t>
            </w:r>
          </w:p>
        </w:tc>
        <w:tc>
          <w:tcPr>
            <w:tcW w:w="2275" w:type="dxa"/>
          </w:tcPr>
          <w:p w14:paraId="2D14D6CE" w14:textId="77777777" w:rsidR="00717C0E" w:rsidRDefault="00717C0E" w:rsidP="00717C0E">
            <w:pPr>
              <w:pStyle w:val="TableText"/>
            </w:pPr>
            <w:r>
              <w:t>G0/2</w:t>
            </w:r>
          </w:p>
        </w:tc>
        <w:tc>
          <w:tcPr>
            <w:tcW w:w="2275" w:type="dxa"/>
          </w:tcPr>
          <w:p w14:paraId="13817182" w14:textId="2A546123" w:rsidR="00717C0E" w:rsidRPr="00E10CB1" w:rsidRDefault="001F5BD8" w:rsidP="00717C0E">
            <w:pPr>
              <w:pStyle w:val="TableText"/>
              <w:rPr>
                <w:rStyle w:val="AnswerGray"/>
              </w:rPr>
            </w:pPr>
            <w:r>
              <w:rPr>
                <w:rStyle w:val="AnswerGray"/>
              </w:rPr>
              <w:t>BLK</w:t>
            </w:r>
          </w:p>
        </w:tc>
        <w:tc>
          <w:tcPr>
            <w:tcW w:w="2275" w:type="dxa"/>
          </w:tcPr>
          <w:p w14:paraId="67EC4571" w14:textId="2185AB41" w:rsidR="00717C0E" w:rsidRPr="00E10CB1" w:rsidRDefault="001F5BD8" w:rsidP="00717C0E">
            <w:pPr>
              <w:pStyle w:val="TableText"/>
              <w:rPr>
                <w:rStyle w:val="AnswerGray"/>
              </w:rPr>
            </w:pPr>
            <w:r>
              <w:rPr>
                <w:rStyle w:val="AnswerGray"/>
              </w:rPr>
              <w:t>NO</w:t>
            </w:r>
          </w:p>
        </w:tc>
      </w:tr>
    </w:tbl>
    <w:p w14:paraId="2ACC9B3E" w14:textId="061ABF7F" w:rsidR="006225C5" w:rsidRDefault="00593DAA" w:rsidP="00B034A2">
      <w:pPr>
        <w:pStyle w:val="BodyTextL25"/>
        <w:spacing w:after="0"/>
      </w:pPr>
      <w:r>
        <w:t>Packet Tracer utiliza una luz de enlace diferente en una de las conexiones entre los switches.</w:t>
      </w:r>
    </w:p>
    <w:p w14:paraId="05DDF323" w14:textId="418E4418" w:rsidR="006225C5" w:rsidRDefault="006225C5" w:rsidP="0022293E">
      <w:pPr>
        <w:pStyle w:val="Ttulo4"/>
      </w:pPr>
      <w:r>
        <w:t>Preguntas:</w:t>
      </w:r>
    </w:p>
    <w:p w14:paraId="24A82928" w14:textId="77777777" w:rsidR="00E154A7" w:rsidRDefault="00593DAA" w:rsidP="00E154A7">
      <w:pPr>
        <w:pStyle w:val="BodyTextL25"/>
        <w:spacing w:before="0"/>
      </w:pPr>
      <w:r>
        <w:t>¿Qué crees que significa esta luz de enlace?</w:t>
      </w:r>
    </w:p>
    <w:p w14:paraId="08216C27" w14:textId="77777777" w:rsidR="001F5BD8" w:rsidRDefault="001F5BD8" w:rsidP="0022293E">
      <w:pPr>
        <w:pStyle w:val="AnswerLineL25"/>
      </w:pPr>
      <w:r>
        <w:rPr>
          <w:color w:val="auto"/>
        </w:rPr>
        <w:t>Significa que el enlace se encuentra apagado hasta que ocurra sea necesario su uso (que se apague el otro camino posible), para evitar ciclos.</w:t>
      </w:r>
      <w:r w:rsidR="00E154A7">
        <w:t>s respue</w:t>
      </w:r>
    </w:p>
    <w:p w14:paraId="657116FC" w14:textId="10D9A1D0" w:rsidR="00E10CB1" w:rsidRDefault="00E154A7" w:rsidP="0022293E">
      <w:pPr>
        <w:pStyle w:val="AnswerLineL25"/>
      </w:pPr>
      <w:r>
        <w:t>stas aquí.</w:t>
      </w:r>
    </w:p>
    <w:p w14:paraId="1266B67F" w14:textId="77777777" w:rsidR="00E10CB1" w:rsidRDefault="00593DAA" w:rsidP="004F7BD9">
      <w:pPr>
        <w:pStyle w:val="BodyTextL25"/>
      </w:pPr>
      <w:r>
        <w:lastRenderedPageBreak/>
        <w:t xml:space="preserve">¿Qué ruta tomarán las tramas de PC1 a PC2? </w:t>
      </w:r>
    </w:p>
    <w:p w14:paraId="53922138" w14:textId="3EAAB9E0" w:rsidR="001F5BD8" w:rsidRDefault="001F5BD8" w:rsidP="004C04ED">
      <w:pPr>
        <w:pStyle w:val="BodyTextL25"/>
      </w:pPr>
      <w:r>
        <w:t>PC1-&gt;S1-&gt;S2-&gt;PC2</w:t>
      </w:r>
    </w:p>
    <w:p w14:paraId="36ED5932" w14:textId="77777777" w:rsidR="001F5BD8" w:rsidRDefault="001F5BD8" w:rsidP="004C04ED">
      <w:pPr>
        <w:pStyle w:val="BodyTextL25"/>
      </w:pPr>
    </w:p>
    <w:p w14:paraId="3AC1011B" w14:textId="053EC181" w:rsidR="00E10CB1" w:rsidRDefault="00593DAA" w:rsidP="004C04ED">
      <w:pPr>
        <w:pStyle w:val="BodyTextL25"/>
      </w:pPr>
      <w:r>
        <w:t xml:space="preserve">¿Por qué los marcos no viajan a través de S3? </w:t>
      </w:r>
    </w:p>
    <w:p w14:paraId="3928845D" w14:textId="36CE766B" w:rsidR="00212CA7" w:rsidRPr="001F5BD8" w:rsidRDefault="001F5BD8" w:rsidP="0022293E">
      <w:pPr>
        <w:pStyle w:val="AnswerLineL25"/>
        <w:rPr>
          <w:color w:val="auto"/>
        </w:rPr>
      </w:pPr>
      <w:r>
        <w:rPr>
          <w:color w:val="auto"/>
        </w:rPr>
        <w:t>Porque es un camino alternativo por si ocurre algún problema entre S1 con S2</w:t>
      </w:r>
    </w:p>
    <w:p w14:paraId="0D67F14E" w14:textId="589DCF5A" w:rsidR="00E154A7" w:rsidRDefault="00E154A7" w:rsidP="0022293E">
      <w:pPr>
        <w:pStyle w:val="AnswerLineL25"/>
      </w:pPr>
      <w:r>
        <w:t>iba sus respuestas aquí.</w:t>
      </w:r>
    </w:p>
    <w:p w14:paraId="51232540" w14:textId="67A0E4E5" w:rsidR="00A5761D" w:rsidRDefault="00A5761D" w:rsidP="00A5761D">
      <w:pPr>
        <w:pStyle w:val="BodyTextL25"/>
      </w:pPr>
      <w:r>
        <w:t>¿Por qué el árbol de expansión ha colocado un puerto en estado de bloqueo?</w:t>
      </w:r>
    </w:p>
    <w:p w14:paraId="356F23FC" w14:textId="153084C4" w:rsidR="00212CA7" w:rsidRPr="001F5BD8" w:rsidRDefault="001F5BD8" w:rsidP="0022293E">
      <w:pPr>
        <w:pStyle w:val="AnswerLineL25"/>
        <w:rPr>
          <w:color w:val="auto"/>
        </w:rPr>
      </w:pPr>
      <w:r>
        <w:rPr>
          <w:color w:val="auto"/>
        </w:rPr>
        <w:t xml:space="preserve">Para evitar que existan </w:t>
      </w:r>
      <w:r w:rsidR="006907EF">
        <w:rPr>
          <w:color w:val="auto"/>
        </w:rPr>
        <w:t>bucles.</w:t>
      </w:r>
    </w:p>
    <w:p w14:paraId="227A21CD" w14:textId="626AC75D" w:rsidR="00E154A7" w:rsidRDefault="00E154A7" w:rsidP="0022293E">
      <w:pPr>
        <w:pStyle w:val="AnswerLineL25"/>
      </w:pPr>
      <w:r>
        <w:t>ba sus respuestas aquí.</w:t>
      </w:r>
    </w:p>
    <w:p w14:paraId="14354253" w14:textId="7EA0A7C3" w:rsidR="004756B5" w:rsidRPr="004756B5" w:rsidRDefault="004756B5" w:rsidP="004756B5">
      <w:pPr>
        <w:pStyle w:val="ConfigWindow"/>
      </w:pPr>
      <w:r>
        <w:t>Cerrar la ventana de configuración</w:t>
      </w:r>
    </w:p>
    <w:p w14:paraId="455B4169" w14:textId="4A2C7559" w:rsidR="00394A1C" w:rsidRDefault="00451143" w:rsidP="004756B5">
      <w:pPr>
        <w:pStyle w:val="Ttulo2"/>
        <w:spacing w:before="120"/>
      </w:pPr>
      <w:r>
        <w:t>Observar la convergencia del árbol de expansión</w:t>
      </w:r>
    </w:p>
    <w:p w14:paraId="58E927D1" w14:textId="0CF34D54" w:rsidR="00451143" w:rsidRDefault="00451143" w:rsidP="00451143">
      <w:pPr>
        <w:pStyle w:val="Ttulo3"/>
      </w:pPr>
      <w:r>
        <w:t>Retire la conexión entre S1 y S2.</w:t>
      </w:r>
    </w:p>
    <w:p w14:paraId="03A9727E" w14:textId="14139A65" w:rsidR="00451143" w:rsidRDefault="00451143" w:rsidP="004756B5">
      <w:pPr>
        <w:pStyle w:val="SubStepAlpha"/>
        <w:spacing w:after="0"/>
      </w:pPr>
      <w:r>
        <w:t xml:space="preserve">Abra una ventana CLI en el switch S3 y ejecute el comando </w:t>
      </w:r>
      <w:r>
        <w:rPr>
          <w:b/>
        </w:rPr>
        <w:t>show spanning-tree vlan 1</w:t>
      </w:r>
      <w:r>
        <w:t>. Dejen esta ventana abierta.</w:t>
      </w:r>
    </w:p>
    <w:p w14:paraId="4F16C0D3" w14:textId="02E35BE1" w:rsidR="004756B5" w:rsidRPr="00451143" w:rsidRDefault="004756B5" w:rsidP="004756B5">
      <w:pPr>
        <w:pStyle w:val="ConfigWindow"/>
      </w:pPr>
      <w:r>
        <w:t>Abrir la ventana de configuración</w:t>
      </w:r>
    </w:p>
    <w:p w14:paraId="1699FF07" w14:textId="77777777" w:rsidR="00451143" w:rsidRDefault="0067229A" w:rsidP="00451143">
      <w:pPr>
        <w:pStyle w:val="SubStepAlpha"/>
      </w:pPr>
      <w:r>
        <w:t>Seleccione la herramienta de eliminación en la barra de menús y haga clic en el cable que conecta S1 y S2.</w:t>
      </w:r>
    </w:p>
    <w:p w14:paraId="2CD96C50" w14:textId="77777777" w:rsidR="00451143" w:rsidRDefault="00451143" w:rsidP="00451143">
      <w:pPr>
        <w:pStyle w:val="Ttulo3"/>
      </w:pPr>
      <w:r>
        <w:t>Observe la convergencia del árbol de expansión.</w:t>
      </w:r>
    </w:p>
    <w:p w14:paraId="2C1CF874" w14:textId="077FA2C8" w:rsidR="00451143" w:rsidRDefault="00451143" w:rsidP="00451143">
      <w:pPr>
        <w:pStyle w:val="SubStepAlpha"/>
      </w:pPr>
      <w:r>
        <w:t xml:space="preserve">Vuelva rápidamente al indicador CLI en el switch S3 y ejecute el comando </w:t>
      </w:r>
      <w:r>
        <w:rPr>
          <w:b/>
        </w:rPr>
        <w:t>show spanning-tree vlan 1</w:t>
      </w:r>
      <w:r>
        <w:t xml:space="preserve"> .</w:t>
      </w:r>
    </w:p>
    <w:p w14:paraId="6E74473D" w14:textId="269EB871" w:rsidR="0067229A" w:rsidRDefault="0067229A" w:rsidP="00B034A2">
      <w:pPr>
        <w:pStyle w:val="SubStepAlpha"/>
        <w:spacing w:after="0"/>
      </w:pPr>
      <w:r>
        <w:t xml:space="preserve">Utilice la tecla de flecha hacia arriba para recuperar el comando </w:t>
      </w:r>
      <w:r>
        <w:rPr>
          <w:b/>
        </w:rPr>
        <w:t>show spanning-tree vlan 1</w:t>
      </w:r>
      <w:r>
        <w:t xml:space="preserve"> y ejecutarlo repetidamente hasta que la luz naranja del cable se vuelva verde. Observe el estado del puerto G0/2.</w:t>
      </w:r>
    </w:p>
    <w:p w14:paraId="484EAD82" w14:textId="74734AFC" w:rsidR="00E154A7" w:rsidRDefault="00E154A7" w:rsidP="0022293E">
      <w:pPr>
        <w:pStyle w:val="Ttulo4"/>
      </w:pPr>
      <w:r>
        <w:t>Pregunta:</w:t>
      </w:r>
    </w:p>
    <w:p w14:paraId="5FB6D4D7" w14:textId="77777777" w:rsidR="00E154A7" w:rsidRDefault="0067229A" w:rsidP="0022293E">
      <w:pPr>
        <w:pStyle w:val="BodyTextL50"/>
        <w:spacing w:before="0"/>
      </w:pPr>
      <w:r>
        <w:t>¿Qué ve que sucede con el estado del puerto G0/2 durante este proceso?</w:t>
      </w:r>
    </w:p>
    <w:p w14:paraId="1E08AA16" w14:textId="679A379C" w:rsidR="00212CA7" w:rsidRPr="006907EF" w:rsidRDefault="006907EF" w:rsidP="0022293E">
      <w:pPr>
        <w:pStyle w:val="AnswerLineL50"/>
        <w:rPr>
          <w:color w:val="auto"/>
        </w:rPr>
      </w:pPr>
      <w:r>
        <w:rPr>
          <w:color w:val="auto"/>
        </w:rPr>
        <w:t>Pasa de bloqueo BLK a estado LSN cuando el cable es eliminado entre S1 y S2. Cuando se establece la conexión entre S1 y S3 pasa a estado FWD</w:t>
      </w:r>
    </w:p>
    <w:p w14:paraId="7DDDEBD6" w14:textId="03C4554A" w:rsidR="00E10CB1" w:rsidRDefault="00E154A7" w:rsidP="0022293E">
      <w:pPr>
        <w:pStyle w:val="AnswerLineL50"/>
      </w:pPr>
      <w:r>
        <w:t>riba sus respuestas aquí.</w:t>
      </w:r>
    </w:p>
    <w:p w14:paraId="2B42B51C" w14:textId="77777777" w:rsidR="0067229A" w:rsidRPr="0067229A" w:rsidRDefault="0067229A" w:rsidP="0067229A">
      <w:pPr>
        <w:pStyle w:val="BodyTextL50"/>
      </w:pPr>
      <w:r>
        <w:t>Ha observado la transición en el estado del puerto que se produce cuando un puerto de árbol de expansión pasa del estado de bloqueo al estado de reenvío.</w:t>
      </w:r>
    </w:p>
    <w:p w14:paraId="392AB6C2" w14:textId="27751008" w:rsidR="005B4B8E" w:rsidRDefault="0067229A" w:rsidP="0067229A">
      <w:pPr>
        <w:pStyle w:val="SubStepAlpha"/>
      </w:pPr>
      <w:r>
        <w:t>Verifique la conectividad haciendo ping de PC1 a PC2. El comando ping debería enviarse correctamente.</w:t>
      </w:r>
    </w:p>
    <w:p w14:paraId="1DB7B7B3" w14:textId="62FD5FF5" w:rsidR="00E154A7" w:rsidRDefault="0067229A" w:rsidP="0067229A">
      <w:pPr>
        <w:pStyle w:val="BodyTextL50"/>
      </w:pPr>
      <w:r>
        <w:t>¿Hay algún puerto que muestre una luz de enlace naranja que indique que el puerto está en un estado de árbol de expansión distinto del reenvío? ¿Por qué o por qué no?</w:t>
      </w:r>
    </w:p>
    <w:p w14:paraId="2D571B0A" w14:textId="116EB85F" w:rsidR="00B60138" w:rsidRDefault="00B60138" w:rsidP="0067229A">
      <w:pPr>
        <w:pStyle w:val="BodyTextL50"/>
      </w:pPr>
      <w:r>
        <w:t>No hay ningún puerto que muestre luz naranja ya que solo hay un camino posible entre PC1 y PC2 de tal forma que no pueden generarse bucles.</w:t>
      </w:r>
    </w:p>
    <w:p w14:paraId="7F8BCC17" w14:textId="3FEC3015" w:rsidR="00E154A7" w:rsidRPr="0022293E" w:rsidRDefault="00E154A7" w:rsidP="0022293E">
      <w:pPr>
        <w:pStyle w:val="ConfigWindow"/>
      </w:pPr>
    </w:p>
    <w:sectPr w:rsidR="00E154A7" w:rsidRPr="0022293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80924" w14:textId="77777777" w:rsidR="00064E0D" w:rsidRDefault="00064E0D" w:rsidP="00710659">
      <w:pPr>
        <w:spacing w:after="0" w:line="240" w:lineRule="auto"/>
      </w:pPr>
      <w:r>
        <w:separator/>
      </w:r>
    </w:p>
    <w:p w14:paraId="05338E1C" w14:textId="77777777" w:rsidR="00064E0D" w:rsidRDefault="00064E0D"/>
  </w:endnote>
  <w:endnote w:type="continuationSeparator" w:id="0">
    <w:p w14:paraId="0C6BC064" w14:textId="77777777" w:rsidR="00064E0D" w:rsidRDefault="00064E0D" w:rsidP="00710659">
      <w:pPr>
        <w:spacing w:after="0" w:line="240" w:lineRule="auto"/>
      </w:pPr>
      <w:r>
        <w:continuationSeparator/>
      </w:r>
    </w:p>
    <w:p w14:paraId="1CC06CA9" w14:textId="77777777" w:rsidR="00064E0D" w:rsidRDefault="00064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46B2"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122" w14:textId="010C6ACD"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716E5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B834" w14:textId="361CD51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716E54">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BF9E2" w14:textId="77777777" w:rsidR="00064E0D" w:rsidRDefault="00064E0D" w:rsidP="00710659">
      <w:pPr>
        <w:spacing w:after="0" w:line="240" w:lineRule="auto"/>
      </w:pPr>
      <w:r>
        <w:separator/>
      </w:r>
    </w:p>
    <w:p w14:paraId="73EE0B72" w14:textId="77777777" w:rsidR="00064E0D" w:rsidRDefault="00064E0D"/>
  </w:footnote>
  <w:footnote w:type="continuationSeparator" w:id="0">
    <w:p w14:paraId="62DFDE0B" w14:textId="77777777" w:rsidR="00064E0D" w:rsidRDefault="00064E0D" w:rsidP="00710659">
      <w:pPr>
        <w:spacing w:after="0" w:line="240" w:lineRule="auto"/>
      </w:pPr>
      <w:r>
        <w:continuationSeparator/>
      </w:r>
    </w:p>
    <w:p w14:paraId="4156398B" w14:textId="77777777" w:rsidR="00064E0D" w:rsidRDefault="00064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E42D"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p w14:paraId="7059F35B" w14:textId="77777777" w:rsidR="00926CB2" w:rsidRDefault="0022691F" w:rsidP="008402F2">
        <w:pPr>
          <w:pStyle w:val="PageHead"/>
        </w:pPr>
        <w:r>
          <w:t>Packet Tracer - Investigar la prevención de bucles STP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5256"/>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4E0D"/>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38E0"/>
    <w:rsid w:val="001E4E72"/>
    <w:rsid w:val="001E62B3"/>
    <w:rsid w:val="001E6424"/>
    <w:rsid w:val="001F0171"/>
    <w:rsid w:val="001F0D77"/>
    <w:rsid w:val="001F5BD8"/>
    <w:rsid w:val="001F643A"/>
    <w:rsid w:val="001F7DD8"/>
    <w:rsid w:val="00201928"/>
    <w:rsid w:val="00203E26"/>
    <w:rsid w:val="0020449C"/>
    <w:rsid w:val="002113B8"/>
    <w:rsid w:val="00212CA7"/>
    <w:rsid w:val="00215665"/>
    <w:rsid w:val="002163BB"/>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6295"/>
    <w:rsid w:val="00686587"/>
    <w:rsid w:val="006904CF"/>
    <w:rsid w:val="006907E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E54"/>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F78"/>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97B"/>
    <w:rsid w:val="00B53EE9"/>
    <w:rsid w:val="00B60138"/>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6D1"/>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2FF8"/>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051"/>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154A7"/>
    <w:pPr>
      <w:spacing w:before="60" w:after="60" w:line="276" w:lineRule="auto"/>
    </w:pPr>
    <w:rPr>
      <w:sz w:val="22"/>
      <w:szCs w:val="22"/>
    </w:rPr>
  </w:style>
  <w:style w:type="paragraph" w:styleId="Ttulo1">
    <w:name w:val="heading 1"/>
    <w:basedOn w:val="Normal"/>
    <w:next w:val="BodyTextL25"/>
    <w:link w:val="Ttulo1Car"/>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uiPriority w:val="9"/>
    <w:unhideWhenUsed/>
    <w:qFormat/>
    <w:rsid w:val="004756B5"/>
    <w:pPr>
      <w:keepNext/>
      <w:numPr>
        <w:ilvl w:val="1"/>
        <w:numId w:val="5"/>
      </w:numPr>
      <w:spacing w:before="24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B034A2"/>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4756B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452E5"/>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034A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034A2"/>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wlc\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031734"/>
    <w:rsid w:val="00056AFA"/>
    <w:rsid w:val="0014469F"/>
    <w:rsid w:val="0015549B"/>
    <w:rsid w:val="005A7E08"/>
    <w:rsid w:val="00660A99"/>
    <w:rsid w:val="00871372"/>
    <w:rsid w:val="00871E96"/>
    <w:rsid w:val="009D2DB1"/>
    <w:rsid w:val="00BA502A"/>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9B1EC-9074-4FA1-9ECA-FFF5C789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27</TotalTime>
  <Pages>2</Pages>
  <Words>561</Words>
  <Characters>3091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Investigar la prevención de bucles STP</vt:lpstr>
      <vt:lpstr>Packet Tracer - Investigate STP Loop Prevention</vt:lpstr>
    </vt:vector>
  </TitlesOfParts>
  <Company>Cisco Systems, Inc.</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Investigar la prevención de bucles STP</dc:title>
  <dc:creator>Martin Benson</dc:creator>
  <cp:keywords/>
  <dc:description>2019</dc:description>
  <cp:lastModifiedBy>Antonio Gómez Giménex</cp:lastModifiedBy>
  <cp:revision>5</cp:revision>
  <cp:lastPrinted>2020-05-16T01:46:00Z</cp:lastPrinted>
  <dcterms:created xsi:type="dcterms:W3CDTF">2020-05-16T01:44:00Z</dcterms:created>
  <dcterms:modified xsi:type="dcterms:W3CDTF">2022-03-11T10:37:00Z</dcterms:modified>
</cp:coreProperties>
</file>