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 </w:t>
      </w:r>
    </w:p>
    <w:tbl>
      <w:tblPr/>
      <w:tblGrid>
        <w:gridCol w:w="1980"/>
        <w:gridCol w:w="3798"/>
        <w:gridCol w:w="3569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379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Основная функциональность</w:t>
            </w:r>
          </w:p>
        </w:tc>
        <w:tc>
          <w:tcPr>
            <w:tcW w:w="3569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Примеры типичного использования</w:t>
            </w:r>
          </w:p>
        </w:tc>
      </w:tr>
      <w:tr>
        <w:trPr>
          <w:trHeight w:val="94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Set</w:t>
            </w:r>
          </w:p>
        </w:tc>
        <w:tc>
          <w:tcPr>
            <w:tcW w:w="37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Храниние неповторяющихся элементов</w:t>
            </w:r>
          </w:p>
        </w:tc>
        <w:tc>
          <w:tcPr>
            <w:tcW w:w="35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хранение уникальных и неповторяющихся элементов.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List</w:t>
            </w:r>
          </w:p>
        </w:tc>
        <w:tc>
          <w:tcPr>
            <w:tcW w:w="37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нумерованное хранение элементов. каждый эелемент лежит под своим индексом, который идет по порядку.</w:t>
            </w:r>
          </w:p>
        </w:tc>
        <w:tc>
          <w:tcPr>
            <w:tcW w:w="35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хранение элементов, к которым нужен быстрый доуступ, благодаря методу хранения (ПОСЛЕДОВАТЕЛЬНО)</w:t>
            </w:r>
          </w:p>
        </w:tc>
      </w:tr>
      <w:tr>
        <w:trPr>
          <w:trHeight w:val="31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Queue</w:t>
            </w:r>
          </w:p>
        </w:tc>
        <w:tc>
          <w:tcPr>
            <w:tcW w:w="37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Хранение элементов в очереди. Имеет функционал добавление элементов в конец очереди, просмотр и удаление первых элементов</w:t>
            </w:r>
          </w:p>
        </w:tc>
        <w:tc>
          <w:tcPr>
            <w:tcW w:w="35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Хранение элементов, доступ к которым нужен в определенной последовательности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Map</w:t>
            </w:r>
          </w:p>
        </w:tc>
        <w:tc>
          <w:tcPr>
            <w:tcW w:w="37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Хранение элементов в формате: Ключ-Значение, где каждому значению присваивается свое определенное значение ключа. </w:t>
            </w:r>
          </w:p>
        </w:tc>
        <w:tc>
          <w:tcPr>
            <w:tcW w:w="35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auto" w:val="clear"/>
              </w:rPr>
              <w:t xml:space="preserve">Удобный доступ к элементам по значению ключа.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