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9"/>
        <w:rPr>
          <w:rFonts w:hint="default" w:eastAsia="方正小标宋简体"/>
          <w:lang w:val="en-US" w:eastAsia="zh-Hans"/>
        </w:rPr>
      </w:pPr>
      <w:r>
        <w:rPr>
          <w:rFonts w:hint="eastAsia"/>
          <w:lang w:val="en-US" w:eastAsia="zh-Hans"/>
        </w:rPr>
        <w:t>数据库表信息</w:t>
      </w:r>
    </w:p>
    <w:p>
      <w:pPr>
        <w:ind w:left="0" w:leftChars="0" w:firstLine="0" w:firstLineChars="0"/>
        <w:rPr>
          <w:rFonts w:hint="eastAsia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val="en-US" w:eastAsia="zh-Hans"/>
        </w:rPr>
        <w:t>股票列表</w:t>
      </w:r>
      <w:r>
        <w:rPr>
          <w:rFonts w:hint="eastAsia"/>
        </w:rPr>
        <w:t>stock_basic</w:t>
      </w:r>
    </w:p>
    <w:tbl>
      <w:tblPr>
        <w:tblStyle w:val="10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4"/>
        <w:gridCol w:w="928"/>
        <w:gridCol w:w="1412"/>
        <w:gridCol w:w="5368"/>
      </w:tblGrid>
      <w:tr>
        <w:trPr>
          <w:trHeight w:val="57" w:hRule="atLeast"/>
          <w:tblHeader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名称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类型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默认显示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描述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ts_code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symbol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name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股票名称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area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地域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industry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所属行业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fullname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股票全称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enname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英文全称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cnspell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拼音缩写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market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市场类型（主板/创业板/科创板/CDR）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exchange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交易所代码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curr_type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交易货币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list_status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上市状态 L上市 D退市 P暂停上市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list_date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上市日期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delist_date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退市日期</w:t>
            </w:r>
          </w:p>
        </w:tc>
      </w:tr>
      <w:tr>
        <w:tblPrEx>
          <w:shd w:val="clear" w:color="auto" w:fill="auto"/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is_hs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是否沪深港通标的，N否 H沪股通 S深股通</w:t>
            </w:r>
          </w:p>
        </w:tc>
      </w:tr>
    </w:tbl>
    <w:p>
      <w:pPr>
        <w:keepNext w:val="0"/>
        <w:keepLines w:val="0"/>
        <w:widowControl/>
        <w:suppressLineNumbers w:val="0"/>
        <w:ind w:left="0" w:leftChars="0" w:firstLine="0" w:firstLineChars="0"/>
        <w:jc w:val="left"/>
        <w:rPr>
          <w:rFonts w:ascii="Helvetica Neue" w:hAnsi="Helvetica Neue" w:eastAsia="Helvetica Neue" w:cs="Helvetica Neue"/>
          <w:i w:val="0"/>
          <w:iCs w:val="0"/>
          <w:caps w:val="0"/>
          <w:color w:val="0A0A0A"/>
          <w:spacing w:val="0"/>
          <w:kern w:val="0"/>
          <w:sz w:val="33"/>
          <w:szCs w:val="33"/>
          <w:shd w:val="clear" w:fill="FFFFFF"/>
          <w:lang w:val="en-US" w:eastAsia="zh-CN" w:bidi="ar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val="en-US" w:eastAsia="zh-Hans"/>
        </w:rPr>
        <w:t>交易日历</w:t>
      </w:r>
      <w:r>
        <w:rPr>
          <w:rFonts w:hint="eastAsia"/>
          <w:lang w:val="en-US" w:eastAsia="zh-CN"/>
        </w:rPr>
        <w:t>trade_cal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08"/>
        <w:gridCol w:w="1010"/>
        <w:gridCol w:w="1601"/>
        <w:gridCol w:w="454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eastAsia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默认显示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exchange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交易所 SSE上交所 SZSE深交所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cal_date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日历日期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is_open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是否交易 0休市 1交易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pretrade_date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上一个交易日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股票曾用名namechange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36"/>
        <w:gridCol w:w="1472"/>
        <w:gridCol w:w="2330"/>
        <w:gridCol w:w="233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默认输出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ts_code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name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证券名称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start_date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开始日期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end_date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结束日期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ann_date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公告日期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change_reason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变更原因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沪深股通成份股hs_const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17"/>
        <w:gridCol w:w="1385"/>
        <w:gridCol w:w="1910"/>
        <w:gridCol w:w="395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默认显示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ts_code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hs_type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沪深港通类型SH沪SZ深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in_date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纳入日期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out_date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剔除日期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is_new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是否最新 1是 0否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上市公司基本信息stock_company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0"/>
        <w:gridCol w:w="1145"/>
        <w:gridCol w:w="1565"/>
        <w:gridCol w:w="449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默认显示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ts_code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exchange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交易所代码 ，SSE上交所 SZSE深交所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chairman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法人代表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manager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总经理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secretary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董秘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reg_capital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float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注册资本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setup_date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注册日期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province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所在省份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city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所在城市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introduction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公司介绍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website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公司主页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email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电子邮件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office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办公室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employees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int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员工人数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main_business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主要业务及产品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business_scope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经营范围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管理层薪酬和持股stk_rewards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50"/>
        <w:gridCol w:w="1754"/>
        <w:gridCol w:w="2396"/>
        <w:gridCol w:w="286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ann_date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公告日期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end_date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截止日期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nam</w:t>
            </w:r>
            <w:bookmarkStart w:id="0" w:name="_GoBack"/>
            <w:bookmarkEnd w:id="0"/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姓名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title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职务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reward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报酬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hold_vol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持股数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股东增减持stk_holdertrade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2"/>
        <w:gridCol w:w="1317"/>
        <w:gridCol w:w="1798"/>
        <w:gridCol w:w="4121"/>
      </w:tblGrid>
      <w:tr>
        <w:trPr>
          <w:tblHeader/>
        </w:trPr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TS代码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ann_date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公告日期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holder_name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股东名称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holder_type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股东类型G高管P个人C公司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in_de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类型IN增持DE减持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change_vol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变动数量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change_ratio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占流通比例（%）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after_share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变动后持股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after_ratio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变动后占流通比例（%）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avg_price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平均价格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total_share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持股总数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begin_date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增减持开始日期</w:t>
            </w:r>
          </w:p>
        </w:tc>
      </w:tr>
      <w:tr>
        <w:tblPrEx>
          <w:shd w:val="clear" w:color="auto" w:fill="auto"/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close_date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增减持结束日期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每日指标daily_basic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0"/>
        <w:gridCol w:w="1336"/>
        <w:gridCol w:w="564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turnover_rate_f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换手率（自由流通股）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volume_ratio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量比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市盈率（总市值/净利润， 亏损的PE为空）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pe_ttm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市盈率（TTM，亏损的PE为空）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pb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市净率（总市值/净资产）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ps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市销率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ps_ttm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市销率（TTM）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dv_ratio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股息率 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dv_ttm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股息率（TTM）（%）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total_share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总股本 （万股）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float_share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流通股本 （万股）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free_share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自由流通股本 （万）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total_mv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总市值 （万元）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circ_mv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流通市值（万元）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股票技术因子（量化因子）stk_factor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95"/>
        <w:gridCol w:w="1114"/>
        <w:gridCol w:w="1544"/>
        <w:gridCol w:w="4515"/>
      </w:tblGrid>
      <w:tr>
        <w:trPr>
          <w:tblHeader/>
        </w:trPr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shd w:val="clear" w:color="auto" w:fill="auto"/>
        </w:tblPrEx>
        <w:trPr>
          <w:trHeight w:val="90" w:hRule="atLeast"/>
        </w:trPr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收盘价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开盘价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最高价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最低价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昨收价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涨跌额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pct_change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涨跌幅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成交量 （手）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成交额 （千元）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adj_factor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复权因子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开盘价后复权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开盘价前复权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收盘价后复权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收盘价前复权</w:t>
            </w:r>
          </w:p>
        </w:tc>
      </w:tr>
      <w:tr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最高价后复权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最高价前复权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最低价后复权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最低价前复权</w:t>
            </w:r>
          </w:p>
        </w:tc>
      </w:tr>
      <w:tr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昨收价后复权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昨收价前复权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macd_dif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MCAD_DIF (基于前复权价格计算，下同)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macd_dea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MCAD_DEA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macd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MCAD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kdj_k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KDJ_K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kdj_d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KDJ_D</w:t>
            </w:r>
          </w:p>
        </w:tc>
      </w:tr>
      <w:tr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kdj_j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KDJ_J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rsi_6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RSI_6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rsi_12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RSI_12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rsi_24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RSI_24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boll_upper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BOLL_UPPER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boll_mid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BOLL_MID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boll_lower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BOLL_LOWER</w:t>
            </w:r>
          </w:p>
        </w:tc>
      </w:tr>
      <w:tr>
        <w:tblPrEx>
          <w:shd w:val="clear" w:color="auto" w:fill="auto"/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cci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CCI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周线行情weekly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0"/>
        <w:gridCol w:w="984"/>
        <w:gridCol w:w="1344"/>
        <w:gridCol w:w="530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上一周收盘价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周涨跌额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pct_chg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周涨跌幅 （未复权，如果是复权请用 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fldChar w:fldCharType="begin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instrText xml:space="preserve"> HYPERLINK "https://tushare.pro/document/2?doc_id=109" </w:instrTex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fldChar w:fldCharType="separate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通用行情接口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fldChar w:fldCharType="end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 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周成交量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周成交额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月线行情monthly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0"/>
        <w:gridCol w:w="984"/>
        <w:gridCol w:w="1372"/>
        <w:gridCol w:w="5272"/>
      </w:tblGrid>
      <w:tr>
        <w:trPr>
          <w:tblHeader/>
        </w:trPr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月收盘价</w:t>
            </w:r>
          </w:p>
        </w:tc>
      </w:tr>
      <w:tr>
        <w:tblPrEx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月开盘价</w:t>
            </w:r>
          </w:p>
        </w:tc>
      </w:tr>
      <w:tr>
        <w:tblPrEx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月最低价</w:t>
            </w:r>
          </w:p>
        </w:tc>
      </w:tr>
      <w:tr>
        <w:tblPrEx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上月收盘价</w:t>
            </w:r>
          </w:p>
        </w:tc>
      </w:tr>
      <w:tr>
        <w:tblPrEx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月涨跌额</w:t>
            </w:r>
          </w:p>
        </w:tc>
      </w:tr>
      <w:tr>
        <w:tblPrEx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pct_chg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月涨跌幅 （未复权，如果是复权请用 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instrText xml:space="preserve"> HYPERLINK "https://tushare.pro/document/2?doc_id=109" </w:instrTex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separate"/>
            </w:r>
            <w:r>
              <w:rPr>
                <w:rStyle w:val="13"/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sz w:val="30"/>
                <w:szCs w:val="30"/>
                <w:u w:val="none"/>
              </w:rPr>
              <w:t>通用行情接口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end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 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月成交量</w:t>
            </w:r>
          </w:p>
        </w:tc>
      </w:tr>
      <w:tr>
        <w:tblPrEx>
          <w:shd w:val="clear" w:color="auto" w:fill="auto"/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月成交额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指数日线行情index_daily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35"/>
        <w:gridCol w:w="2138"/>
        <w:gridCol w:w="409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TS指数代码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昨日收盘点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pct_chg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涨跌幅（%）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成交量（手）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成交额（千元）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大盘指数每日指标index_dailybasic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31"/>
        <w:gridCol w:w="1358"/>
        <w:gridCol w:w="1855"/>
        <w:gridCol w:w="372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TS代码</w:t>
            </w:r>
          </w:p>
        </w:tc>
      </w:tr>
      <w:tr>
        <w:tblPrEx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total_mv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当日总市值（元）</w:t>
            </w:r>
          </w:p>
        </w:tc>
      </w:tr>
      <w:tr>
        <w:tblPrEx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float_mv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当日流通市值（元）</w:t>
            </w:r>
          </w:p>
        </w:tc>
      </w:tr>
      <w:tr>
        <w:tblPrEx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total_share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当日总股本（股）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float_share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当日流通股本（股）</w:t>
            </w:r>
          </w:p>
        </w:tc>
      </w:tr>
      <w:tr>
        <w:tblPrEx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free_share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当日自由流通股本（股）</w:t>
            </w:r>
          </w:p>
        </w:tc>
      </w:tr>
      <w:tr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</w:t>
            </w:r>
          </w:p>
        </w:tc>
      </w:tr>
      <w:tr>
        <w:tblPrEx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turnover_rate_f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换手率(基于自由流通股本)</w:t>
            </w:r>
          </w:p>
        </w:tc>
      </w:tr>
      <w:tr>
        <w:tblPrEx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</w:t>
            </w:r>
          </w:p>
        </w:tc>
      </w:tr>
      <w:tr>
        <w:tblPrEx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pe_ttm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市盈率TTM</w:t>
            </w:r>
          </w:p>
        </w:tc>
      </w:tr>
      <w:tr>
        <w:tblPrEx>
          <w:shd w:val="clear" w:color="auto" w:fill="auto"/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pb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市净率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申万行业分类index_classify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96"/>
        <w:gridCol w:w="1137"/>
        <w:gridCol w:w="1821"/>
        <w:gridCol w:w="381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index_code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industry_name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parent_code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父级代码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level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Hans" w:bidi="ar"/>
              </w:rPr>
            </w:pPr>
            <w:r>
              <w:rPr>
                <w:rFonts w:hint="eastAsia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Hans" w:bidi="ar"/>
              </w:rPr>
              <w:t>水平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industry_code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is_pub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是否发布了指数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src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行业分类（SW申万）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申万行业成分构成index_member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7"/>
        <w:gridCol w:w="1538"/>
        <w:gridCol w:w="2101"/>
        <w:gridCol w:w="3332"/>
      </w:tblGrid>
      <w:tr>
        <w:trPr>
          <w:tblHeader/>
        </w:trPr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index_code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指数代码</w:t>
            </w:r>
          </w:p>
        </w:tc>
      </w:tr>
      <w:tr>
        <w:tblPrEx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index_name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指数名称</w:t>
            </w:r>
          </w:p>
        </w:tc>
      </w:tr>
      <w:tr>
        <w:tblPrEx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con_code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成分股票代码</w:t>
            </w:r>
          </w:p>
        </w:tc>
      </w:tr>
      <w:tr>
        <w:tblPrEx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con_name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成分股票名称</w:t>
            </w:r>
          </w:p>
        </w:tc>
      </w:tr>
      <w:tr>
        <w:tblPrEx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in_date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纳入日期</w:t>
            </w:r>
          </w:p>
        </w:tc>
      </w:tr>
      <w:tr>
        <w:tblPrEx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out_date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剔除日期</w:t>
            </w:r>
          </w:p>
        </w:tc>
      </w:tr>
      <w:tr>
        <w:tblPrEx>
          <w:shd w:val="clear" w:color="auto" w:fill="auto"/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is_new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是否最新Y是N否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firstLine="0" w:firstLineChars="0"/>
        <w:jc w:val="left"/>
        <w:textAlignment w:val="auto"/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外汇基础信息（海外）fx_obasic</w:t>
      </w:r>
    </w:p>
    <w:p>
      <w:pPr>
        <w:pStyle w:val="8"/>
        <w:keepNext w:val="0"/>
        <w:keepLines w:val="0"/>
        <w:widowControl/>
        <w:suppressLineNumbers w:val="0"/>
        <w:spacing w:before="0" w:beforeAutospacing="0" w:after="200" w:afterAutospacing="0" w:line="357" w:lineRule="atLeast"/>
        <w:ind w:left="0" w:right="0" w:firstLine="0"/>
        <w:rPr>
          <w:rFonts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23"/>
          <w:szCs w:val="23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23"/>
          <w:szCs w:val="23"/>
        </w:rPr>
        <w:t>classify分类说明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88"/>
        <w:gridCol w:w="2097"/>
        <w:gridCol w:w="2059"/>
        <w:gridCol w:w="412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序号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分类代码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分类名称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样例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FX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外汇货币对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USDCNH（美元人民币对）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INDEX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指数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US30（美国道琼斯工业平均指数）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COMMODITY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大宗商品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SOYF（大豆）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METAL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金属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XAUUSD （黄金）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BUND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国库债券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Bund（长期欧元债券）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CRYPTO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加密数字货币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BTCUSD (比特币)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FX_BASKET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外汇篮子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USDOLLAR （美元指数）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240" w:afterAutospacing="0" w:line="240" w:lineRule="auto"/>
        <w:ind w:firstLine="0" w:firstLineChars="0"/>
        <w:jc w:val="left"/>
        <w:textAlignment w:val="auto"/>
        <w:rPr>
          <w:rFonts w:hint="eastAsia" w:ascii="宋体" w:hAnsi="宋体" w:eastAsia="宋体" w:cs="宋体"/>
          <w:sz w:val="28"/>
          <w:szCs w:val="28"/>
        </w:rPr>
      </w:pPr>
    </w:p>
    <w:p>
      <w:pPr>
        <w:pStyle w:val="8"/>
        <w:keepNext w:val="0"/>
        <w:keepLines w:val="0"/>
        <w:widowControl/>
        <w:suppressLineNumbers w:val="0"/>
        <w:spacing w:before="0" w:beforeAutospacing="0" w:after="200" w:afterAutospacing="0" w:line="357" w:lineRule="atLeast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23"/>
          <w:szCs w:val="23"/>
        </w:rPr>
      </w:pPr>
      <w:r>
        <w:rPr>
          <w:rStyle w:val="12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A0A0A"/>
          <w:spacing w:val="0"/>
          <w:sz w:val="23"/>
          <w:szCs w:val="23"/>
        </w:rPr>
        <w:t>输出参数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38"/>
        <w:gridCol w:w="1351"/>
        <w:gridCol w:w="1847"/>
        <w:gridCol w:w="333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外汇代码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name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classify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分类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exchange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min_unit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最小交易单位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max_unit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最大交易单位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pip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pip_cost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点值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traget_spread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目标差价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min_stop_distance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最小止损距离（点子）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trading_hours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交易时间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break_time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休市时间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外汇日线行情fx_daily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47"/>
        <w:gridCol w:w="1493"/>
        <w:gridCol w:w="2389"/>
        <w:gridCol w:w="283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外汇代码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bid_open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bid_close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bid_high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bid_low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ask_open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ask_close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ask_high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ask_low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tick_qty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报价笔数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exchange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交易商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default"/>
        </w:rPr>
        <w:t>动能因子</w:t>
      </w:r>
      <w:r>
        <w:rPr>
          <w:lang w:val="en-US" w:eastAsia="zh-CN"/>
        </w:rPr>
        <w:t>stock_mx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13"/>
        <w:gridCol w:w="1385"/>
        <w:gridCol w:w="1340"/>
        <w:gridCol w:w="423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mx_grade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int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动能评级，综合动能指标后分成4个评等，1(高)、2(中)、3(低)、4(弱)。高：周、月、季、半年趋势方向一致，整体看多；中：周、月、季、半年趋势方向不一致，但整体偏多；低：周、月、季、半年趋势方向不一致，但整体偏多；弱：周、月、季、半年趋势方向一致，整体看空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com_stock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行业轮动指标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evd_v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速度指标，衡量该个股股价变化的速度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zt_sum_z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极值，短期均线离差值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wma250_z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偏离指标，中期均线偏离度指标</w:t>
            </w:r>
          </w:p>
        </w:tc>
      </w:tr>
    </w:tbl>
    <w:p>
      <w:pPr>
        <w:ind w:left="0" w:leftChars="0" w:firstLine="0" w:firstLineChars="0"/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估值因子</w:t>
      </w:r>
      <w:r>
        <w:rPr>
          <w:lang w:val="en-US" w:eastAsia="zh-CN"/>
        </w:rPr>
        <w:t>stock_vx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72"/>
        <w:gridCol w:w="745"/>
        <w:gridCol w:w="700"/>
        <w:gridCol w:w="4851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level1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4评级：1(便宜)、2(合理)、3(贵)、4(很贵)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level2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8评级：1,2(便宜)、3,4(合理)、5,6(贵)、7,8(很贵)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vx_life_v_l4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估值长优4条线，根据level1的评级，公司上市后每一天的估值评级平均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vx_3excellent_v_l4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估值3优4条线，根据level1的评级，最新季度的估值评级、近5季度的估值评级平均、上市后的估值评级平均，短中长的估值评级再取一次平均形成三优指标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vx_past_5q_avg_l4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估值4条线近5季平均，根据level1的评级，最近五季度估值评级平均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vx_grow_worse_v_l4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估值进退步-估值4条线,根据level1的评级，最新的估值评级与最近5Q平均的比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vx_life_v_l8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估值长优8条线,根据level2的评级，公司上市后每一季度的估值评级平均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vx_3excellent_v_l8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估值3优8条线,根据level2的评级，最新季度的估值评级、近5季度的估值评级平均、上市后的估值评级平均，短中长的估值评级再取一次平均形成三优指标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vx_past_5q_avg_l8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估值8条线近5季平均,根据level2的评级，最近五季度估值评级平均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vx_grow_worse_v_l8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估值进退步-估值8条线,根据level2的评级，最新的估值评级与最近5Q平均的比较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vxx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个股最新估值与亚洲同类股票相较后的标准差，按因子排序，数值越大代表估值越贵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vs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个股最新估值与亚洲同类股票自己相较后的标准差，按因子排序，数值越大代表估值越贵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vz11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个股最新估值与亚洲同类股票主行业相较后的标准差，按因子排序，数值越大代表估值越贵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vz24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个股最新估值与亚洲同类股票次行业相较后的标准差，按因子排序，数值越大代表估值越贵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vz_lms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个股最新估值与亚洲同类股票市值分类相较后的标准差，按因子排序，数值越大代表估值越贵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firstLine="0" w:firstLineChars="0"/>
        <w:jc w:val="left"/>
        <w:textAlignment w:val="auto"/>
        <w:rPr>
          <w:rFonts w:hint="eastAsia" w:ascii="Helvetica Neue" w:hAnsi="Helvetica Neue" w:eastAsia="Helvetica Neue" w:cs="Helvetica Neue"/>
          <w:i w:val="0"/>
          <w:iCs w:val="0"/>
          <w:caps w:val="0"/>
          <w:color w:val="0A0A0A"/>
          <w:spacing w:val="0"/>
          <w:kern w:val="0"/>
          <w:sz w:val="30"/>
          <w:szCs w:val="30"/>
          <w:lang w:val="en-US" w:eastAsia="zh-CN" w:bidi="ar"/>
        </w:rPr>
      </w:pPr>
    </w:p>
    <w:sectPr>
      <w:footerReference r:id="rId5" w:type="default"/>
      <w:pgSz w:w="11906" w:h="16838"/>
      <w:pgMar w:top="1701" w:right="1417" w:bottom="1701" w:left="141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640"/>
      </w:pPr>
      <w:r>
        <w:separator/>
      </w:r>
    </w:p>
  </w:endnote>
  <w:endnote w:type="continuationSeparator" w:id="1">
    <w:p>
      <w:pPr>
        <w:spacing w:line="240" w:lineRule="auto"/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0000" w:usb1="00000000" w:usb2="00000000" w:usb3="00000000" w:csb0="00000000" w:csb1="00000000"/>
  </w:font>
  <w:font w:name="宋体">
    <w:altName w:val="汉仪书宋二KW"/>
    <w:panose1 w:val="02010600030101010101"/>
    <w:charset w:val="7A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仿宋_GB2312">
    <w:altName w:val="方正仿宋_GBK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00000000" w:usb1="00000000" w:usb2="00000000" w:usb3="00000000" w:csb0="0016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楷体_GB2312">
    <w:altName w:val="汉仪楷体简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汉仪楷体简">
    <w:panose1 w:val="02010600000101010101"/>
    <w:charset w:val="86"/>
    <w:family w:val="auto"/>
    <w:pitch w:val="default"/>
    <w:sig w:usb0="00000000" w:usb1="00000000" w:usb2="00000000" w:usb3="00000000" w:csb0="00060000" w:csb1="00000000"/>
  </w:font>
  <w:font w:name="方正小标宋简体">
    <w:altName w:val="汉仪书宋二KW"/>
    <w:panose1 w:val="02010601030101010101"/>
    <w:charset w:val="86"/>
    <w:family w:val="auto"/>
    <w:pitch w:val="default"/>
    <w:sig w:usb0="00000000" w:usb1="00000000" w:usb2="00000000" w:usb3="00000000" w:csb0="0004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PingFang SC">
    <w:panose1 w:val="020B0400000000000000"/>
    <w:charset w:val="86"/>
    <w:family w:val="auto"/>
    <w:pitch w:val="default"/>
    <w:sig w:usb0="00000000" w:usb1="00000000" w:usb2="00000000" w:usb3="00000000" w:csb0="00160000" w:csb1="00000000"/>
  </w:font>
  <w:font w:name="Tahoma">
    <w:panose1 w:val="020B0604030504040204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6"/>
                            <w:rPr>
                              <w:rFonts w:hint="eastAsia" w:eastAsia="仿宋_GB2312"/>
                              <w:lang w:eastAsia="zh-CN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FgAAAGRycy9QSwECFAAUAAAACACHTuJAs0lY7tAAAAAFAQAADwAAAAAAAAABACAAAAA4AAAA&#10;ZHJzL2Rvd25yZXYueG1sUEsBAhQAFAAAAAgAh07iQOGA044yAgAAYQQAAA4AAAAAAAAAAQAgAAAA&#10;NQEAAGRycy9lMm9Eb2MueG1sUEsFBgAAAAAGAAYAWQEAANk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6"/>
                      <w:rPr>
                        <w:rFonts w:hint="eastAsia" w:eastAsia="仿宋_GB2312"/>
                        <w:lang w:eastAsia="zh-CN"/>
                      </w:rPr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640"/>
      </w:pPr>
      <w:r>
        <w:separator/>
      </w:r>
    </w:p>
  </w:footnote>
  <w:footnote w:type="continuationSeparator" w:id="1">
    <w:p>
      <w:pPr>
        <w:spacing w:line="240" w:lineRule="auto"/>
        <w:ind w:firstLine="64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CB1C65"/>
    <w:multiLevelType w:val="singleLevel"/>
    <w:tmpl w:val="FDCB1C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WUwODgzMmFlMzY4MDBjNDk2YjQ1Y2NmNmQ2OTY4NDYifQ=="/>
  </w:docVars>
  <w:rsids>
    <w:rsidRoot w:val="607855CE"/>
    <w:rsid w:val="00081468"/>
    <w:rsid w:val="003C6BA0"/>
    <w:rsid w:val="00BC50B2"/>
    <w:rsid w:val="03820943"/>
    <w:rsid w:val="03877ACC"/>
    <w:rsid w:val="03D46D7D"/>
    <w:rsid w:val="063D23ED"/>
    <w:rsid w:val="0BE506B1"/>
    <w:rsid w:val="0F916077"/>
    <w:rsid w:val="10051A3C"/>
    <w:rsid w:val="12DF5DE4"/>
    <w:rsid w:val="13C55D71"/>
    <w:rsid w:val="14082D7D"/>
    <w:rsid w:val="14494F16"/>
    <w:rsid w:val="14C15DA2"/>
    <w:rsid w:val="14FC427E"/>
    <w:rsid w:val="158922A3"/>
    <w:rsid w:val="16F47261"/>
    <w:rsid w:val="16FF1727"/>
    <w:rsid w:val="190D3092"/>
    <w:rsid w:val="19EA1CE2"/>
    <w:rsid w:val="1BC8645A"/>
    <w:rsid w:val="1D1D4799"/>
    <w:rsid w:val="1F3C4F42"/>
    <w:rsid w:val="20192266"/>
    <w:rsid w:val="22686F63"/>
    <w:rsid w:val="25016B98"/>
    <w:rsid w:val="25161570"/>
    <w:rsid w:val="260D347F"/>
    <w:rsid w:val="2610002F"/>
    <w:rsid w:val="2A630FBD"/>
    <w:rsid w:val="2B523C33"/>
    <w:rsid w:val="2D123E6F"/>
    <w:rsid w:val="2D507612"/>
    <w:rsid w:val="2D577EDE"/>
    <w:rsid w:val="2F425836"/>
    <w:rsid w:val="2F4429EA"/>
    <w:rsid w:val="2FAFEF6A"/>
    <w:rsid w:val="30C8075D"/>
    <w:rsid w:val="330C2896"/>
    <w:rsid w:val="33587D6C"/>
    <w:rsid w:val="358A299E"/>
    <w:rsid w:val="3634109A"/>
    <w:rsid w:val="36E26C9C"/>
    <w:rsid w:val="36F5246A"/>
    <w:rsid w:val="37FF500B"/>
    <w:rsid w:val="38F9656D"/>
    <w:rsid w:val="3B333088"/>
    <w:rsid w:val="3BEBBC7B"/>
    <w:rsid w:val="3C2C3AD4"/>
    <w:rsid w:val="3C775297"/>
    <w:rsid w:val="3CDA146F"/>
    <w:rsid w:val="3D6535E0"/>
    <w:rsid w:val="3DCD17B6"/>
    <w:rsid w:val="3F7A65EC"/>
    <w:rsid w:val="3FFF133D"/>
    <w:rsid w:val="401B5D1D"/>
    <w:rsid w:val="421206BC"/>
    <w:rsid w:val="4669079E"/>
    <w:rsid w:val="46BA259D"/>
    <w:rsid w:val="46E24BA6"/>
    <w:rsid w:val="47D12A6C"/>
    <w:rsid w:val="485E0BE5"/>
    <w:rsid w:val="49A763B6"/>
    <w:rsid w:val="49E531B8"/>
    <w:rsid w:val="4A4524CE"/>
    <w:rsid w:val="4A581F0A"/>
    <w:rsid w:val="4AA03506"/>
    <w:rsid w:val="4AF87628"/>
    <w:rsid w:val="4E5A76A5"/>
    <w:rsid w:val="507A026B"/>
    <w:rsid w:val="50C74519"/>
    <w:rsid w:val="525F7118"/>
    <w:rsid w:val="52D2220D"/>
    <w:rsid w:val="53433633"/>
    <w:rsid w:val="53CD1DCD"/>
    <w:rsid w:val="53D91349"/>
    <w:rsid w:val="53F60426"/>
    <w:rsid w:val="551117F8"/>
    <w:rsid w:val="55646A7C"/>
    <w:rsid w:val="56CF4CE1"/>
    <w:rsid w:val="57B37CD6"/>
    <w:rsid w:val="57BEF6E5"/>
    <w:rsid w:val="57FE24E5"/>
    <w:rsid w:val="591E35E2"/>
    <w:rsid w:val="59D36638"/>
    <w:rsid w:val="5B7B6714"/>
    <w:rsid w:val="5CFBC069"/>
    <w:rsid w:val="5E77DCD4"/>
    <w:rsid w:val="5EBE72FD"/>
    <w:rsid w:val="5EFB73C2"/>
    <w:rsid w:val="5F077A55"/>
    <w:rsid w:val="5F1DABE1"/>
    <w:rsid w:val="5F3A3803"/>
    <w:rsid w:val="5F431CE9"/>
    <w:rsid w:val="5F723FF1"/>
    <w:rsid w:val="5F736F0B"/>
    <w:rsid w:val="5FEF75AE"/>
    <w:rsid w:val="607855CE"/>
    <w:rsid w:val="65684B6E"/>
    <w:rsid w:val="68B54E7F"/>
    <w:rsid w:val="692549F1"/>
    <w:rsid w:val="6A3110C3"/>
    <w:rsid w:val="6A422F48"/>
    <w:rsid w:val="6ADB59D5"/>
    <w:rsid w:val="6AE55606"/>
    <w:rsid w:val="6C146095"/>
    <w:rsid w:val="6C9E4AD9"/>
    <w:rsid w:val="6CF1A152"/>
    <w:rsid w:val="6EF862BD"/>
    <w:rsid w:val="6F53EC95"/>
    <w:rsid w:val="6FA912C3"/>
    <w:rsid w:val="6FC9D38E"/>
    <w:rsid w:val="7145451C"/>
    <w:rsid w:val="72066ECE"/>
    <w:rsid w:val="733E266E"/>
    <w:rsid w:val="73BC74F7"/>
    <w:rsid w:val="73E91C06"/>
    <w:rsid w:val="74DF614A"/>
    <w:rsid w:val="75376BA5"/>
    <w:rsid w:val="76C753B7"/>
    <w:rsid w:val="772E78B8"/>
    <w:rsid w:val="79400D27"/>
    <w:rsid w:val="7972629D"/>
    <w:rsid w:val="7A0C38D1"/>
    <w:rsid w:val="7AE51F18"/>
    <w:rsid w:val="7B7F9DEA"/>
    <w:rsid w:val="7D7D16B3"/>
    <w:rsid w:val="7E3FE401"/>
    <w:rsid w:val="7E444478"/>
    <w:rsid w:val="7E4D576B"/>
    <w:rsid w:val="7EE1CD77"/>
    <w:rsid w:val="7EED132A"/>
    <w:rsid w:val="7F1F76DB"/>
    <w:rsid w:val="7F7F8FE8"/>
    <w:rsid w:val="7F977CF3"/>
    <w:rsid w:val="7FAD5E49"/>
    <w:rsid w:val="7FCF1863"/>
    <w:rsid w:val="7FDC4D78"/>
    <w:rsid w:val="7FDFC172"/>
    <w:rsid w:val="7FEF3F51"/>
    <w:rsid w:val="7FF598EA"/>
    <w:rsid w:val="7FFF65EF"/>
    <w:rsid w:val="91D4EC9E"/>
    <w:rsid w:val="97178555"/>
    <w:rsid w:val="A3FDF560"/>
    <w:rsid w:val="AADF6966"/>
    <w:rsid w:val="AFFAB5A6"/>
    <w:rsid w:val="BADF18E2"/>
    <w:rsid w:val="BB7F3285"/>
    <w:rsid w:val="BDF6D346"/>
    <w:rsid w:val="BEDF0E1D"/>
    <w:rsid w:val="BEF88937"/>
    <w:rsid w:val="D53DD632"/>
    <w:rsid w:val="D7FE10C4"/>
    <w:rsid w:val="D7FFB864"/>
    <w:rsid w:val="D9BF4E06"/>
    <w:rsid w:val="DAA59A05"/>
    <w:rsid w:val="DEBFD678"/>
    <w:rsid w:val="DEDF5978"/>
    <w:rsid w:val="E7E569D8"/>
    <w:rsid w:val="EEEBA906"/>
    <w:rsid w:val="EEFFC12B"/>
    <w:rsid w:val="EF7B949D"/>
    <w:rsid w:val="EFCCDBC9"/>
    <w:rsid w:val="EFEAACC5"/>
    <w:rsid w:val="F3BFC8D6"/>
    <w:rsid w:val="F4EB633F"/>
    <w:rsid w:val="F6786030"/>
    <w:rsid w:val="F7579646"/>
    <w:rsid w:val="F77E28FC"/>
    <w:rsid w:val="F7B76856"/>
    <w:rsid w:val="F9CCBFD2"/>
    <w:rsid w:val="F9EF952C"/>
    <w:rsid w:val="FBE7AB5D"/>
    <w:rsid w:val="FBF72B65"/>
    <w:rsid w:val="FD77BC6E"/>
    <w:rsid w:val="FDFFFB0C"/>
    <w:rsid w:val="FE7F8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line="560" w:lineRule="exact"/>
      <w:ind w:firstLine="880" w:firstLineChars="200"/>
      <w:jc w:val="both"/>
    </w:pPr>
    <w:rPr>
      <w:rFonts w:ascii="仿宋_GB2312" w:hAnsi="Calibri" w:eastAsia="仿宋_GB2312" w:cs="Times New Roman"/>
      <w:kern w:val="2"/>
      <w:sz w:val="3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jc w:val="left"/>
      <w:outlineLvl w:val="0"/>
    </w:pPr>
    <w:rPr>
      <w:rFonts w:hint="eastAsia" w:ascii="黑体" w:hAnsi="宋体" w:eastAsia="黑体"/>
      <w:kern w:val="44"/>
      <w:szCs w:val="48"/>
    </w:rPr>
  </w:style>
  <w:style w:type="paragraph" w:styleId="3">
    <w:name w:val="heading 2"/>
    <w:basedOn w:val="1"/>
    <w:next w:val="1"/>
    <w:link w:val="15"/>
    <w:unhideWhenUsed/>
    <w:qFormat/>
    <w:uiPriority w:val="0"/>
    <w:pPr>
      <w:jc w:val="left"/>
      <w:outlineLvl w:val="1"/>
    </w:pPr>
    <w:rPr>
      <w:rFonts w:hint="eastAsia" w:ascii="楷体_GB2312" w:hAnsi="宋体" w:eastAsia="楷体_GB2312"/>
      <w:b/>
      <w:kern w:val="0"/>
      <w:szCs w:val="36"/>
    </w:rPr>
  </w:style>
  <w:style w:type="paragraph" w:styleId="4">
    <w:name w:val="heading 3"/>
    <w:basedOn w:val="1"/>
    <w:next w:val="1"/>
    <w:link w:val="14"/>
    <w:unhideWhenUsed/>
    <w:qFormat/>
    <w:uiPriority w:val="0"/>
    <w:pPr>
      <w:keepNext/>
      <w:keepLines/>
      <w:ind w:firstLine="200"/>
      <w:outlineLvl w:val="2"/>
    </w:pPr>
    <w:rPr>
      <w:rFonts w:hAnsi="仿宋_GB2312" w:cs="宋体"/>
      <w:b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ind w:firstLine="200"/>
      <w:outlineLvl w:val="3"/>
    </w:pPr>
    <w:rPr>
      <w:rFonts w:hAnsi="仿宋_GB2312" w:cs="宋体"/>
      <w:b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9">
    <w:name w:val="Title"/>
    <w:basedOn w:val="1"/>
    <w:qFormat/>
    <w:uiPriority w:val="0"/>
    <w:pPr>
      <w:ind w:firstLine="0" w:firstLineChars="0"/>
      <w:jc w:val="center"/>
      <w:outlineLvl w:val="0"/>
    </w:pPr>
    <w:rPr>
      <w:rFonts w:ascii="方正小标宋简体" w:hAnsi="Arial" w:eastAsia="方正小标宋简体"/>
      <w:sz w:val="44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basedOn w:val="11"/>
    <w:qFormat/>
    <w:uiPriority w:val="0"/>
    <w:rPr>
      <w:color w:val="0000FF"/>
      <w:u w:val="single"/>
    </w:rPr>
  </w:style>
  <w:style w:type="character" w:customStyle="1" w:styleId="14">
    <w:name w:val="标题 3字符"/>
    <w:link w:val="4"/>
    <w:qFormat/>
    <w:uiPriority w:val="0"/>
    <w:rPr>
      <w:rFonts w:ascii="仿宋_GB2312" w:hAnsi="仿宋_GB2312" w:eastAsia="仿宋_GB2312" w:cs="宋体"/>
      <w:b/>
      <w:kern w:val="2"/>
      <w:sz w:val="32"/>
      <w:szCs w:val="22"/>
    </w:rPr>
  </w:style>
  <w:style w:type="character" w:customStyle="1" w:styleId="15">
    <w:name w:val="标题 2字符"/>
    <w:link w:val="3"/>
    <w:qFormat/>
    <w:uiPriority w:val="0"/>
    <w:rPr>
      <w:rFonts w:ascii="楷体_GB2312" w:hAnsi="宋体" w:eastAsia="楷体_GB2312"/>
      <w:b/>
      <w:sz w:val="32"/>
      <w:szCs w:val="36"/>
    </w:rPr>
  </w:style>
  <w:style w:type="paragraph" w:styleId="16">
    <w:name w:val="List Paragraph"/>
    <w:basedOn w:val="1"/>
    <w:qFormat/>
    <w:uiPriority w:val="99"/>
    <w:pPr>
      <w:ind w:firstLine="42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2905</Words>
  <Characters>5537</Characters>
  <Lines>1</Lines>
  <Paragraphs>1</Paragraphs>
  <TotalTime>94</TotalTime>
  <ScaleCrop>false</ScaleCrop>
  <LinksUpToDate>false</LinksUpToDate>
  <CharactersWithSpaces>5568</CharactersWithSpaces>
  <Application>WPS Office_5.1.1.7662_F1E327BC-269C-435d-A152-05C5408002CA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2020-07-08T11:41:00Z</dcterms:created>
  <dc:creator>Administrator</dc:creator>
  <cp:lastModifiedBy>樊俊材</cp:lastModifiedBy>
  <dcterms:modified xsi:type="dcterms:W3CDTF">2023-04-06T21:31:24Z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2052-5.1.1.7662</vt:lpwstr>
  </property>
  <property fmtid="{D5CDD505-2E9C-101B-9397-08002B2CF9AE}" pid="3" name="ICV">
    <vt:lpwstr>31A06B4534DBDECA6F692D647F937061</vt:lpwstr>
  </property>
</Properties>
</file>