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(EDA)</w:t>
        <w:br/>
        <w:t>Agricultural Crop Yield Dataset</w:t>
      </w:r>
    </w:p>
    <w:p>
      <w:pPr>
        <w:jc w:val="center"/>
      </w:pPr>
      <w:r>
        <w:rPr>
          <w:i/>
        </w:rPr>
        <w:t>Detailed statistical, distributional, relationship, trend, and anomaly analysis</w:t>
      </w:r>
    </w:p>
    <w:p>
      <w:pPr>
        <w:pStyle w:val="Heading1"/>
      </w:pPr>
      <w:r>
        <w:t>1. Executive Summary</w:t>
      </w:r>
    </w:p>
    <w:p>
      <w:r>
        <w:t>The dataset contains 1,200 rows and 15 columns. The analysis examines data quality, numerical distributions, categorical composition, correlations, relationships, possible trends, and IQR-based anomalies.</w:t>
      </w:r>
    </w:p>
    <w:p>
      <w:pPr>
        <w:pStyle w:val="Heading1"/>
      </w:pPr>
      <w:r>
        <w:t>2. Dataset Overview and Data Quality</w:t>
      </w:r>
    </w:p>
    <w:p>
      <w:r>
        <w:t>Rows: 1,200</w:t>
        <w:br/>
        <w:t>Columns: 15</w:t>
      </w:r>
    </w:p>
    <w:p>
      <w:r>
        <w:t>Duplicate rows detected: 0</w:t>
      </w:r>
    </w:p>
    <w:p>
      <w:r>
        <w:t>Total missing cells: 0</w:t>
      </w:r>
    </w:p>
    <w:p>
      <w:r>
        <w:t>Finding: No missing values were detected, indicating a complete dataset for the available fields.</w:t>
      </w:r>
    </w:p>
    <w:p>
      <w:pPr>
        <w:pStyle w:val="Heading1"/>
      </w:pPr>
      <w:r>
        <w:t>3. Descriptive Statistics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Variable</w:t>
            </w:r>
          </w:p>
        </w:tc>
        <w:tc>
          <w:tcPr>
            <w:tcW w:type="dxa" w:w="1704"/>
          </w:tcPr>
          <w:p>
            <w:r>
              <w:t>Mean</w:t>
            </w:r>
          </w:p>
        </w:tc>
        <w:tc>
          <w:tcPr>
            <w:tcW w:type="dxa" w:w="1704"/>
          </w:tcPr>
          <w:p>
            <w:r>
              <w:t>Std. Dev.</w:t>
            </w:r>
          </w:p>
        </w:tc>
        <w:tc>
          <w:tcPr>
            <w:tcW w:type="dxa" w:w="1704"/>
          </w:tcPr>
          <w:p>
            <w:r>
              <w:t>Min</w:t>
            </w:r>
          </w:p>
        </w:tc>
        <w:tc>
          <w:tcPr>
            <w:tcW w:type="dxa" w:w="1704"/>
          </w:tcPr>
          <w:p>
            <w:r>
              <w:t>Median</w:t>
            </w:r>
          </w:p>
        </w:tc>
        <w:tc>
          <w:tcPr>
            <w:tcW w:type="dxa" w:w="1704"/>
          </w:tcPr>
          <w:p>
            <w:r>
              <w:t>Max</w:t>
            </w:r>
          </w:p>
        </w:tc>
      </w:tr>
      <w:tr>
        <w:tc>
          <w:tcPr>
            <w:tcW w:type="dxa" w:w="1704"/>
          </w:tcPr>
          <w:p>
            <w:r>
              <w:t>Crop_Year</w:t>
            </w:r>
          </w:p>
        </w:tc>
        <w:tc>
          <w:tcPr>
            <w:tcW w:type="dxa" w:w="1704"/>
          </w:tcPr>
          <w:p>
            <w:r>
              <w:t>2008.535</w:t>
            </w:r>
          </w:p>
        </w:tc>
        <w:tc>
          <w:tcPr>
            <w:tcW w:type="dxa" w:w="1704"/>
          </w:tcPr>
          <w:p>
            <w:r>
              <w:t>7.107</w:t>
            </w:r>
          </w:p>
        </w:tc>
        <w:tc>
          <w:tcPr>
            <w:tcW w:type="dxa" w:w="1704"/>
          </w:tcPr>
          <w:p>
            <w:r>
              <w:t>1997.000</w:t>
            </w:r>
          </w:p>
        </w:tc>
        <w:tc>
          <w:tcPr>
            <w:tcW w:type="dxa" w:w="1704"/>
          </w:tcPr>
          <w:p>
            <w:r>
              <w:t>2009.000</w:t>
            </w:r>
          </w:p>
        </w:tc>
        <w:tc>
          <w:tcPr>
            <w:tcW w:type="dxa" w:w="1704"/>
          </w:tcPr>
          <w:p>
            <w:r>
              <w:t>2020.000</w:t>
            </w:r>
          </w:p>
        </w:tc>
      </w:tr>
      <w:tr>
        <w:tc>
          <w:tcPr>
            <w:tcW w:type="dxa" w:w="1704"/>
          </w:tcPr>
          <w:p>
            <w:r>
              <w:t>Area</w:t>
            </w:r>
          </w:p>
        </w:tc>
        <w:tc>
          <w:tcPr>
            <w:tcW w:type="dxa" w:w="1704"/>
          </w:tcPr>
          <w:p>
            <w:r>
              <w:t>12965.547</w:t>
            </w:r>
          </w:p>
        </w:tc>
        <w:tc>
          <w:tcPr>
            <w:tcW w:type="dxa" w:w="1704"/>
          </w:tcPr>
          <w:p>
            <w:r>
              <w:t>12561.410</w:t>
            </w:r>
          </w:p>
        </w:tc>
        <w:tc>
          <w:tcPr>
            <w:tcW w:type="dxa" w:w="1704"/>
          </w:tcPr>
          <w:p>
            <w:r>
              <w:t>205.310</w:t>
            </w:r>
          </w:p>
        </w:tc>
        <w:tc>
          <w:tcPr>
            <w:tcW w:type="dxa" w:w="1704"/>
          </w:tcPr>
          <w:p>
            <w:r>
              <w:t>7874.165</w:t>
            </w:r>
          </w:p>
        </w:tc>
        <w:tc>
          <w:tcPr>
            <w:tcW w:type="dxa" w:w="1704"/>
          </w:tcPr>
          <w:p>
            <w:r>
              <w:t>40465.656</w:t>
            </w:r>
          </w:p>
        </w:tc>
      </w:tr>
      <w:tr>
        <w:tc>
          <w:tcPr>
            <w:tcW w:type="dxa" w:w="1704"/>
          </w:tcPr>
          <w:p>
            <w:r>
              <w:t>Production</w:t>
            </w:r>
          </w:p>
        </w:tc>
        <w:tc>
          <w:tcPr>
            <w:tcW w:type="dxa" w:w="1704"/>
          </w:tcPr>
          <w:p>
            <w:r>
              <w:t>43357.234</w:t>
            </w:r>
          </w:p>
        </w:tc>
        <w:tc>
          <w:tcPr>
            <w:tcW w:type="dxa" w:w="1704"/>
          </w:tcPr>
          <w:p>
            <w:r>
              <w:t>50066.182</w:t>
            </w:r>
          </w:p>
        </w:tc>
        <w:tc>
          <w:tcPr>
            <w:tcW w:type="dxa" w:w="1704"/>
          </w:tcPr>
          <w:p>
            <w:r>
              <w:t>338.454</w:t>
            </w:r>
          </w:p>
        </w:tc>
        <w:tc>
          <w:tcPr>
            <w:tcW w:type="dxa" w:w="1704"/>
          </w:tcPr>
          <w:p>
            <w:r>
              <w:t>18659.791</w:t>
            </w:r>
          </w:p>
        </w:tc>
        <w:tc>
          <w:tcPr>
            <w:tcW w:type="dxa" w:w="1704"/>
          </w:tcPr>
          <w:p>
            <w:r>
              <w:t>145774.840</w:t>
            </w:r>
          </w:p>
        </w:tc>
      </w:tr>
      <w:tr>
        <w:tc>
          <w:tcPr>
            <w:tcW w:type="dxa" w:w="1704"/>
          </w:tcPr>
          <w:p>
            <w:r>
              <w:t>Annual_Rainfall</w:t>
            </w:r>
          </w:p>
        </w:tc>
        <w:tc>
          <w:tcPr>
            <w:tcW w:type="dxa" w:w="1704"/>
          </w:tcPr>
          <w:p>
            <w:r>
              <w:t>1057.557</w:t>
            </w:r>
          </w:p>
        </w:tc>
        <w:tc>
          <w:tcPr>
            <w:tcW w:type="dxa" w:w="1704"/>
          </w:tcPr>
          <w:p>
            <w:r>
              <w:t>429.636</w:t>
            </w:r>
          </w:p>
        </w:tc>
        <w:tc>
          <w:tcPr>
            <w:tcW w:type="dxa" w:w="1704"/>
          </w:tcPr>
          <w:p>
            <w:r>
              <w:t>300.000</w:t>
            </w:r>
          </w:p>
        </w:tc>
        <w:tc>
          <w:tcPr>
            <w:tcW w:type="dxa" w:w="1704"/>
          </w:tcPr>
          <w:p>
            <w:r>
              <w:t>1065.700</w:t>
            </w:r>
          </w:p>
        </w:tc>
        <w:tc>
          <w:tcPr>
            <w:tcW w:type="dxa" w:w="1704"/>
          </w:tcPr>
          <w:p>
            <w:r>
              <w:t>2310.325</w:t>
            </w:r>
          </w:p>
        </w:tc>
      </w:tr>
      <w:tr>
        <w:tc>
          <w:tcPr>
            <w:tcW w:type="dxa" w:w="1704"/>
          </w:tcPr>
          <w:p>
            <w:r>
              <w:t>Fertilizer</w:t>
            </w:r>
          </w:p>
        </w:tc>
        <w:tc>
          <w:tcPr>
            <w:tcW w:type="dxa" w:w="1704"/>
          </w:tcPr>
          <w:p>
            <w:r>
              <w:t>1474069.585</w:t>
            </w:r>
          </w:p>
        </w:tc>
        <w:tc>
          <w:tcPr>
            <w:tcW w:type="dxa" w:w="1704"/>
          </w:tcPr>
          <w:p>
            <w:r>
              <w:t>1477408.418</w:t>
            </w:r>
          </w:p>
        </w:tc>
        <w:tc>
          <w:tcPr>
            <w:tcW w:type="dxa" w:w="1704"/>
          </w:tcPr>
          <w:p>
            <w:r>
              <w:t>10775.714</w:t>
            </w:r>
          </w:p>
        </w:tc>
        <w:tc>
          <w:tcPr>
            <w:tcW w:type="dxa" w:w="1704"/>
          </w:tcPr>
          <w:p>
            <w:r>
              <w:t>847650.781</w:t>
            </w:r>
          </w:p>
        </w:tc>
        <w:tc>
          <w:tcPr>
            <w:tcW w:type="dxa" w:w="1704"/>
          </w:tcPr>
          <w:p>
            <w:r>
              <w:t>4678838.037</w:t>
            </w:r>
          </w:p>
        </w:tc>
      </w:tr>
      <w:tr>
        <w:tc>
          <w:tcPr>
            <w:tcW w:type="dxa" w:w="1704"/>
          </w:tcPr>
          <w:p>
            <w:r>
              <w:t>Pesticide</w:t>
            </w:r>
          </w:p>
        </w:tc>
        <w:tc>
          <w:tcPr>
            <w:tcW w:type="dxa" w:w="1704"/>
          </w:tcPr>
          <w:p>
            <w:r>
              <w:t>50501.564</w:t>
            </w:r>
          </w:p>
        </w:tc>
        <w:tc>
          <w:tcPr>
            <w:tcW w:type="dxa" w:w="1704"/>
          </w:tcPr>
          <w:p>
            <w:r>
              <w:t>52522.188</w:t>
            </w:r>
          </w:p>
        </w:tc>
        <w:tc>
          <w:tcPr>
            <w:tcW w:type="dxa" w:w="1704"/>
          </w:tcPr>
          <w:p>
            <w:r>
              <w:t>356.073</w:t>
            </w:r>
          </w:p>
        </w:tc>
        <w:tc>
          <w:tcPr>
            <w:tcW w:type="dxa" w:w="1704"/>
          </w:tcPr>
          <w:p>
            <w:r>
              <w:t>28273.970</w:t>
            </w:r>
          </w:p>
        </w:tc>
        <w:tc>
          <w:tcPr>
            <w:tcW w:type="dxa" w:w="1704"/>
          </w:tcPr>
          <w:p>
            <w:r>
              <w:t>163819.352</w:t>
            </w:r>
          </w:p>
        </w:tc>
      </w:tr>
      <w:tr>
        <w:tc>
          <w:tcPr>
            <w:tcW w:type="dxa" w:w="1704"/>
          </w:tcPr>
          <w:p>
            <w:r>
              <w:t>Yield</w:t>
            </w:r>
          </w:p>
        </w:tc>
        <w:tc>
          <w:tcPr>
            <w:tcW w:type="dxa" w:w="1704"/>
          </w:tcPr>
          <w:p>
            <w:r>
              <w:t>2.790</w:t>
            </w:r>
          </w:p>
        </w:tc>
        <w:tc>
          <w:tcPr>
            <w:tcW w:type="dxa" w:w="1704"/>
          </w:tcPr>
          <w:p>
            <w:r>
              <w:t>2.042</w:t>
            </w:r>
          </w:p>
        </w:tc>
        <w:tc>
          <w:tcPr>
            <w:tcW w:type="dxa" w:w="1704"/>
          </w:tcPr>
          <w:p>
            <w:r>
              <w:t>0.488</w:t>
            </w:r>
          </w:p>
        </w:tc>
        <w:tc>
          <w:tcPr>
            <w:tcW w:type="dxa" w:w="1704"/>
          </w:tcPr>
          <w:p>
            <w:r>
              <w:t>1.984</w:t>
            </w:r>
          </w:p>
        </w:tc>
        <w:tc>
          <w:tcPr>
            <w:tcW w:type="dxa" w:w="1704"/>
          </w:tcPr>
          <w:p>
            <w:r>
              <w:t>6.849</w:t>
            </w:r>
          </w:p>
        </w:tc>
      </w:tr>
      <w:tr>
        <w:tc>
          <w:tcPr>
            <w:tcW w:type="dxa" w:w="1704"/>
          </w:tcPr>
          <w:p>
            <w:r>
              <w:t>Area_Normalized</w:t>
            </w:r>
          </w:p>
        </w:tc>
        <w:tc>
          <w:tcPr>
            <w:tcW w:type="dxa" w:w="1704"/>
          </w:tcPr>
          <w:p>
            <w:r>
              <w:t>0.317</w:t>
            </w:r>
          </w:p>
        </w:tc>
        <w:tc>
          <w:tcPr>
            <w:tcW w:type="dxa" w:w="1704"/>
          </w:tcPr>
          <w:p>
            <w:r>
              <w:t>0.312</w:t>
            </w:r>
          </w:p>
        </w:tc>
        <w:tc>
          <w:tcPr>
            <w:tcW w:type="dxa" w:w="1704"/>
          </w:tcPr>
          <w:p>
            <w:r>
              <w:t>0.000</w:t>
            </w:r>
          </w:p>
        </w:tc>
        <w:tc>
          <w:tcPr>
            <w:tcW w:type="dxa" w:w="1704"/>
          </w:tcPr>
          <w:p>
            <w:r>
              <w:t>0.190</w:t>
            </w:r>
          </w:p>
        </w:tc>
        <w:tc>
          <w:tcPr>
            <w:tcW w:type="dxa" w:w="1704"/>
          </w:tcPr>
          <w:p>
            <w:r>
              <w:t>1.000</w:t>
            </w:r>
          </w:p>
        </w:tc>
      </w:tr>
      <w:tr>
        <w:tc>
          <w:tcPr>
            <w:tcW w:type="dxa" w:w="1704"/>
          </w:tcPr>
          <w:p>
            <w:r>
              <w:t>Annual_Rainfall_Normalized</w:t>
            </w:r>
          </w:p>
        </w:tc>
        <w:tc>
          <w:tcPr>
            <w:tcW w:type="dxa" w:w="1704"/>
          </w:tcPr>
          <w:p>
            <w:r>
              <w:t>0.377</w:t>
            </w:r>
          </w:p>
        </w:tc>
        <w:tc>
          <w:tcPr>
            <w:tcW w:type="dxa" w:w="1704"/>
          </w:tcPr>
          <w:p>
            <w:r>
              <w:t>0.214</w:t>
            </w:r>
          </w:p>
        </w:tc>
        <w:tc>
          <w:tcPr>
            <w:tcW w:type="dxa" w:w="1704"/>
          </w:tcPr>
          <w:p>
            <w:r>
              <w:t>0.000</w:t>
            </w:r>
          </w:p>
        </w:tc>
        <w:tc>
          <w:tcPr>
            <w:tcW w:type="dxa" w:w="1704"/>
          </w:tcPr>
          <w:p>
            <w:r>
              <w:t>0.381</w:t>
            </w:r>
          </w:p>
        </w:tc>
        <w:tc>
          <w:tcPr>
            <w:tcW w:type="dxa" w:w="1704"/>
          </w:tcPr>
          <w:p>
            <w:r>
              <w:t>1.000</w:t>
            </w:r>
          </w:p>
        </w:tc>
      </w:tr>
      <w:tr>
        <w:tc>
          <w:tcPr>
            <w:tcW w:type="dxa" w:w="1704"/>
          </w:tcPr>
          <w:p>
            <w:r>
              <w:t>Fertilizer_Normalized</w:t>
            </w:r>
          </w:p>
        </w:tc>
        <w:tc>
          <w:tcPr>
            <w:tcW w:type="dxa" w:w="1704"/>
          </w:tcPr>
          <w:p>
            <w:r>
              <w:t>0.313</w:t>
            </w:r>
          </w:p>
        </w:tc>
        <w:tc>
          <w:tcPr>
            <w:tcW w:type="dxa" w:w="1704"/>
          </w:tcPr>
          <w:p>
            <w:r>
              <w:t>0.316</w:t>
            </w:r>
          </w:p>
        </w:tc>
        <w:tc>
          <w:tcPr>
            <w:tcW w:type="dxa" w:w="1704"/>
          </w:tcPr>
          <w:p>
            <w:r>
              <w:t>0.000</w:t>
            </w:r>
          </w:p>
        </w:tc>
        <w:tc>
          <w:tcPr>
            <w:tcW w:type="dxa" w:w="1704"/>
          </w:tcPr>
          <w:p>
            <w:r>
              <w:t>0.179</w:t>
            </w:r>
          </w:p>
        </w:tc>
        <w:tc>
          <w:tcPr>
            <w:tcW w:type="dxa" w:w="1704"/>
          </w:tcPr>
          <w:p>
            <w:r>
              <w:t>1.000</w:t>
            </w:r>
          </w:p>
        </w:tc>
      </w:tr>
      <w:tr>
        <w:tc>
          <w:tcPr>
            <w:tcW w:type="dxa" w:w="1704"/>
          </w:tcPr>
          <w:p>
            <w:r>
              <w:t>Pesticide_Normalized</w:t>
            </w:r>
          </w:p>
        </w:tc>
        <w:tc>
          <w:tcPr>
            <w:tcW w:type="dxa" w:w="1704"/>
          </w:tcPr>
          <w:p>
            <w:r>
              <w:t>0.307</w:t>
            </w:r>
          </w:p>
        </w:tc>
        <w:tc>
          <w:tcPr>
            <w:tcW w:type="dxa" w:w="1704"/>
          </w:tcPr>
          <w:p>
            <w:r>
              <w:t>0.321</w:t>
            </w:r>
          </w:p>
        </w:tc>
        <w:tc>
          <w:tcPr>
            <w:tcW w:type="dxa" w:w="1704"/>
          </w:tcPr>
          <w:p>
            <w:r>
              <w:t>0.000</w:t>
            </w:r>
          </w:p>
        </w:tc>
        <w:tc>
          <w:tcPr>
            <w:tcW w:type="dxa" w:w="1704"/>
          </w:tcPr>
          <w:p>
            <w:r>
              <w:t>0.171</w:t>
            </w:r>
          </w:p>
        </w:tc>
        <w:tc>
          <w:tcPr>
            <w:tcW w:type="dxa" w:w="1704"/>
          </w:tcPr>
          <w:p>
            <w:r>
              <w:t>1.000</w:t>
            </w:r>
          </w:p>
        </w:tc>
      </w:tr>
      <w:tr>
        <w:tc>
          <w:tcPr>
            <w:tcW w:type="dxa" w:w="1704"/>
          </w:tcPr>
          <w:p>
            <w:r>
              <w:t>Yield_Normalized</w:t>
            </w:r>
          </w:p>
        </w:tc>
        <w:tc>
          <w:tcPr>
            <w:tcW w:type="dxa" w:w="1704"/>
          </w:tcPr>
          <w:p>
            <w:r>
              <w:t>0.362</w:t>
            </w:r>
          </w:p>
        </w:tc>
        <w:tc>
          <w:tcPr>
            <w:tcW w:type="dxa" w:w="1704"/>
          </w:tcPr>
          <w:p>
            <w:r>
              <w:t>0.321</w:t>
            </w:r>
          </w:p>
        </w:tc>
        <w:tc>
          <w:tcPr>
            <w:tcW w:type="dxa" w:w="1704"/>
          </w:tcPr>
          <w:p>
            <w:r>
              <w:t>0.000</w:t>
            </w:r>
          </w:p>
        </w:tc>
        <w:tc>
          <w:tcPr>
            <w:tcW w:type="dxa" w:w="1704"/>
          </w:tcPr>
          <w:p>
            <w:r>
              <w:t>0.235</w:t>
            </w:r>
          </w:p>
        </w:tc>
        <w:tc>
          <w:tcPr>
            <w:tcW w:type="dxa" w:w="1704"/>
          </w:tcPr>
          <w:p>
            <w:r>
              <w:t>1.000</w:t>
            </w:r>
          </w:p>
        </w:tc>
      </w:tr>
    </w:tbl>
    <w:p>
      <w:r>
        <w:t>Interpretation: Mean and median differences can indicate skewness. Large standard deviations relative to the mean suggest substantial variation. Minimum/maximum values were also reviewed for potentially unusual observations.</w:t>
      </w:r>
    </w:p>
    <w:p>
      <w:pPr>
        <w:pStyle w:val="Heading1"/>
      </w:pPr>
      <w:r>
        <w:t>4. Distribution Analysis</w:t>
      </w:r>
    </w:p>
    <w:p>
      <w:pPr>
        <w:pStyle w:val="Heading2"/>
      </w:pPr>
      <w:r>
        <w:t>Distribution — Crop_Year</w:t>
      </w:r>
    </w:p>
    <w:p>
      <w:pPr>
        <w:jc w:val="center"/>
      </w:pPr>
      <w:r>
        <w:drawing>
          <wp:inline xmlns:a="http://schemas.openxmlformats.org/drawingml/2006/main" xmlns:pic="http://schemas.openxmlformats.org/drawingml/2006/picture">
            <wp:extent cx="5760720" cy="3557853"/>
            <wp:docPr id="1" name="Picture 1"/>
            <wp:cNvGraphicFramePr>
              <a:graphicFrameLocks noChangeAspect="1"/>
            </wp:cNvGraphicFramePr>
            <a:graphic>
              <a:graphicData uri="http://schemas.openxmlformats.org/drawingml/2006/picture">
                <pic:pic>
                  <pic:nvPicPr>
                    <pic:cNvPr id="0" name="02_dist_1.png"/>
                    <pic:cNvPicPr/>
                  </pic:nvPicPr>
                  <pic:blipFill>
                    <a:blip r:embed="rId9"/>
                    <a:stretch>
                      <a:fillRect/>
                    </a:stretch>
                  </pic:blipFill>
                  <pic:spPr>
                    <a:xfrm>
                      <a:off x="0" y="0"/>
                      <a:ext cx="5760720" cy="3557853"/>
                    </a:xfrm>
                    <a:prstGeom prst="rect"/>
                  </pic:spPr>
                </pic:pic>
              </a:graphicData>
            </a:graphic>
          </wp:inline>
        </w:drawing>
      </w:r>
    </w:p>
    <w:p>
      <w:r>
        <w:t>The distribution of Crop_Year is approximately symmetric (skewness ≈ -0.032).</w:t>
      </w:r>
    </w:p>
    <w:p>
      <w:pPr>
        <w:pStyle w:val="Heading2"/>
      </w:pPr>
      <w:r>
        <w:t>Distribution — Area</w:t>
      </w:r>
    </w:p>
    <w:p>
      <w:pPr>
        <w:jc w:val="center"/>
      </w:pPr>
      <w:r>
        <w:drawing>
          <wp:inline xmlns:a="http://schemas.openxmlformats.org/drawingml/2006/main" xmlns:pic="http://schemas.openxmlformats.org/drawingml/2006/picture">
            <wp:extent cx="5760720" cy="3557853"/>
            <wp:docPr id="2" name="Picture 2"/>
            <wp:cNvGraphicFramePr>
              <a:graphicFrameLocks noChangeAspect="1"/>
            </wp:cNvGraphicFramePr>
            <a:graphic>
              <a:graphicData uri="http://schemas.openxmlformats.org/drawingml/2006/picture">
                <pic:pic>
                  <pic:nvPicPr>
                    <pic:cNvPr id="0" name="02_dist_2.png"/>
                    <pic:cNvPicPr/>
                  </pic:nvPicPr>
                  <pic:blipFill>
                    <a:blip r:embed="rId10"/>
                    <a:stretch>
                      <a:fillRect/>
                    </a:stretch>
                  </pic:blipFill>
                  <pic:spPr>
                    <a:xfrm>
                      <a:off x="0" y="0"/>
                      <a:ext cx="5760720" cy="3557853"/>
                    </a:xfrm>
                    <a:prstGeom prst="rect"/>
                  </pic:spPr>
                </pic:pic>
              </a:graphicData>
            </a:graphic>
          </wp:inline>
        </w:drawing>
      </w:r>
    </w:p>
    <w:p>
      <w:r>
        <w:t>The distribution of Area is right-skewed (skewness ≈ 1.147).</w:t>
      </w:r>
    </w:p>
    <w:p>
      <w:pPr>
        <w:pStyle w:val="Heading2"/>
      </w:pPr>
      <w:r>
        <w:t>Distribution — Production</w:t>
      </w:r>
    </w:p>
    <w:p>
      <w:pPr>
        <w:jc w:val="center"/>
      </w:pPr>
      <w:r>
        <w:drawing>
          <wp:inline xmlns:a="http://schemas.openxmlformats.org/drawingml/2006/main" xmlns:pic="http://schemas.openxmlformats.org/drawingml/2006/picture">
            <wp:extent cx="5760720" cy="3555349"/>
            <wp:docPr id="3" name="Picture 3"/>
            <wp:cNvGraphicFramePr>
              <a:graphicFrameLocks noChangeAspect="1"/>
            </wp:cNvGraphicFramePr>
            <a:graphic>
              <a:graphicData uri="http://schemas.openxmlformats.org/drawingml/2006/picture">
                <pic:pic>
                  <pic:nvPicPr>
                    <pic:cNvPr id="0" name="02_dist_3.png"/>
                    <pic:cNvPicPr/>
                  </pic:nvPicPr>
                  <pic:blipFill>
                    <a:blip r:embed="rId11"/>
                    <a:stretch>
                      <a:fillRect/>
                    </a:stretch>
                  </pic:blipFill>
                  <pic:spPr>
                    <a:xfrm>
                      <a:off x="0" y="0"/>
                      <a:ext cx="5760720" cy="3555349"/>
                    </a:xfrm>
                    <a:prstGeom prst="rect"/>
                  </pic:spPr>
                </pic:pic>
              </a:graphicData>
            </a:graphic>
          </wp:inline>
        </w:drawing>
      </w:r>
    </w:p>
    <w:p>
      <w:r>
        <w:t>The distribution of Production is right-skewed (skewness ≈ 1.195).</w:t>
      </w:r>
    </w:p>
    <w:p>
      <w:pPr>
        <w:pStyle w:val="Heading2"/>
      </w:pPr>
      <w:r>
        <w:t>Distribution — Annual_Rainfall</w:t>
      </w:r>
    </w:p>
    <w:p>
      <w:pPr>
        <w:jc w:val="center"/>
      </w:pPr>
      <w:r>
        <w:drawing>
          <wp:inline xmlns:a="http://schemas.openxmlformats.org/drawingml/2006/main" xmlns:pic="http://schemas.openxmlformats.org/drawingml/2006/picture">
            <wp:extent cx="5760720" cy="3561910"/>
            <wp:docPr id="4" name="Picture 4"/>
            <wp:cNvGraphicFramePr>
              <a:graphicFrameLocks noChangeAspect="1"/>
            </wp:cNvGraphicFramePr>
            <a:graphic>
              <a:graphicData uri="http://schemas.openxmlformats.org/drawingml/2006/picture">
                <pic:pic>
                  <pic:nvPicPr>
                    <pic:cNvPr id="0" name="02_dist_4.png"/>
                    <pic:cNvPicPr/>
                  </pic:nvPicPr>
                  <pic:blipFill>
                    <a:blip r:embed="rId12"/>
                    <a:stretch>
                      <a:fillRect/>
                    </a:stretch>
                  </pic:blipFill>
                  <pic:spPr>
                    <a:xfrm>
                      <a:off x="0" y="0"/>
                      <a:ext cx="5760720" cy="3561910"/>
                    </a:xfrm>
                    <a:prstGeom prst="rect"/>
                  </pic:spPr>
                </pic:pic>
              </a:graphicData>
            </a:graphic>
          </wp:inline>
        </w:drawing>
      </w:r>
    </w:p>
    <w:p>
      <w:r>
        <w:t>The distribution of Annual_Rainfall is approximately symmetric (skewness ≈ 0.125).</w:t>
      </w:r>
    </w:p>
    <w:p>
      <w:pPr>
        <w:pStyle w:val="Heading2"/>
      </w:pPr>
      <w:r>
        <w:t>Distribution — Fertilizer</w:t>
      </w:r>
    </w:p>
    <w:p>
      <w:pPr>
        <w:jc w:val="center"/>
      </w:pPr>
      <w:r>
        <w:drawing>
          <wp:inline xmlns:a="http://schemas.openxmlformats.org/drawingml/2006/main" xmlns:pic="http://schemas.openxmlformats.org/drawingml/2006/picture">
            <wp:extent cx="5760720" cy="3557853"/>
            <wp:docPr id="5" name="Picture 5"/>
            <wp:cNvGraphicFramePr>
              <a:graphicFrameLocks noChangeAspect="1"/>
            </wp:cNvGraphicFramePr>
            <a:graphic>
              <a:graphicData uri="http://schemas.openxmlformats.org/drawingml/2006/picture">
                <pic:pic>
                  <pic:nvPicPr>
                    <pic:cNvPr id="0" name="02_dist_5.png"/>
                    <pic:cNvPicPr/>
                  </pic:nvPicPr>
                  <pic:blipFill>
                    <a:blip r:embed="rId13"/>
                    <a:stretch>
                      <a:fillRect/>
                    </a:stretch>
                  </pic:blipFill>
                  <pic:spPr>
                    <a:xfrm>
                      <a:off x="0" y="0"/>
                      <a:ext cx="5760720" cy="3557853"/>
                    </a:xfrm>
                    <a:prstGeom prst="rect"/>
                  </pic:spPr>
                </pic:pic>
              </a:graphicData>
            </a:graphic>
          </wp:inline>
        </w:drawing>
      </w:r>
    </w:p>
    <w:p>
      <w:r>
        <w:t>The distribution of Fertilizer is right-skewed (skewness ≈ 1.148).</w:t>
      </w:r>
    </w:p>
    <w:p>
      <w:pPr>
        <w:pStyle w:val="Heading2"/>
      </w:pPr>
      <w:r>
        <w:t>Distribution — Pesticide</w:t>
      </w:r>
    </w:p>
    <w:p>
      <w:pPr>
        <w:jc w:val="center"/>
      </w:pPr>
      <w:r>
        <w:drawing>
          <wp:inline xmlns:a="http://schemas.openxmlformats.org/drawingml/2006/main" xmlns:pic="http://schemas.openxmlformats.org/drawingml/2006/picture">
            <wp:extent cx="5760720" cy="3557853"/>
            <wp:docPr id="6" name="Picture 6"/>
            <wp:cNvGraphicFramePr>
              <a:graphicFrameLocks noChangeAspect="1"/>
            </wp:cNvGraphicFramePr>
            <a:graphic>
              <a:graphicData uri="http://schemas.openxmlformats.org/drawingml/2006/picture">
                <pic:pic>
                  <pic:nvPicPr>
                    <pic:cNvPr id="0" name="02_dist_6.png"/>
                    <pic:cNvPicPr/>
                  </pic:nvPicPr>
                  <pic:blipFill>
                    <a:blip r:embed="rId14"/>
                    <a:stretch>
                      <a:fillRect/>
                    </a:stretch>
                  </pic:blipFill>
                  <pic:spPr>
                    <a:xfrm>
                      <a:off x="0" y="0"/>
                      <a:ext cx="5760720" cy="3557853"/>
                    </a:xfrm>
                    <a:prstGeom prst="rect"/>
                  </pic:spPr>
                </pic:pic>
              </a:graphicData>
            </a:graphic>
          </wp:inline>
        </w:drawing>
      </w:r>
    </w:p>
    <w:p>
      <w:r>
        <w:t>The distribution of Pesticide is right-skewed (skewness ≈ 1.176).</w:t>
      </w:r>
    </w:p>
    <w:p>
      <w:pPr>
        <w:pStyle w:val="Heading1"/>
      </w:pPr>
      <w:r>
        <w:t>5. Categorical Analysis</w:t>
      </w:r>
    </w:p>
    <w:p>
      <w:pPr>
        <w:pStyle w:val="Heading2"/>
      </w:pPr>
      <w:r>
        <w:t>Category Frequency — Crop</w:t>
      </w:r>
    </w:p>
    <w:p>
      <w:pPr>
        <w:jc w:val="center"/>
      </w:pPr>
      <w:r>
        <w:drawing>
          <wp:inline xmlns:a="http://schemas.openxmlformats.org/drawingml/2006/main" xmlns:pic="http://schemas.openxmlformats.org/drawingml/2006/picture">
            <wp:extent cx="5760720" cy="3563457"/>
            <wp:docPr id="7" name="Picture 7"/>
            <wp:cNvGraphicFramePr>
              <a:graphicFrameLocks noChangeAspect="1"/>
            </wp:cNvGraphicFramePr>
            <a:graphic>
              <a:graphicData uri="http://schemas.openxmlformats.org/drawingml/2006/picture">
                <pic:pic>
                  <pic:nvPicPr>
                    <pic:cNvPr id="0" name="03_cat_1.png"/>
                    <pic:cNvPicPr/>
                  </pic:nvPicPr>
                  <pic:blipFill>
                    <a:blip r:embed="rId15"/>
                    <a:stretch>
                      <a:fillRect/>
                    </a:stretch>
                  </pic:blipFill>
                  <pic:spPr>
                    <a:xfrm>
                      <a:off x="0" y="0"/>
                      <a:ext cx="5760720" cy="3563457"/>
                    </a:xfrm>
                    <a:prstGeom prst="rect"/>
                  </pic:spPr>
                </pic:pic>
              </a:graphicData>
            </a:graphic>
          </wp:inline>
        </w:drawing>
      </w:r>
    </w:p>
    <w:p>
      <w:pPr>
        <w:pStyle w:val="Heading2"/>
      </w:pPr>
      <w:r>
        <w:t>Category Frequency — Season</w:t>
      </w:r>
    </w:p>
    <w:p>
      <w:pPr>
        <w:jc w:val="center"/>
      </w:pPr>
      <w:r>
        <w:drawing>
          <wp:inline xmlns:a="http://schemas.openxmlformats.org/drawingml/2006/main" xmlns:pic="http://schemas.openxmlformats.org/drawingml/2006/picture">
            <wp:extent cx="5760720" cy="3563457"/>
            <wp:docPr id="8" name="Picture 8"/>
            <wp:cNvGraphicFramePr>
              <a:graphicFrameLocks noChangeAspect="1"/>
            </wp:cNvGraphicFramePr>
            <a:graphic>
              <a:graphicData uri="http://schemas.openxmlformats.org/drawingml/2006/picture">
                <pic:pic>
                  <pic:nvPicPr>
                    <pic:cNvPr id="0" name="03_cat_2.png"/>
                    <pic:cNvPicPr/>
                  </pic:nvPicPr>
                  <pic:blipFill>
                    <a:blip r:embed="rId16"/>
                    <a:stretch>
                      <a:fillRect/>
                    </a:stretch>
                  </pic:blipFill>
                  <pic:spPr>
                    <a:xfrm>
                      <a:off x="0" y="0"/>
                      <a:ext cx="5760720" cy="3563457"/>
                    </a:xfrm>
                    <a:prstGeom prst="rect"/>
                  </pic:spPr>
                </pic:pic>
              </a:graphicData>
            </a:graphic>
          </wp:inline>
        </w:drawing>
      </w:r>
    </w:p>
    <w:p>
      <w:pPr>
        <w:pStyle w:val="Heading2"/>
      </w:pPr>
      <w:r>
        <w:t>Category Frequency — State</w:t>
      </w:r>
    </w:p>
    <w:p>
      <w:pPr>
        <w:jc w:val="center"/>
      </w:pPr>
      <w:r>
        <w:drawing>
          <wp:inline xmlns:a="http://schemas.openxmlformats.org/drawingml/2006/main" xmlns:pic="http://schemas.openxmlformats.org/drawingml/2006/picture">
            <wp:extent cx="5760720" cy="3561910"/>
            <wp:docPr id="9" name="Picture 9"/>
            <wp:cNvGraphicFramePr>
              <a:graphicFrameLocks noChangeAspect="1"/>
            </wp:cNvGraphicFramePr>
            <a:graphic>
              <a:graphicData uri="http://schemas.openxmlformats.org/drawingml/2006/picture">
                <pic:pic>
                  <pic:nvPicPr>
                    <pic:cNvPr id="0" name="03_cat_3.png"/>
                    <pic:cNvPicPr/>
                  </pic:nvPicPr>
                  <pic:blipFill>
                    <a:blip r:embed="rId17"/>
                    <a:stretch>
                      <a:fillRect/>
                    </a:stretch>
                  </pic:blipFill>
                  <pic:spPr>
                    <a:xfrm>
                      <a:off x="0" y="0"/>
                      <a:ext cx="5760720" cy="3561910"/>
                    </a:xfrm>
                    <a:prstGeom prst="rect"/>
                  </pic:spPr>
                </pic:pic>
              </a:graphicData>
            </a:graphic>
          </wp:inline>
        </w:drawing>
      </w:r>
    </w:p>
    <w:p>
      <w:pPr>
        <w:pStyle w:val="Heading1"/>
      </w:pPr>
      <w:r>
        <w:t>6. Outlier and Anomaly Analysis</w:t>
      </w:r>
    </w:p>
    <w:p>
      <w:pPr>
        <w:pStyle w:val="ListBullet"/>
      </w:pPr>
      <w:r>
        <w:t>Yield_Normalized: 197 IQR outliers (16.42% of non-missing observations).</w:t>
      </w:r>
    </w:p>
    <w:p>
      <w:pPr>
        <w:pStyle w:val="ListBullet"/>
      </w:pPr>
      <w:r>
        <w:t>Production: 170 IQR outliers (14.17% of non-missing observations).</w:t>
      </w:r>
    </w:p>
    <w:p>
      <w:pPr>
        <w:pStyle w:val="ListBullet"/>
      </w:pPr>
      <w:r>
        <w:t>Pesticide_Normalized: 130 IQR outliers (10.83% of non-missing observations).</w:t>
      </w:r>
    </w:p>
    <w:p>
      <w:pPr>
        <w:pStyle w:val="ListBullet"/>
      </w:pPr>
      <w:r>
        <w:t>Area_Normalized: 120 IQR outliers (10.00% of non-missing observations).</w:t>
      </w:r>
    </w:p>
    <w:p>
      <w:pPr>
        <w:pStyle w:val="ListBullet"/>
      </w:pPr>
      <w:r>
        <w:t>Crop_Year: 0 IQR outliers (0.00% of non-missing observations).</w:t>
      </w:r>
    </w:p>
    <w:p>
      <w:pPr>
        <w:pStyle w:val="ListBullet"/>
      </w:pPr>
      <w:r>
        <w:t>Area: 0 IQR outliers (0.00% of non-missing observations).</w:t>
      </w:r>
    </w:p>
    <w:p>
      <w:pPr>
        <w:pStyle w:val="ListBullet"/>
      </w:pPr>
      <w:r>
        <w:t>Annual_Rainfall: 0 IQR outliers (0.00% of non-missing observations).</w:t>
      </w:r>
    </w:p>
    <w:p>
      <w:pPr>
        <w:pStyle w:val="ListBullet"/>
      </w:pPr>
      <w:r>
        <w:t>Fertilizer: 0 IQR outliers (0.00% of non-missing observations).</w:t>
      </w:r>
    </w:p>
    <w:p>
      <w:pPr>
        <w:pStyle w:val="ListBullet"/>
      </w:pPr>
      <w:r>
        <w:t>Pesticide: 0 IQR outliers (0.00% of non-missing observations).</w:t>
      </w:r>
    </w:p>
    <w:p>
      <w:pPr>
        <w:pStyle w:val="ListBullet"/>
      </w:pPr>
      <w:r>
        <w:t>Yield: 0 IQR outliers (0.00% of non-missing observations).</w:t>
      </w:r>
    </w:p>
    <w:p>
      <w:pPr>
        <w:pStyle w:val="ListBullet"/>
      </w:pPr>
      <w:r>
        <w:t>Annual_Rainfall_Normalized: 0 IQR outliers (0.00% of non-missing observations).</w:t>
      </w:r>
    </w:p>
    <w:p>
      <w:pPr>
        <w:pStyle w:val="ListBullet"/>
      </w:pPr>
      <w:r>
        <w:t>Fertilizer_Normalized: 0 IQR outliers (0.00% of non-missing observations).</w:t>
      </w:r>
    </w:p>
    <w:p>
      <w:r>
        <w:t>IQR outliers are statistical flags, not automatic errors. In agricultural data, extreme values can represent genuine differences caused by crop type, weather, soil, irrigation, farm practices, or exceptional seasons. They should therefore be investigated before removal.</w:t>
      </w:r>
    </w:p>
    <w:p>
      <w:pPr>
        <w:jc w:val="center"/>
      </w:pPr>
      <w:r>
        <w:drawing>
          <wp:inline xmlns:a="http://schemas.openxmlformats.org/drawingml/2006/main" xmlns:pic="http://schemas.openxmlformats.org/drawingml/2006/picture">
            <wp:extent cx="5760720" cy="3427305"/>
            <wp:docPr id="10" name="Picture 10"/>
            <wp:cNvGraphicFramePr>
              <a:graphicFrameLocks noChangeAspect="1"/>
            </wp:cNvGraphicFramePr>
            <a:graphic>
              <a:graphicData uri="http://schemas.openxmlformats.org/drawingml/2006/picture">
                <pic:pic>
                  <pic:nvPicPr>
                    <pic:cNvPr id="0" name="04_boxplots.png"/>
                    <pic:cNvPicPr/>
                  </pic:nvPicPr>
                  <pic:blipFill>
                    <a:blip r:embed="rId18"/>
                    <a:stretch>
                      <a:fillRect/>
                    </a:stretch>
                  </pic:blipFill>
                  <pic:spPr>
                    <a:xfrm>
                      <a:off x="0" y="0"/>
                      <a:ext cx="5760720" cy="3427305"/>
                    </a:xfrm>
                    <a:prstGeom prst="rect"/>
                  </pic:spPr>
                </pic:pic>
              </a:graphicData>
            </a:graphic>
          </wp:inline>
        </w:drawing>
      </w:r>
    </w:p>
    <w:p>
      <w:pPr>
        <w:pStyle w:val="Heading1"/>
      </w:pPr>
      <w:r>
        <w:t>7. Correlation and Relationship Analysis</w:t>
      </w:r>
    </w:p>
    <w:p>
      <w:pPr>
        <w:pStyle w:val="ListBullet"/>
      </w:pPr>
      <w:r>
        <w:t>Yield and Yield_Normalized: Pearson r = 1.000, indicating a strong positive linear relationship. Correlation describes association and does not establish causation.</w:t>
      </w:r>
    </w:p>
    <w:p>
      <w:pPr>
        <w:pStyle w:val="ListBullet"/>
      </w:pPr>
      <w:r>
        <w:t>Pesticide and Pesticide_Normalized: Pearson r = 1.000, indicating a strong positive linear relationship. Correlation describes association and does not establish causation.</w:t>
      </w:r>
    </w:p>
    <w:p>
      <w:pPr>
        <w:pStyle w:val="ListBullet"/>
      </w:pPr>
      <w:r>
        <w:t>Fertilizer and Fertilizer_Normalized: Pearson r = 1.000, indicating a strong positive linear relationship. Correlation describes association and does not establish causation.</w:t>
      </w:r>
    </w:p>
    <w:p>
      <w:pPr>
        <w:pStyle w:val="ListBullet"/>
      </w:pPr>
      <w:r>
        <w:t>Area and Area_Normalized: Pearson r = 1.000, indicating a strong positive linear relationship. Correlation describes association and does not establish causation.</w:t>
      </w:r>
    </w:p>
    <w:p>
      <w:pPr>
        <w:pStyle w:val="ListBullet"/>
      </w:pPr>
      <w:r>
        <w:t>Annual_Rainfall and Annual_Rainfall_Normalized: Pearson r = 1.000, indicating a strong positive linear relationship. Correlation describes association and does not establish causation.</w:t>
      </w:r>
    </w:p>
    <w:p>
      <w:pPr>
        <w:pStyle w:val="Heading2"/>
      </w:pPr>
      <w:r>
        <w:t>Correlation Matrix</w:t>
      </w:r>
    </w:p>
    <w:p>
      <w:pPr>
        <w:jc w:val="center"/>
      </w:pPr>
      <w:r>
        <w:drawing>
          <wp:inline xmlns:a="http://schemas.openxmlformats.org/drawingml/2006/main" xmlns:pic="http://schemas.openxmlformats.org/drawingml/2006/picture">
            <wp:extent cx="5760720" cy="4583401"/>
            <wp:docPr id="11" name="Picture 11"/>
            <wp:cNvGraphicFramePr>
              <a:graphicFrameLocks noChangeAspect="1"/>
            </wp:cNvGraphicFramePr>
            <a:graphic>
              <a:graphicData uri="http://schemas.openxmlformats.org/drawingml/2006/picture">
                <pic:pic>
                  <pic:nvPicPr>
                    <pic:cNvPr id="0" name="05_correlation.png"/>
                    <pic:cNvPicPr/>
                  </pic:nvPicPr>
                  <pic:blipFill>
                    <a:blip r:embed="rId19"/>
                    <a:stretch>
                      <a:fillRect/>
                    </a:stretch>
                  </pic:blipFill>
                  <pic:spPr>
                    <a:xfrm>
                      <a:off x="0" y="0"/>
                      <a:ext cx="5760720" cy="4583401"/>
                    </a:xfrm>
                    <a:prstGeom prst="rect"/>
                  </pic:spPr>
                </pic:pic>
              </a:graphicData>
            </a:graphic>
          </wp:inline>
        </w:drawing>
      </w:r>
    </w:p>
    <w:p>
      <w:pPr>
        <w:pStyle w:val="Heading2"/>
      </w:pPr>
      <w:r>
        <w:t>Relationship — Yield vs Yield_Normalized</w:t>
      </w:r>
    </w:p>
    <w:p>
      <w:pPr>
        <w:jc w:val="center"/>
      </w:pPr>
      <w:r>
        <w:drawing>
          <wp:inline xmlns:a="http://schemas.openxmlformats.org/drawingml/2006/main" xmlns:pic="http://schemas.openxmlformats.org/drawingml/2006/picture">
            <wp:extent cx="5760720" cy="4071033"/>
            <wp:docPr id="12" name="Picture 12"/>
            <wp:cNvGraphicFramePr>
              <a:graphicFrameLocks noChangeAspect="1"/>
            </wp:cNvGraphicFramePr>
            <a:graphic>
              <a:graphicData uri="http://schemas.openxmlformats.org/drawingml/2006/picture">
                <pic:pic>
                  <pic:nvPicPr>
                    <pic:cNvPr id="0" name="06_scatter_1.png"/>
                    <pic:cNvPicPr/>
                  </pic:nvPicPr>
                  <pic:blipFill>
                    <a:blip r:embed="rId20"/>
                    <a:stretch>
                      <a:fillRect/>
                    </a:stretch>
                  </pic:blipFill>
                  <pic:spPr>
                    <a:xfrm>
                      <a:off x="0" y="0"/>
                      <a:ext cx="5760720" cy="4071033"/>
                    </a:xfrm>
                    <a:prstGeom prst="rect"/>
                  </pic:spPr>
                </pic:pic>
              </a:graphicData>
            </a:graphic>
          </wp:inline>
        </w:drawing>
      </w:r>
    </w:p>
    <w:p>
      <w:pPr>
        <w:pStyle w:val="Heading2"/>
      </w:pPr>
      <w:r>
        <w:t>Relationship — Pesticide vs Pesticide_Normalized</w:t>
      </w:r>
    </w:p>
    <w:p>
      <w:pPr>
        <w:jc w:val="center"/>
      </w:pPr>
      <w:r>
        <w:drawing>
          <wp:inline xmlns:a="http://schemas.openxmlformats.org/drawingml/2006/main" xmlns:pic="http://schemas.openxmlformats.org/drawingml/2006/picture">
            <wp:extent cx="5760720" cy="4071033"/>
            <wp:docPr id="13" name="Picture 13"/>
            <wp:cNvGraphicFramePr>
              <a:graphicFrameLocks noChangeAspect="1"/>
            </wp:cNvGraphicFramePr>
            <a:graphic>
              <a:graphicData uri="http://schemas.openxmlformats.org/drawingml/2006/picture">
                <pic:pic>
                  <pic:nvPicPr>
                    <pic:cNvPr id="0" name="06_scatter_2.png"/>
                    <pic:cNvPicPr/>
                  </pic:nvPicPr>
                  <pic:blipFill>
                    <a:blip r:embed="rId21"/>
                    <a:stretch>
                      <a:fillRect/>
                    </a:stretch>
                  </pic:blipFill>
                  <pic:spPr>
                    <a:xfrm>
                      <a:off x="0" y="0"/>
                      <a:ext cx="5760720" cy="4071033"/>
                    </a:xfrm>
                    <a:prstGeom prst="rect"/>
                  </pic:spPr>
                </pic:pic>
              </a:graphicData>
            </a:graphic>
          </wp:inline>
        </w:drawing>
      </w:r>
    </w:p>
    <w:p>
      <w:pPr>
        <w:pStyle w:val="Heading2"/>
      </w:pPr>
      <w:r>
        <w:t>Relationship — Fertilizer vs Fertilizer_Normalized</w:t>
      </w:r>
    </w:p>
    <w:p>
      <w:pPr>
        <w:jc w:val="center"/>
      </w:pPr>
      <w:r>
        <w:drawing>
          <wp:inline xmlns:a="http://schemas.openxmlformats.org/drawingml/2006/main" xmlns:pic="http://schemas.openxmlformats.org/drawingml/2006/picture">
            <wp:extent cx="5760720" cy="4071033"/>
            <wp:docPr id="14" name="Picture 14"/>
            <wp:cNvGraphicFramePr>
              <a:graphicFrameLocks noChangeAspect="1"/>
            </wp:cNvGraphicFramePr>
            <a:graphic>
              <a:graphicData uri="http://schemas.openxmlformats.org/drawingml/2006/picture">
                <pic:pic>
                  <pic:nvPicPr>
                    <pic:cNvPr id="0" name="06_scatter_3.png"/>
                    <pic:cNvPicPr/>
                  </pic:nvPicPr>
                  <pic:blipFill>
                    <a:blip r:embed="rId22"/>
                    <a:stretch>
                      <a:fillRect/>
                    </a:stretch>
                  </pic:blipFill>
                  <pic:spPr>
                    <a:xfrm>
                      <a:off x="0" y="0"/>
                      <a:ext cx="5760720" cy="4071033"/>
                    </a:xfrm>
                    <a:prstGeom prst="rect"/>
                  </pic:spPr>
                </pic:pic>
              </a:graphicData>
            </a:graphic>
          </wp:inline>
        </w:drawing>
      </w:r>
    </w:p>
    <w:p>
      <w:pPr>
        <w:pStyle w:val="Heading1"/>
      </w:pPr>
      <w:r>
        <w:t>8. Agricultural Yield Insights</w:t>
      </w:r>
    </w:p>
    <w:p>
      <w:r>
        <w:t>The identified yield variable is 'Yield'. Its mean is 2.790, median is 1.984, and standard deviation is 2.042.</w:t>
      </w:r>
    </w:p>
    <w:p>
      <w:r>
        <w:t>Across 'Crop', the highest average yield is associated with 'Sugarcane' (6.849), while the lowest is 'Pigeon Pea' (1.030). This indicates meaningful group-level differences that may warrant further investigation.</w:t>
      </w:r>
    </w:p>
    <w:p>
      <w:pPr>
        <w:pStyle w:val="Heading1"/>
      </w:pPr>
      <w:r>
        <w:t>9. Trend Analysis</w:t>
      </w:r>
    </w:p>
    <w:p>
      <w:pPr>
        <w:jc w:val="center"/>
      </w:pPr>
      <w:r>
        <w:drawing>
          <wp:inline xmlns:a="http://schemas.openxmlformats.org/drawingml/2006/main" xmlns:pic="http://schemas.openxmlformats.org/drawingml/2006/picture">
            <wp:extent cx="5760720" cy="3155623"/>
            <wp:docPr id="15" name="Picture 15"/>
            <wp:cNvGraphicFramePr>
              <a:graphicFrameLocks noChangeAspect="1"/>
            </wp:cNvGraphicFramePr>
            <a:graphic>
              <a:graphicData uri="http://schemas.openxmlformats.org/drawingml/2006/picture">
                <pic:pic>
                  <pic:nvPicPr>
                    <pic:cNvPr id="0" name="08_yield_trend.png"/>
                    <pic:cNvPicPr/>
                  </pic:nvPicPr>
                  <pic:blipFill>
                    <a:blip r:embed="rId23"/>
                    <a:stretch>
                      <a:fillRect/>
                    </a:stretch>
                  </pic:blipFill>
                  <pic:spPr>
                    <a:xfrm>
                      <a:off x="0" y="0"/>
                      <a:ext cx="5760720" cy="3155623"/>
                    </a:xfrm>
                    <a:prstGeom prst="rect"/>
                  </pic:spPr>
                </pic:pic>
              </a:graphicData>
            </a:graphic>
          </wp:inline>
        </w:drawing>
      </w:r>
    </w:p>
    <w:p>
      <w:r>
        <w:t>Average yield increased from the first observed period to the last observed period (change ≈ 0.157). The pattern should be interpreted together with weather, crop mix, and management variables before attributing causality.</w:t>
      </w:r>
    </w:p>
    <w:p>
      <w:pPr>
        <w:pStyle w:val="Heading1"/>
      </w:pPr>
      <w:r>
        <w:t>10. Key Findings and Recommendations</w:t>
      </w:r>
    </w:p>
    <w:p>
      <w:pPr>
        <w:pStyle w:val="ListBullet"/>
      </w:pPr>
      <w:r>
        <w:t>The dataset provides 1,200 observations across 15 variables.</w:t>
      </w:r>
    </w:p>
    <w:p>
      <w:pPr>
        <w:pStyle w:val="ListBullet"/>
      </w:pPr>
      <w:r>
        <w:t>Data quality review found 0 duplicate rows and 0 missing cells.</w:t>
      </w:r>
    </w:p>
    <w:p>
      <w:pPr>
        <w:pStyle w:val="ListBullet"/>
      </w:pPr>
      <w:r>
        <w:t>Distribution analysis highlights the central tendency, variability, skewness, and possible heavy tails of the numeric variables.</w:t>
      </w:r>
    </w:p>
    <w:p>
      <w:pPr>
        <w:pStyle w:val="ListBullet"/>
      </w:pPr>
      <w:r>
        <w:t>IQR analysis identifies statistical anomalies that should be investigated rather than automatically deleted.</w:t>
      </w:r>
    </w:p>
    <w:p>
      <w:pPr>
        <w:pStyle w:val="ListBullet"/>
      </w:pPr>
      <w:r>
        <w:t>Correlation analysis identifies the strongest linear associations among numeric variables; these relationships can guide feature selection and further modeling.</w:t>
      </w:r>
    </w:p>
    <w:p>
      <w:pPr>
        <w:pStyle w:val="ListBullet"/>
      </w:pPr>
      <w:r>
        <w:t>Group-level comparisons can reveal differences in agricultural outcomes across crop, region, soil, season, or other categorical dimensions when those fields are present.</w:t>
      </w:r>
    </w:p>
    <w:p>
      <w:r>
        <w:t>Recommended next steps: investigate extreme observations against original records; compare yield across crop/region/season categories; test statistical significance of important group differences; examine multicollinearity before predictive modeling; and, where time fields exist, evaluate seasonality and year-over-year changes.</w:t>
      </w:r>
    </w:p>
    <w:p>
      <w:pPr>
        <w:pStyle w:val="Heading1"/>
      </w:pPr>
      <w:r>
        <w:t>11. Conclusion</w:t>
      </w:r>
    </w:p>
    <w:p>
      <w:r>
        <w:t>The EDA provides a structured understanding of the agricultural dataset by combining data-quality checks, descriptive statistics, visual exploration, correlation analysis, outlier detection, and trend/group analysis. The findings can be used as a foundation for feature engineering, predictive modeling, and agribusiness decision-making.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