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Privacy Policy Template for Blacksight AI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Privacy Policy explains how Blacksight AI ('we', 'us', or 'our') collects, uses, and protects your personal data when you use our services and website.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Information We Collect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may collect:</w:t>
        <w:br w:type="textWrapping"/>
        <w:t xml:space="preserve">- Personal information (name, email, contact info)</w:t>
        <w:br w:type="textWrapping"/>
        <w:t xml:space="preserve">- Usage data (IP address, device, browser type)</w:t>
        <w:br w:type="textWrapping"/>
        <w:t xml:space="preserve">- Customer content and interactions within the platform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How We Use Your Information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use your data to:</w:t>
        <w:br w:type="textWrapping"/>
        <w:t xml:space="preserve">- Provide and improve our services</w:t>
        <w:br w:type="textWrapping"/>
        <w:t xml:space="preserve">- Communicate with you</w:t>
        <w:br w:type="textWrapping"/>
        <w:t xml:space="preserve">- Analyze usage and trends</w:t>
        <w:br w:type="textWrapping"/>
        <w:t xml:space="preserve">- Comply with legal obligations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Data Sharing and Disclosure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do not sell your personal data. We may share it with:</w:t>
        <w:br w:type="textWrapping"/>
        <w:t xml:space="preserve">- Service providers (e.g., cloud storage, analytics)</w:t>
        <w:br w:type="textWrapping"/>
        <w:t xml:space="preserve">- Legal authorities when required</w:t>
        <w:br w:type="textWrapping"/>
        <w:t xml:space="preserve">- In corporate transactions (e.g., merger or acquisition)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5. Cookies and Tracking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use cookies to personalize content, analyze traffic, and improve performance. You can adjust your browser settings to refuse cookies.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6. Data Security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implement appropriate technical and organizational measures to protect your data against unauthorized access, alteration, or destruction.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Data Retention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retain personal data for as long as necessary to fulfill the purposes outlined in this policy, unless a longer retention period is required by law.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8. Your Rights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Depending on your jurisdiction, you may have rights to:</w:t>
        <w:br w:type="textWrapping"/>
        <w:t xml:space="preserve">- Access your data</w:t>
        <w:br w:type="textWrapping"/>
        <w:t xml:space="preserve">- Correct inaccurate information</w:t>
        <w:br w:type="textWrapping"/>
        <w:t xml:space="preserve">- Delete your data</w:t>
        <w:br w:type="textWrapping"/>
        <w:t xml:space="preserve">- Object to or restrict processing</w:t>
        <w:br w:type="textWrapping"/>
        <w:t xml:space="preserve">- File a complaint with a data protection authority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9. International Data Transfers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Your data may be transferred and stored outside your country of residence, where data protection laws may differ.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10. Changes to This Policy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 may update this Privacy Policy from time to time. We will notify you of significant changes through the website or by email.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11. Contact 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questions or concerns about this policy, contact us at: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blacksightai@gmail.com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lacksighta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1huTlzkp0JEnw7I6+2wVUtPPUg==">CgMxLjA4AHIhMW1yaVRXSnY5WFRZU251Y3h0LUk0NWphVlRVeGhUTEpO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